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word/_rels/document.xml.rels" ContentType="application/vnd.openxmlformats-package.relationships+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Override PartName="/customXml/item1.xml" ContentType="application/xml"/>
  <Override PartName="/customXml/itemProps1.xml" ContentType="application/vnd.openxmlformats-officedocument.customXmlProperties+xml"/>
  <Override PartName="/customXml/_rels/item1.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rPr/>
      </w:pPr>
      <w:r>
        <w:rPr>
          <w:rStyle w:val="Strong"/>
          <w:color w:val="729FCF"/>
        </w:rPr>
        <w:t xml:space="preserve">Name: Collins Godwin </w:t>
        <w:br/>
        <w:t>Matric: 21/201CRP/087</w:t>
        <w:br/>
        <w:t>Depart: Agronomy</w:t>
        <w:br/>
        <w:t>Faculty: Agriculture</w:t>
      </w:r>
    </w:p>
    <w:p>
      <w:pPr>
        <w:pStyle w:val="Heading1"/>
        <w:jc w:val="center"/>
        <w:rPr/>
      </w:pPr>
      <w:r>
        <w:rPr/>
      </w:r>
    </w:p>
    <w:p>
      <w:pPr>
        <w:pStyle w:val="Heading1"/>
        <w:jc w:val="center"/>
        <w:rPr/>
      </w:pPr>
      <w:r>
        <w:rPr/>
        <w:t>Assignment: Seed Systems and Policy Development in Nigeria</w:t>
      </w:r>
    </w:p>
    <w:p>
      <w:pPr>
        <w:pStyle w:val="Heading2"/>
        <w:rPr/>
      </w:pPr>
      <w:r>
        <w:rPr/>
        <w:t>1. Challenges and Opportunities in Indigenous Tree Seed Systems</w:t>
      </w:r>
    </w:p>
    <w:p>
      <w:pPr>
        <w:pStyle w:val="Normal"/>
        <w:rPr/>
      </w:pPr>
      <w:r>
        <w:rPr/>
        <w:t>Seed harvesting for indigenous tree species presents more complexities than seed production for cereal crops. Unlike cereals, which are cultivated under controlled farming conditions and harvested within a single season, indigenous trees often grow in natural forests or scattered landscapes. This difference introduces several challenges, but it also creates opportunities for improving seed systems.</w:t>
      </w:r>
    </w:p>
    <w:p>
      <w:pPr>
        <w:pStyle w:val="Heading3"/>
        <w:rPr/>
      </w:pPr>
      <w:r>
        <w:rPr/>
        <w:t>Two Major Challenges</w:t>
      </w:r>
    </w:p>
    <w:p>
      <w:pPr>
        <w:pStyle w:val="Normal"/>
        <w:rPr/>
      </w:pPr>
      <w:r>
        <w:rPr/>
        <w:t>1. Irregular Fruiting and Long Maturity Periods:</w:t>
        <w:br/>
        <w:t>Many indigenous tree species take several years to reach reproductive maturity. Additionally, fruiting cycles may be irregular or seasonal, making seed collection unpredictable. This inconsistency complicates planning for large-scale seed supply compared to cereal crops, which follow predictable planting and harvesting schedules.</w:t>
      </w:r>
    </w:p>
    <w:p>
      <w:pPr>
        <w:pStyle w:val="Normal"/>
        <w:rPr/>
      </w:pPr>
      <w:r>
        <w:rPr/>
        <w:t>2. Difficulty in Access and Genetic Variability:</w:t>
        <w:br/>
        <w:t>Indigenous trees are often located in remote forests or dispersed across landscapes, making seed collection labor-intensive and costly. Furthermore, seeds collected from wild populations may exhibit high genetic variability, which can affect uniformity in germination and growth performance.</w:t>
      </w:r>
    </w:p>
    <w:p>
      <w:pPr>
        <w:pStyle w:val="Heading3"/>
        <w:rPr/>
      </w:pPr>
      <w:r>
        <w:rPr/>
        <w:t>Two Key Opportunities for Improvement</w:t>
      </w:r>
    </w:p>
    <w:p>
      <w:pPr>
        <w:pStyle w:val="Normal"/>
        <w:rPr/>
      </w:pPr>
      <w:r>
        <w:rPr/>
        <w:t>1. Establishment of Seed Orchards and Mother Tree Selection:</w:t>
        <w:br/>
        <w:t>Developing managed seed orchards and identifying superior mother trees can enhance seed quality and availability. This approach ensures genetic improvement, better germination rates, and more consistent supply for agroforestry initiatives.</w:t>
      </w:r>
    </w:p>
    <w:p>
      <w:pPr>
        <w:pStyle w:val="Normal"/>
        <w:rPr/>
      </w:pPr>
      <w:r>
        <w:rPr/>
        <w:t>2. Community-Based Seed Collection Networks:</w:t>
        <w:br/>
        <w:t>Organizing local communities into structured seed collection groups can improve accessibility and reduce costs. Training collectors in proper harvesting and storage techniques can also increase seed viability and support rural livelihoods.</w:t>
      </w:r>
    </w:p>
    <w:p>
      <w:pPr>
        <w:pStyle w:val="Heading2"/>
        <w:rPr/>
      </w:pPr>
      <w:r>
        <w:rPr/>
        <w:t>2. Government Policies to Improve Seed Quality Delivery in Nigeria</w:t>
      </w:r>
    </w:p>
    <w:p>
      <w:pPr>
        <w:pStyle w:val="Normal"/>
        <w:rPr/>
      </w:pPr>
      <w:r>
        <w:rPr/>
        <w:t>To strengthen agricultural productivity and entrepreneurship in Nigeria, the government can introduce targeted policies aimed at improving seed quality delivery systems. The following four policies are essential:</w:t>
      </w:r>
    </w:p>
    <w:p>
      <w:pPr>
        <w:pStyle w:val="Normal"/>
        <w:rPr/>
      </w:pPr>
      <w:r>
        <w:rPr/>
        <w:t>1. Strengthening Seed Certification and Regulatory Frameworks:</w:t>
        <w:br/>
        <w:t>Government agencies should enforce strict seed certification standards to ensure that only high-quality, tested, and approved seeds reach farmers. Regular monitoring and penalties for non-compliance can reduce the circulation of adulterated seeds.</w:t>
      </w:r>
    </w:p>
    <w:p>
      <w:pPr>
        <w:pStyle w:val="Normal"/>
        <w:rPr/>
      </w:pPr>
      <w:r>
        <w:rPr/>
        <w:t>2. Investment in Research and Development:</w:t>
        <w:br/>
        <w:t>Increased funding for agricultural research institutions can promote the development of improved seed varieties that are drought-tolerant, pest-resistant, and climate-resilient. Partnerships between universities, research institutes, and private companies can accelerate innovation.</w:t>
      </w:r>
    </w:p>
    <w:p>
      <w:pPr>
        <w:pStyle w:val="Normal"/>
        <w:rPr/>
      </w:pPr>
      <w:r>
        <w:rPr/>
        <w:t>3. Support for Local Seed Enterprises:</w:t>
        <w:br/>
        <w:t>Providing financial incentives such as grants, low-interest loans, and tax relief to seed entrepreneurs can strengthen local seed businesses. This support would encourage expansion of certified seed production and improve distribution networks across rural areas.</w:t>
      </w:r>
    </w:p>
    <w:p>
      <w:pPr>
        <w:pStyle w:val="Normal"/>
        <w:rPr/>
      </w:pPr>
      <w:r>
        <w:rPr/>
        <w:t>4. Digital Seed Tracking and Distribution Systems:</w:t>
        <w:br/>
        <w:t>Introducing digital platforms for seed registration, traceability, and distribution can enhance transparency and efficiency. Such systems would allow farmers to verify seed authenticity and improve trust in formal seed markets.</w:t>
      </w:r>
    </w:p>
    <w:p>
      <w:pPr>
        <w:pStyle w:val="Normal"/>
        <w:widowControl/>
        <w:bidi w:val="0"/>
        <w:spacing w:lineRule="auto" w:line="276" w:before="0" w:after="200"/>
        <w:jc w:val="start"/>
        <w:rPr/>
      </w:pPr>
      <w:r>
        <w:rPr/>
        <w:t>In conclusion, improving indigenous tree seed systems requires addressing biological and logistical challenges while leveraging community participation and technological innovation. Through effective policies and institutional support, Nigeria can enhance seed quality delivery and promote sustainable agricultural entrepreneurship.</w:t>
      </w:r>
    </w:p>
    <w:sectPr>
      <w:type w:val="nextPage"/>
      <w:pgSz w:w="12240" w:h="15840"/>
      <w:pgMar w:left="1800" w:right="180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ambria">
    <w:charset w:val="00" w:characterSet="windows-1252"/>
    <w:family w:val="roman"/>
    <w:pitch w:val="variable"/>
  </w:font>
  <w:font w:name="Calibri">
    <w:charset w:val="00" w:characterSet="windows-1252"/>
    <w:family w:val="roman"/>
    <w:pitch w:val="variable"/>
  </w:font>
  <w:font w:name="Courier">
    <w:altName w:val="Courier New"/>
    <w:charset w:val="00" w:characterSet="windows-1252"/>
    <w:family w:val="roman"/>
    <w:pitch w:val="variable"/>
  </w:font>
  <w:font w:name="Liberation Sans">
    <w:altName w:val="Arial"/>
    <w:charset w:val="00" w:characterSet="windows-1252"/>
    <w:family w:val="swiss"/>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start"/>
      <w:pPr>
        <w:tabs>
          <w:tab w:val="num" w:pos="360"/>
        </w:tabs>
        <w:ind w:start="36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2">
    <w:lvl w:ilvl="0">
      <w:start w:val="1"/>
      <w:numFmt w:val="bullet"/>
      <w:lvlText w:val=""/>
      <w:lvlJc w:val="start"/>
      <w:pPr>
        <w:tabs>
          <w:tab w:val="num" w:pos="720"/>
        </w:tabs>
        <w:ind w:start="72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3">
    <w:lvl w:ilvl="0">
      <w:start w:val="1"/>
      <w:numFmt w:val="bullet"/>
      <w:lvlText w:val=""/>
      <w:lvlJc w:val="start"/>
      <w:pPr>
        <w:tabs>
          <w:tab w:val="num" w:pos="1080"/>
        </w:tabs>
        <w:ind w:start="1080" w:hanging="360"/>
      </w:pPr>
      <w:rPr>
        <w:rFonts w:ascii="Symbol" w:hAnsi="Symbol" w:cs="Symbol" w:hint="default"/>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4">
    <w:lvl w:ilvl="0">
      <w:start w:val="1"/>
      <w:numFmt w:val="decimal"/>
      <w:lvlText w:val="%1."/>
      <w:lvlJc w:val="start"/>
      <w:pPr>
        <w:tabs>
          <w:tab w:val="num" w:pos="360"/>
        </w:tabs>
        <w:ind w:start="36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5">
    <w:lvl w:ilvl="0">
      <w:start w:val="1"/>
      <w:numFmt w:val="decimal"/>
      <w:lvlText w:val="%1."/>
      <w:lvlJc w:val="start"/>
      <w:pPr>
        <w:tabs>
          <w:tab w:val="num" w:pos="720"/>
        </w:tabs>
        <w:ind w:start="72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6">
    <w:lvl w:ilvl="0">
      <w:start w:val="1"/>
      <w:numFmt w:val="decimal"/>
      <w:lvlText w:val="%1."/>
      <w:lvlJc w:val="start"/>
      <w:pPr>
        <w:tabs>
          <w:tab w:val="num" w:pos="1080"/>
        </w:tabs>
        <w:ind w:start="1080" w:hanging="360"/>
      </w:pPr>
      <w:rPr/>
    </w:lvl>
    <w:lvl w:ilvl="1">
      <w:start w:val="1"/>
      <w:numFmt w:val="decimal"/>
      <w:lvlText w:val="%2."/>
      <w:lvlJc w:val="start"/>
      <w:pPr>
        <w:tabs>
          <w:tab w:val="num" w:pos="1080"/>
        </w:tabs>
        <w:ind w:start="1080" w:hanging="360"/>
      </w:pPr>
    </w:lvl>
    <w:lvl w:ilvl="2">
      <w:start w:val="1"/>
      <w:numFmt w:val="decimal"/>
      <w:lvlText w:val="%3."/>
      <w:lvlJc w:val="start"/>
      <w:pPr>
        <w:tabs>
          <w:tab w:val="num" w:pos="1440"/>
        </w:tabs>
        <w:ind w:start="1440" w:hanging="360"/>
      </w:pPr>
    </w:lvl>
    <w:lvl w:ilvl="3">
      <w:start w:val="1"/>
      <w:numFmt w:val="decimal"/>
      <w:lvlText w:val="%4."/>
      <w:lvlJc w:val="start"/>
      <w:pPr>
        <w:tabs>
          <w:tab w:val="num" w:pos="1800"/>
        </w:tabs>
        <w:ind w:start="1800" w:hanging="360"/>
      </w:pPr>
    </w:lvl>
    <w:lvl w:ilvl="4">
      <w:start w:val="1"/>
      <w:numFmt w:val="decimal"/>
      <w:lvlText w:val="%5."/>
      <w:lvlJc w:val="start"/>
      <w:pPr>
        <w:tabs>
          <w:tab w:val="num" w:pos="2160"/>
        </w:tabs>
        <w:ind w:start="2160" w:hanging="360"/>
      </w:pPr>
    </w:lvl>
    <w:lvl w:ilvl="5">
      <w:start w:val="1"/>
      <w:numFmt w:val="decimal"/>
      <w:lvlText w:val="%6."/>
      <w:lvlJc w:val="start"/>
      <w:pPr>
        <w:tabs>
          <w:tab w:val="num" w:pos="2520"/>
        </w:tabs>
        <w:ind w:start="2520" w:hanging="360"/>
      </w:pPr>
    </w:lvl>
    <w:lvl w:ilvl="6">
      <w:start w:val="1"/>
      <w:numFmt w:val="decimal"/>
      <w:lvlText w:val="%7."/>
      <w:lvlJc w:val="start"/>
      <w:pPr>
        <w:tabs>
          <w:tab w:val="num" w:pos="2880"/>
        </w:tabs>
        <w:ind w:start="2880" w:hanging="360"/>
      </w:pPr>
    </w:lvl>
    <w:lvl w:ilvl="7">
      <w:start w:val="1"/>
      <w:numFmt w:val="decimal"/>
      <w:lvlText w:val="%8."/>
      <w:lvlJc w:val="start"/>
      <w:pPr>
        <w:tabs>
          <w:tab w:val="num" w:pos="3240"/>
        </w:tabs>
        <w:ind w:start="3240" w:hanging="360"/>
      </w:pPr>
    </w:lvl>
    <w:lvl w:ilvl="8">
      <w:start w:val="1"/>
      <w:numFmt w:val="decimal"/>
      <w:lvlText w:val="%9."/>
      <w:lvlJc w:val="start"/>
      <w:pPr>
        <w:tabs>
          <w:tab w:val="num" w:pos="3600"/>
        </w:tabs>
        <w:ind w:start="3600" w:hanging="360"/>
      </w:pPr>
    </w:lvl>
  </w:abstractNum>
  <w:abstractNum w:abstractNumId="7">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w="http://schemas.openxmlformats.org/wordprocessingml/2006/main">
  <w:zoom w:percent="120"/>
  <w:defaultTabStop w:val="720"/>
  <w:autoHyphenation w:val="true"/>
  <w:hyphenationZone w:val="0"/>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ja-JP"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ＭＳ 明朝"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bidi w:val="0"/>
      <w:spacing w:lineRule="auto" w:line="276" w:before="0" w:after="20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ＭＳ ゴシック" w:cs="" w:asciiTheme="majorHAnsi" w:cstheme="majorBidi" w:eastAsiaTheme="majorEastAsia" w:hAnsiTheme="majorHAnsi"/>
      <w:b/>
      <w:bCs/>
      <w:color w:themeColor="accent1" w:themeShade="bf" w:val="365F91"/>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ＭＳ ゴシック" w:cs="" w:asciiTheme="majorHAnsi" w:cstheme="majorBidi" w:eastAsiaTheme="majorEastAsia" w:hAnsiTheme="majorHAnsi"/>
      <w:b/>
      <w:bCs/>
      <w:color w:themeColor="accent1" w:val="4F81BD"/>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ＭＳ ゴシック" w:cs="" w:asciiTheme="majorHAnsi" w:cstheme="majorBidi" w:eastAsiaTheme="majorEastAsia" w:hAnsiTheme="majorHAnsi"/>
      <w:b/>
      <w:bCs/>
      <w:color w:themeColor="accent1" w:val="4F81BD"/>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ＭＳ ゴシック" w:cs="" w:asciiTheme="majorHAnsi" w:cstheme="majorBidi" w:eastAsiaTheme="majorEastAsia" w:hAnsiTheme="majorHAnsi"/>
      <w:b/>
      <w:bCs/>
      <w:i/>
      <w:iCs/>
      <w:color w:themeColor="accent1" w:val="4F81BD"/>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ＭＳ ゴシック" w:cs="" w:asciiTheme="majorHAnsi" w:cstheme="majorBidi" w:eastAsiaTheme="majorEastAsia" w:hAnsiTheme="majorHAnsi"/>
      <w:color w:themeColor="accent1" w:themeShade="7f" w:val="243F60"/>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ＭＳ ゴシック" w:cs="" w:asciiTheme="majorHAnsi" w:cstheme="majorBidi" w:eastAsiaTheme="majorEastAsia" w:hAnsiTheme="majorHAnsi"/>
      <w:i/>
      <w:iCs/>
      <w:color w:themeColor="accent1" w:themeShade="7f" w:val="243F60"/>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ＭＳ ゴシック" w:cs="" w:asciiTheme="majorHAnsi" w:cstheme="majorBidi" w:eastAsiaTheme="majorEastAsia" w:hAnsiTheme="majorHAnsi"/>
      <w:i/>
      <w:iCs/>
      <w:color w:themeColor="text1" w:themeTint="bf" w:val="404040"/>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ＭＳ ゴシック" w:cs="" w:asciiTheme="majorHAnsi" w:cstheme="majorBidi" w:eastAsiaTheme="majorEastAsia" w:hAnsiTheme="majorHAnsi"/>
      <w:color w:themeColor="accent1" w:val="4F81BD"/>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ＭＳ ゴシック" w:cs="" w:asciiTheme="majorHAnsi" w:cstheme="majorBidi" w:eastAsiaTheme="majorEastAsia" w:hAnsiTheme="majorHAnsi"/>
      <w:b/>
      <w:bCs/>
      <w:color w:themeColor="accent1" w:themeShade="bf" w:val="365F91"/>
      <w:sz w:val="28"/>
      <w:szCs w:val="28"/>
    </w:rPr>
  </w:style>
  <w:style w:type="character" w:styleId="Heading2Char" w:customStyle="1">
    <w:name w:val="Heading 2 Char"/>
    <w:basedOn w:val="DefaultParagraphFont"/>
    <w:link w:val="Heading2"/>
    <w:uiPriority w:val="9"/>
    <w:qFormat/>
    <w:rsid w:val="00fc693f"/>
    <w:rPr>
      <w:rFonts w:ascii="Calibri" w:hAnsi="Calibri" w:eastAsia="ＭＳ ゴシック" w:cs="" w:asciiTheme="majorHAnsi" w:cstheme="majorBidi" w:eastAsiaTheme="majorEastAsia" w:hAnsiTheme="majorHAnsi"/>
      <w:b/>
      <w:bCs/>
      <w:color w:themeColor="accent1" w:val="4F81BD"/>
      <w:sz w:val="26"/>
      <w:szCs w:val="26"/>
    </w:rPr>
  </w:style>
  <w:style w:type="character" w:styleId="Heading3Char" w:customStyle="1">
    <w:name w:val="Heading 3 Char"/>
    <w:basedOn w:val="DefaultParagraphFont"/>
    <w:link w:val="Heading3"/>
    <w:uiPriority w:val="9"/>
    <w:qFormat/>
    <w:rsid w:val="00fc693f"/>
    <w:rPr>
      <w:rFonts w:ascii="Calibri" w:hAnsi="Calibri" w:eastAsia="ＭＳ ゴシック" w:cs="" w:asciiTheme="majorHAnsi" w:cstheme="majorBidi" w:eastAsiaTheme="majorEastAsia" w:hAnsiTheme="majorHAnsi"/>
      <w:b/>
      <w:bCs/>
      <w:color w:themeColor="accent1" w:val="4F81BD"/>
    </w:rPr>
  </w:style>
  <w:style w:type="character" w:styleId="TitleChar" w:customStyle="1">
    <w:name w:val="Title Char"/>
    <w:basedOn w:val="DefaultParagraphFont"/>
    <w:link w:val="Title"/>
    <w:uiPriority w:val="10"/>
    <w:qFormat/>
    <w:rsid w:val="00fc693f"/>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ＭＳ ゴシック" w:cs="" w:asciiTheme="majorHAnsi" w:cstheme="majorBidi" w:eastAsiaTheme="majorEastAsia" w:hAnsiTheme="majorHAnsi"/>
      <w:i/>
      <w:iCs/>
      <w:color w:themeColor="accent1" w:val="4F81BD"/>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Text"/>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themeColor="text1" w:val="000000"/>
    </w:rPr>
  </w:style>
  <w:style w:type="character" w:styleId="Heading4Char" w:customStyle="1">
    <w:name w:val="Heading 4 Char"/>
    <w:basedOn w:val="DefaultParagraphFont"/>
    <w:link w:val="Heading4"/>
    <w:uiPriority w:val="9"/>
    <w:semiHidden/>
    <w:qFormat/>
    <w:rsid w:val="00fc693f"/>
    <w:rPr>
      <w:rFonts w:ascii="Calibri" w:hAnsi="Calibri" w:eastAsia="ＭＳ ゴシック" w:cs="" w:asciiTheme="majorHAnsi" w:cstheme="majorBidi" w:eastAsiaTheme="majorEastAsia" w:hAnsiTheme="majorHAnsi"/>
      <w:b/>
      <w:bCs/>
      <w:i/>
      <w:iCs/>
      <w:color w:themeColor="accent1" w:val="4F81BD"/>
    </w:rPr>
  </w:style>
  <w:style w:type="character" w:styleId="Heading5Char" w:customStyle="1">
    <w:name w:val="Heading 5 Char"/>
    <w:basedOn w:val="DefaultParagraphFont"/>
    <w:link w:val="Heading5"/>
    <w:uiPriority w:val="9"/>
    <w:semiHidden/>
    <w:qFormat/>
    <w:rsid w:val="00fc693f"/>
    <w:rPr>
      <w:rFonts w:ascii="Calibri" w:hAnsi="Calibri" w:eastAsia="ＭＳ ゴシック" w:cs="" w:asciiTheme="majorHAnsi" w:cstheme="majorBidi" w:eastAsiaTheme="majorEastAsia" w:hAnsiTheme="majorHAnsi"/>
      <w:color w:themeColor="accent1" w:themeShade="7f" w:val="243F60"/>
    </w:rPr>
  </w:style>
  <w:style w:type="character" w:styleId="Heading6Char" w:customStyle="1">
    <w:name w:val="Heading 6 Char"/>
    <w:basedOn w:val="DefaultParagraphFont"/>
    <w:link w:val="Heading6"/>
    <w:uiPriority w:val="9"/>
    <w:semiHidden/>
    <w:qFormat/>
    <w:rsid w:val="00fc693f"/>
    <w:rPr>
      <w:rFonts w:ascii="Calibri" w:hAnsi="Calibri" w:eastAsia="ＭＳ ゴシック" w:cs="" w:asciiTheme="majorHAnsi" w:cstheme="majorBidi" w:eastAsiaTheme="majorEastAsia" w:hAnsiTheme="majorHAnsi"/>
      <w:i/>
      <w:iCs/>
      <w:color w:themeColor="accent1" w:themeShade="7f" w:val="243F60"/>
    </w:rPr>
  </w:style>
  <w:style w:type="character" w:styleId="Heading7Char" w:customStyle="1">
    <w:name w:val="Heading 7 Char"/>
    <w:basedOn w:val="DefaultParagraphFont"/>
    <w:link w:val="Heading7"/>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rPr>
  </w:style>
  <w:style w:type="character" w:styleId="Heading8Char" w:customStyle="1">
    <w:name w:val="Heading 8 Char"/>
    <w:basedOn w:val="DefaultParagraphFont"/>
    <w:link w:val="Heading8"/>
    <w:uiPriority w:val="9"/>
    <w:semiHidden/>
    <w:qFormat/>
    <w:rsid w:val="00fc693f"/>
    <w:rPr>
      <w:rFonts w:ascii="Calibri" w:hAnsi="Calibri" w:eastAsia="ＭＳ ゴシック" w:cs="" w:asciiTheme="majorHAnsi" w:cstheme="majorBidi" w:eastAsiaTheme="majorEastAsia" w:hAnsiTheme="majorHAnsi"/>
      <w:color w:themeColor="accent1" w:val="4F81BD"/>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ＭＳ ゴシック" w:cs="" w:asciiTheme="majorHAnsi" w:cstheme="majorBidi" w:eastAsiaTheme="majorEastAsia" w:hAnsiTheme="majorHAnsi"/>
      <w:i/>
      <w:iCs/>
      <w:color w:themeColor="text1" w:themeTint="bf" w:val="40404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themeColor="accent1" w:val="4F81BD"/>
    </w:rPr>
  </w:style>
  <w:style w:type="character" w:styleId="SubtleEmphasis">
    <w:name w:val="Subtle Emphasis"/>
    <w:basedOn w:val="DefaultParagraphFont"/>
    <w:uiPriority w:val="19"/>
    <w:qFormat/>
    <w:rsid w:val="00fc693f"/>
    <w:rPr>
      <w:i/>
      <w:iCs/>
      <w:color w:themeColor="text1" w:themeTint="7f" w:val="808080"/>
    </w:rPr>
  </w:style>
  <w:style w:type="character" w:styleId="IntenseEmphasis">
    <w:name w:val="Intense Emphasis"/>
    <w:basedOn w:val="DefaultParagraphFont"/>
    <w:uiPriority w:val="21"/>
    <w:qFormat/>
    <w:rsid w:val="00fc693f"/>
    <w:rPr>
      <w:b/>
      <w:bCs/>
      <w:i/>
      <w:iCs/>
      <w:color w:themeColor="accent1" w:val="4F81BD"/>
    </w:rPr>
  </w:style>
  <w:style w:type="character" w:styleId="SubtleReference">
    <w:name w:val="Subtle Reference"/>
    <w:basedOn w:val="DefaultParagraphFont"/>
    <w:uiPriority w:val="31"/>
    <w:qFormat/>
    <w:rsid w:val="00fc693f"/>
    <w:rPr>
      <w:smallCaps/>
      <w:color w:themeColor="accent2" w:val="C0504D"/>
      <w:u w:val="single"/>
    </w:rPr>
  </w:style>
  <w:style w:type="character" w:styleId="IntenseReference">
    <w:name w:val="Intense Reference"/>
    <w:basedOn w:val="DefaultParagraphFont"/>
    <w:uiPriority w:val="32"/>
    <w:qFormat/>
    <w:rsid w:val="00fc693f"/>
    <w:rPr>
      <w:b/>
      <w:bCs/>
      <w:smallCaps/>
      <w:color w:themeColor="accent2" w:val="C0504D"/>
      <w:spacing w:val="5"/>
      <w:u w:val="single"/>
    </w:rPr>
  </w:style>
  <w:style w:type="character" w:styleId="BookTitle">
    <w:name w:val="Book Title"/>
    <w:basedOn w:val="DefaultParagraphFont"/>
    <w:uiPriority w:val="33"/>
    <w:qFormat/>
    <w:rsid w:val="00fc693f"/>
    <w:rPr>
      <w:b/>
      <w:bCs/>
      <w:smallCaps/>
      <w:spacing w:val="5"/>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hanging="360" w:start="360"/>
      <w:contextualSpacing/>
    </w:pPr>
    <w:rPr/>
  </w:style>
  <w:style w:type="paragraph" w:styleId="Caption">
    <w:name w:val="caption"/>
    <w:basedOn w:val="Normal"/>
    <w:next w:val="Normal"/>
    <w:uiPriority w:val="35"/>
    <w:semiHidden/>
    <w:unhideWhenUsed/>
    <w:qFormat/>
    <w:rsid w:val="00fc693f"/>
    <w:pPr>
      <w:spacing w:lineRule="auto" w:line="240"/>
    </w:pPr>
    <w:rPr>
      <w:b/>
      <w:bCs/>
      <w:color w:themeColor="accent1" w:val="4F81BD"/>
      <w:sz w:val="18"/>
      <w:szCs w:val="18"/>
    </w:rPr>
  </w:style>
  <w:style w:type="paragraph" w:styleId="Index">
    <w:name w:val="Index"/>
    <w:basedOn w:val="Normal"/>
    <w:qFormat/>
    <w:pPr>
      <w:suppressLineNumbers/>
    </w:pPr>
    <w:rPr>
      <w:rFonts w:cs="Lucida Sans"/>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bidi w:val="0"/>
      <w:spacing w:lineRule="auto" w:line="240" w:before="0" w:after="0"/>
      <w:jc w:val="start"/>
    </w:pPr>
    <w:rPr>
      <w:rFonts w:ascii="Cambria" w:hAnsi="Cambria" w:eastAsia="ＭＳ 明朝"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themeColor="accent1"/>
      </w:pBdr>
      <w:spacing w:lineRule="auto" w:line="240" w:before="0" w:after="300"/>
      <w:contextualSpacing/>
    </w:pPr>
    <w:rPr>
      <w:rFonts w:ascii="Calibri" w:hAnsi="Calibri" w:eastAsia="ＭＳ ゴシック" w:cs="" w:asciiTheme="majorHAnsi" w:cstheme="majorBidi" w:eastAsiaTheme="majorEastAsia" w:hAnsiTheme="majorHAnsi"/>
      <w:color w:themeColor="text2" w:themeShade="bf" w:val="17365D"/>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ＭＳ ゴシック" w:cs="" w:asciiTheme="majorHAnsi" w:cstheme="majorBidi" w:eastAsiaTheme="majorEastAsia" w:hAnsiTheme="majorHAnsi"/>
      <w:i/>
      <w:iCs/>
      <w:color w:themeColor="accent1" w:val="4F81BD"/>
      <w:spacing w:val="15"/>
      <w:sz w:val="24"/>
      <w:szCs w:val="24"/>
    </w:rPr>
  </w:style>
  <w:style w:type="paragraph" w:styleId="ListParagraph">
    <w:name w:val="List Paragraph"/>
    <w:basedOn w:val="Normal"/>
    <w:uiPriority w:val="34"/>
    <w:qFormat/>
    <w:rsid w:val="00fc693f"/>
    <w:pPr>
      <w:spacing w:before="0" w:after="200"/>
      <w:ind w:start="72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2">
    <w:name w:val="List 2"/>
    <w:basedOn w:val="Normal"/>
    <w:uiPriority w:val="99"/>
    <w:unhideWhenUsed/>
    <w:qFormat/>
    <w:rsid w:val="00326f90"/>
    <w:pPr>
      <w:spacing w:before="0" w:after="200"/>
      <w:ind w:hanging="360" w:start="720"/>
      <w:contextualSpacing/>
    </w:pPr>
    <w:rPr/>
  </w:style>
  <w:style w:type="paragraph" w:styleId="List3">
    <w:name w:val="List 3"/>
    <w:basedOn w:val="Normal"/>
    <w:uiPriority w:val="99"/>
    <w:unhideWhenUsed/>
    <w:qFormat/>
    <w:rsid w:val="00326f90"/>
    <w:pPr>
      <w:spacing w:before="0" w:after="200"/>
      <w:ind w:hanging="360" w:start="1080"/>
      <w:contextualSpacing/>
    </w:pPr>
    <w:rPr/>
  </w:style>
  <w:style w:type="paragraph" w:styleId="ListBullet">
    <w:name w:val="List Bullet"/>
    <w:basedOn w:val="Normal"/>
    <w:uiPriority w:val="99"/>
    <w:unhideWhenUsed/>
    <w:rsid w:val="00326f90"/>
    <w:pPr>
      <w:numPr>
        <w:ilvl w:val="0"/>
        <w:numId w:val="1"/>
      </w:numPr>
      <w:spacing w:before="0" w:after="200"/>
      <w:contextualSpacing/>
    </w:pPr>
    <w:rPr/>
  </w:style>
  <w:style w:type="paragraph" w:styleId="ListBullet2">
    <w:name w:val="List Bullet 2"/>
    <w:basedOn w:val="Normal"/>
    <w:uiPriority w:val="99"/>
    <w:unhideWhenUsed/>
    <w:rsid w:val="00326f90"/>
    <w:pPr>
      <w:numPr>
        <w:ilvl w:val="0"/>
        <w:numId w:val="2"/>
      </w:numPr>
      <w:spacing w:before="0" w:after="200"/>
      <w:contextualSpacing/>
    </w:pPr>
    <w:rPr/>
  </w:style>
  <w:style w:type="paragraph" w:styleId="ListBullet3">
    <w:name w:val="List Bullet 3"/>
    <w:basedOn w:val="Normal"/>
    <w:uiPriority w:val="99"/>
    <w:unhideWhenUsed/>
    <w:rsid w:val="00326f90"/>
    <w:pPr>
      <w:numPr>
        <w:ilvl w:val="0"/>
        <w:numId w:val="3"/>
      </w:numPr>
      <w:spacing w:before="0" w:after="200"/>
      <w:contextualSpacing/>
    </w:pPr>
    <w:rPr/>
  </w:style>
  <w:style w:type="paragraph" w:styleId="ListNumber">
    <w:name w:val="List Number"/>
    <w:basedOn w:val="Normal"/>
    <w:uiPriority w:val="99"/>
    <w:unhideWhenUsed/>
    <w:rsid w:val="00326f90"/>
    <w:pPr>
      <w:numPr>
        <w:ilvl w:val="0"/>
        <w:numId w:val="4"/>
      </w:numPr>
      <w:spacing w:before="0" w:after="200"/>
      <w:contextualSpacing/>
    </w:pPr>
    <w:rPr/>
  </w:style>
  <w:style w:type="paragraph" w:styleId="ListNumber2">
    <w:name w:val="List Number 2"/>
    <w:basedOn w:val="Normal"/>
    <w:uiPriority w:val="99"/>
    <w:unhideWhenUsed/>
    <w:rsid w:val="0029639d"/>
    <w:pPr>
      <w:numPr>
        <w:ilvl w:val="0"/>
        <w:numId w:val="5"/>
      </w:numPr>
      <w:spacing w:before="0" w:after="200"/>
      <w:contextualSpacing/>
    </w:pPr>
    <w:rPr/>
  </w:style>
  <w:style w:type="paragraph" w:styleId="ListNumber3">
    <w:name w:val="List Number 3"/>
    <w:basedOn w:val="Normal"/>
    <w:uiPriority w:val="99"/>
    <w:unhideWhenUsed/>
    <w:rsid w:val="0029639d"/>
    <w:pPr>
      <w:numPr>
        <w:ilvl w:val="0"/>
        <w:numId w:val="6"/>
      </w:numPr>
      <w:spacing w:before="0" w:after="200"/>
      <w:contextualSpacing/>
    </w:pPr>
    <w:rPr/>
  </w:style>
  <w:style w:type="paragraph" w:styleId="ListContinue">
    <w:name w:val="List Continue"/>
    <w:basedOn w:val="Normal"/>
    <w:uiPriority w:val="99"/>
    <w:unhideWhenUsed/>
    <w:rsid w:val="0029639d"/>
    <w:pPr>
      <w:spacing w:before="0" w:after="120"/>
      <w:ind w:start="360"/>
      <w:contextualSpacing/>
    </w:pPr>
    <w:rPr/>
  </w:style>
  <w:style w:type="paragraph" w:styleId="ListContinue2">
    <w:name w:val="List Continue 2"/>
    <w:basedOn w:val="Normal"/>
    <w:uiPriority w:val="99"/>
    <w:unhideWhenUsed/>
    <w:rsid w:val="0029639d"/>
    <w:pPr>
      <w:spacing w:before="0" w:after="120"/>
      <w:ind w:start="720"/>
      <w:contextualSpacing/>
    </w:pPr>
    <w:rPr/>
  </w:style>
  <w:style w:type="paragraph" w:styleId="ListContinue3">
    <w:name w:val="List Continue 3"/>
    <w:basedOn w:val="Normal"/>
    <w:uiPriority w:val="99"/>
    <w:unhideWhenUsed/>
    <w:rsid w:val="0029639d"/>
    <w:pPr>
      <w:spacing w:before="0" w:after="120"/>
      <w:ind w:start="1080"/>
      <w:contextualSpacing/>
    </w:pPr>
    <w:rPr/>
  </w:style>
  <w:style w:type="paragraph" w:styleId="MacroText">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bidi w:val="0"/>
      <w:spacing w:lineRule="auto" w:line="276" w:before="0" w:after="200"/>
      <w:jc w:val="start"/>
    </w:pPr>
    <w:rPr>
      <w:rFonts w:ascii="Courier" w:hAnsi="Courier" w:eastAsia="ＭＳ 明朝"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themeColor="text1" w:val="000000"/>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start="936" w:end="936"/>
    </w:pPr>
    <w:rPr>
      <w:b/>
      <w:bCs/>
      <w:i/>
      <w:iCs/>
      <w:color w:themeColor="accent1" w:val="4F81BD"/>
    </w:rPr>
  </w:style>
  <w:style w:type="paragraph" w:styleId="IndexHeading">
    <w:name w:val="index heading"/>
    <w:basedOn w:val="Heading"/>
    <w:pPr/>
    <w:rPr/>
  </w:style>
  <w:style w:type="paragraph" w:styleId="TOCHeading">
    <w:name w:val="TOC Heading"/>
    <w:basedOn w:val="Heading1"/>
    <w:next w:val="Normal"/>
    <w:uiPriority w:val="39"/>
    <w:semiHidden/>
    <w:unhideWhenUsed/>
    <w:qFormat/>
    <w:rsid w:val="00fc693f"/>
    <w:pPr>
      <w:outlineLvl w:val="9"/>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themeColor="text1"/>
      </w:rPr>
      <w:tblPr/>
      <w:tcPr>
        <w:shd w:val="clear" w:color="auto" w:fill="E6E6E6" w:themeFill="tex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themeColor="text1"/>
      </w:rPr>
      <w:tblPr/>
      <w:tcPr>
        <w:shd w:val="clear" w:color="auto" w:fill="EDF2F8" w:themeFill="accent1"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themeColor="text1"/>
      </w:rPr>
      <w:tblPr/>
      <w:tcPr>
        <w:shd w:val="clear" w:color="auto" w:fill="F8EDED" w:themeFill="accent2"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themeColor="text1"/>
      </w:rPr>
      <w:tblPr/>
      <w:tcPr>
        <w:shd w:val="clear" w:color="auto" w:fill="F5F8EE" w:themeFill="accent3"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themeColor="text1"/>
      </w:rPr>
      <w:tblPr/>
      <w:tcPr>
        <w:shd w:val="clear" w:color="auto" w:fill="F2EFF6" w:themeFill="accent4"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themeColor="text1"/>
      </w:rPr>
      <w:tblPr/>
      <w:tcPr>
        <w:shd w:val="clear" w:color="auto" w:fill="EDF6F9" w:themeFill="accent5"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themeColor="text1"/>
      </w:rPr>
      <w:tblPr/>
      <w:tcPr>
        <w:shd w:val="clear" w:color="auto" w:fill="FEF4EC" w:themeFill="accent6" w:themeFillTint="19"/>
      </w:tcPr>
    </w:tblStylePr>
    <w:tblStylePr w:type="lastRow">
      <w:rPr>
        <w:b/>
        <w:bCs/>
        <w:color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000000" w:themeFill="text1" w:themeFillShade="99"/>
      </w:tcPr>
    </w:tblStylePr>
    <w:tblStylePr w:type="firstCol">
      <w:rPr>
        <w:color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themeColor="text1"/>
      </w:rPr>
      <w:tblPr/>
    </w:tblStylePr>
    <w:tblStylePr w:type="nwCell">
      <w:rPr>
        <w:color w:themeColor="text1"/>
      </w:rPr>
      <w:tblPr/>
    </w:tblStylePr>
  </w:style>
  <w:style w:type="table" w:styleId="ColorfulShading-Accent1">
    <w:name w:val="Colorful Shading Accent 1"/>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C4C74" w:themeFill="accent1" w:themeFillShade="99"/>
      </w:tcPr>
    </w:tblStylePr>
    <w:tblStylePr w:type="firstCol">
      <w:rPr>
        <w:color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themeColor="text1"/>
      </w:rPr>
      <w:tblPr/>
    </w:tblStylePr>
    <w:tblStylePr w:type="nwCell">
      <w:rPr>
        <w:color w:themeColor="text1"/>
      </w:rPr>
      <w:tblPr/>
    </w:tblStylePr>
  </w:style>
  <w:style w:type="table" w:styleId="ColorfulShading-Accent2">
    <w:name w:val="Colorful Shading Accent 2"/>
    <w:basedOn w:val="TableNormal"/>
    <w:uiPriority w:val="71"/>
    <w:rsid w:val="00cb0664"/>
    <w:pPr>
      <w:spacing w:after="0" w:line="240" w:lineRule="auto"/>
    </w:pPr>
    <w:rPr>
      <w:color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772C2A" w:themeFill="accent2" w:themeFillShade="99"/>
      </w:tcPr>
    </w:tblStylePr>
    <w:tblStylePr w:type="firstCol">
      <w:rPr>
        <w:color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themeColor="text1"/>
      </w:rPr>
      <w:tblPr/>
    </w:tblStylePr>
    <w:tblStylePr w:type="nwCell">
      <w:rPr>
        <w:color w:themeColor="text1"/>
      </w:rPr>
      <w:tblPr/>
    </w:tblStylePr>
  </w:style>
  <w:style w:type="table" w:styleId="ColorfulShading-Accent3">
    <w:name w:val="Colorful Shading Accent 3"/>
    <w:basedOn w:val="TableNormal"/>
    <w:uiPriority w:val="71"/>
    <w:rsid w:val="00cb0664"/>
    <w:pPr>
      <w:spacing w:after="0" w:line="240" w:lineRule="auto"/>
    </w:pPr>
    <w:rPr>
      <w:color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5E7530" w:themeFill="accent3" w:themeFillShade="99"/>
      </w:tcPr>
    </w:tblStylePr>
    <w:tblStylePr w:type="firstCol">
      <w:rPr>
        <w:color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4C3B62" w:themeFill="accent4" w:themeFillShade="99"/>
      </w:tcPr>
    </w:tblStylePr>
    <w:tblStylePr w:type="firstCol">
      <w:rPr>
        <w:color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themeColor="text1"/>
      </w:rPr>
      <w:tblPr/>
    </w:tblStylePr>
    <w:tblStylePr w:type="nwCell">
      <w:rPr>
        <w:color w:themeColor="text1"/>
      </w:rPr>
      <w:tblPr/>
    </w:tblStylePr>
  </w:style>
  <w:style w:type="table" w:styleId="ColorfulShading-Accent5">
    <w:name w:val="Colorful Shading Accent 5"/>
    <w:basedOn w:val="TableNormal"/>
    <w:uiPriority w:val="71"/>
    <w:rsid w:val="00cb0664"/>
    <w:pPr>
      <w:spacing w:after="0" w:line="240" w:lineRule="auto"/>
    </w:pPr>
    <w:rPr>
      <w:color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276A7C" w:themeFill="accent5" w:themeFillShade="99"/>
      </w:tcPr>
    </w:tblStylePr>
    <w:tblStylePr w:type="firstCol">
      <w:rPr>
        <w:color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themeColor="text1"/>
      </w:rPr>
      <w:tblPr/>
    </w:tblStylePr>
    <w:tblStylePr w:type="nwCell">
      <w:rPr>
        <w:color w:themeColor="text1"/>
      </w:rPr>
      <w:tblPr/>
    </w:tblStylePr>
  </w:style>
  <w:style w:type="table" w:styleId="ColorfulShading-Accent6">
    <w:name w:val="Colorful Shading Accent 6"/>
    <w:basedOn w:val="TableNormal"/>
    <w:uiPriority w:val="71"/>
    <w:rsid w:val="00cb0664"/>
    <w:pPr>
      <w:spacing w:after="0" w:line="240" w:lineRule="auto"/>
    </w:pPr>
    <w:rPr>
      <w:color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themeColor="background1"/>
      </w:rPr>
      <w:tblPr/>
      <w:tcPr>
        <w:tcBorders>
          <w:top w:val="single" w:color="FFFFFF" w:themeColor="background1" w:sz="6" w:space="0"/>
        </w:tcBorders>
        <w:shd w:val="clear" w:color="auto" w:fill="B65608" w:themeFill="accent6" w:themeFillShade="99"/>
      </w:tcPr>
    </w:tblStylePr>
    <w:tblStylePr w:type="firstCol">
      <w:rPr>
        <w:color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themeColor="text1"/>
      </w:rPr>
      <w:tblPr/>
    </w:tblStylePr>
    <w:tblStylePr w:type="nwCell">
      <w:rPr>
        <w:color w:themeColor="text1"/>
      </w:rPr>
      <w:tblPr/>
    </w:tblStylePr>
  </w:style>
  <w:style w:type="table" w:styleId="ColorfulList">
    <w:name w:val="Colorful List"/>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themeColor="background1"/>
      </w:rPr>
      <w:tblPr/>
      <w:tcPr>
        <w:tcBorders>
          <w:bottom w:val="single" w:color="FFFFFF" w:themeColor="background1" w:sz="12" w:space="0"/>
        </w:tcBorders>
        <w:shd w:val="clear" w:color="auto" w:fill="9E3A38" w:themeFill="accent2" w:themeFillShade="cc"/>
      </w:tcPr>
    </w:tblStylePr>
    <w:tblStylePr w:type="lastRow">
      <w:rPr>
        <w:b/>
        <w:bCs/>
        <w:color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themeColor="background1"/>
      </w:rPr>
      <w:tblPr/>
      <w:tcPr>
        <w:tcBorders>
          <w:bottom w:val="single" w:color="FFFFFF" w:themeColor="background1" w:sz="12" w:space="0"/>
        </w:tcBorders>
        <w:shd w:val="clear" w:color="auto" w:fill="664E82" w:themeFill="accent4" w:themeFillShade="cc"/>
      </w:tcPr>
    </w:tblStylePr>
    <w:tblStylePr w:type="lastRow">
      <w:rPr>
        <w:b/>
        <w:bCs/>
        <w:color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themeColor="background1"/>
      </w:rPr>
      <w:tblPr/>
      <w:tcPr>
        <w:tcBorders>
          <w:bottom w:val="single" w:color="FFFFFF" w:themeColor="background1" w:sz="12" w:space="0"/>
        </w:tcBorders>
        <w:shd w:val="clear" w:color="auto" w:fill="7E9C40" w:themeFill="accent3" w:themeFillShade="cc"/>
      </w:tcPr>
    </w:tblStylePr>
    <w:tblStylePr w:type="lastRow">
      <w:rPr>
        <w:b/>
        <w:bCs/>
        <w:color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themeColor="background1"/>
      </w:rPr>
      <w:tblPr/>
      <w:tcPr>
        <w:tcBorders>
          <w:bottom w:val="single" w:color="FFFFFF" w:themeColor="background1" w:sz="12" w:space="0"/>
        </w:tcBorders>
        <w:shd w:val="clear" w:color="auto" w:fill="F2730A" w:themeFill="accent6" w:themeFillShade="cc"/>
      </w:tcPr>
    </w:tblStylePr>
    <w:tblStylePr w:type="lastRow">
      <w:rPr>
        <w:b/>
        <w:bCs/>
        <w:color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themeColor="background1"/>
      </w:rPr>
      <w:tblPr/>
      <w:tcPr>
        <w:tcBorders>
          <w:bottom w:val="single" w:color="FFFFFF" w:themeColor="background1" w:sz="12" w:space="0"/>
        </w:tcBorders>
        <w:shd w:val="clear" w:color="auto" w:fill="348DA5" w:themeFill="accent5" w:themeFillShade="cc"/>
      </w:tcPr>
    </w:tblStylePr>
    <w:tblStylePr w:type="lastRow">
      <w:rPr>
        <w:b/>
        <w:bCs/>
        <w:color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themeColor="text1"/>
      </w:rPr>
      <w:tblPr/>
      <w:tcPr>
        <w:shd w:val="clear" w:color="auto" w:fill="999999" w:themeFill="text1" w:themeFillTint="66"/>
      </w:tcPr>
    </w:tblStylePr>
    <w:tblStylePr w:type="firstCol">
      <w:rPr>
        <w:color w:themeColor="background1"/>
      </w:rPr>
      <w:tblPr/>
      <w:tcPr>
        <w:shd w:val="clear" w:color="auto" w:fill="000000" w:themeFill="text1" w:themeFillShade="bf"/>
      </w:tcPr>
    </w:tblStylePr>
    <w:tblStylePr w:type="lastCol">
      <w:rPr>
        <w:color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themeColor="text1"/>
      </w:rPr>
      <w:tblPr/>
      <w:tcPr>
        <w:shd w:val="clear" w:color="auto" w:fill="B8CCE4" w:themeFill="accent1" w:themeFillTint="66"/>
      </w:tcPr>
    </w:tblStylePr>
    <w:tblStylePr w:type="firstCol">
      <w:rPr>
        <w:color w:themeColor="background1"/>
      </w:rPr>
      <w:tblPr/>
      <w:tcPr>
        <w:shd w:val="clear" w:color="auto" w:fill="365F91" w:themeFill="accent1" w:themeFillShade="bf"/>
      </w:tcPr>
    </w:tblStylePr>
    <w:tblStylePr w:type="lastCol">
      <w:rPr>
        <w:color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themeColor="text1"/>
      </w:rPr>
      <w:tblPr/>
      <w:tcPr>
        <w:shd w:val="clear" w:color="auto" w:fill="E5B8B7" w:themeFill="accent2" w:themeFillTint="66"/>
      </w:tcPr>
    </w:tblStylePr>
    <w:tblStylePr w:type="firstCol">
      <w:rPr>
        <w:color w:themeColor="background1"/>
      </w:rPr>
      <w:tblPr/>
      <w:tcPr>
        <w:shd w:val="clear" w:color="auto" w:fill="943634" w:themeFill="accent2" w:themeFillShade="bf"/>
      </w:tcPr>
    </w:tblStylePr>
    <w:tblStylePr w:type="lastCol">
      <w:rPr>
        <w:color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themeColor="text1"/>
      </w:rPr>
      <w:tblPr/>
      <w:tcPr>
        <w:shd w:val="clear" w:color="auto" w:fill="D6E3BC" w:themeFill="accent3" w:themeFillTint="66"/>
      </w:tcPr>
    </w:tblStylePr>
    <w:tblStylePr w:type="firstCol">
      <w:rPr>
        <w:color w:themeColor="background1"/>
      </w:rPr>
      <w:tblPr/>
      <w:tcPr>
        <w:shd w:val="clear" w:color="auto" w:fill="76923C" w:themeFill="accent3" w:themeFillShade="bf"/>
      </w:tcPr>
    </w:tblStylePr>
    <w:tblStylePr w:type="lastCol">
      <w:rPr>
        <w:color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themeColor="text1"/>
      </w:rPr>
      <w:tblPr/>
      <w:tcPr>
        <w:shd w:val="clear" w:color="auto" w:fill="CCC0D9" w:themeFill="accent4" w:themeFillTint="66"/>
      </w:tcPr>
    </w:tblStylePr>
    <w:tblStylePr w:type="firstCol">
      <w:rPr>
        <w:color w:themeColor="background1"/>
      </w:rPr>
      <w:tblPr/>
      <w:tcPr>
        <w:shd w:val="clear" w:color="auto" w:fill="5F497A" w:themeFill="accent4" w:themeFillShade="bf"/>
      </w:tcPr>
    </w:tblStylePr>
    <w:tblStylePr w:type="lastCol">
      <w:rPr>
        <w:color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themeColor="text1"/>
      </w:rPr>
      <w:tblPr/>
      <w:tcPr>
        <w:shd w:val="clear" w:color="auto" w:fill="B6DDE8" w:themeFill="accent5" w:themeFillTint="66"/>
      </w:tcPr>
    </w:tblStylePr>
    <w:tblStylePr w:type="firstCol">
      <w:rPr>
        <w:color w:themeColor="background1"/>
      </w:rPr>
      <w:tblPr/>
      <w:tcPr>
        <w:shd w:val="clear" w:color="auto" w:fill="31849B" w:themeFill="accent5" w:themeFillShade="bf"/>
      </w:tcPr>
    </w:tblStylePr>
    <w:tblStylePr w:type="lastCol">
      <w:rPr>
        <w:color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themeColor="text1"/>
      </w:rPr>
      <w:tblPr/>
      <w:tcPr>
        <w:shd w:val="clear" w:color="auto" w:fill="FBD4B4" w:themeFill="accent6" w:themeFillTint="66"/>
      </w:tcPr>
    </w:tblStylePr>
    <w:tblStylePr w:type="firstCol">
      <w:rPr>
        <w:color w:themeColor="background1"/>
      </w:rPr>
      <w:tblPr/>
      <w:tcPr>
        <w:shd w:val="clear" w:color="auto" w:fill="E36C0A" w:themeFill="accent6" w:themeFillShade="bf"/>
      </w:tcPr>
    </w:tblStylePr>
    <w:tblStylePr w:type="lastCol">
      <w:rPr>
        <w:color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 Id="rId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Application>LibreOffice/25.8.3.2$Windows_X86_64 LibreOffice_project/8ca8d55c161d602844f5428fa4b58097424e324e</Application>
  <AppVersion>15.0000</AppVersion>
  <Pages>2</Pages>
  <Words>485</Words>
  <Characters>3320</Characters>
  <CharactersWithSpaces>3789</CharactersWithSpaces>
  <Paragraphs>17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2026-02-14T16:28:06Z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file>