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20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20/07/2026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Before transitioning, applied the right collision shapes to each of the 3d model assets provided in the tutorial.</w:t>
              <w:br/>
              <w:t xml:space="preserve">    - Transitioned the project from blockouts to actual textured 3D objects.</w:t>
              <w:br/>
              <w:t xml:space="preserve">    - Learned the intricacies of StandardMaterial3D, managing UV maps, and integrating custom seamless textures onto walls and floors.</w:t>
              <w:br/>
              <w:t xml:space="preserve">    - Experimented extensively with normal maps, albedo, and roughness channels to ensure surfaces reacted realistically to dynamic light sources.</w:t>
              <w:br/>
              <w:br/>
              <w:t>Next to-do:</w:t>
              <w:br/>
              <w:t xml:space="preserve">    - Implement advanced physics collisions for props inside the building.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182</Words>
  <Characters>1209</Characters>
  <CharactersWithSpaces>1400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2026-08-04T04:28:28Z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