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tl w:val="1"/>
        </w:rPr>
        <w:t>نموذج توضيحي للتصميم التعليمي</w:t>
      </w:r>
    </w:p>
    <w:p>
      <w:pPr>
        <w:pStyle w:val="Subtitle"/>
        <w:bidi w:val="1"/>
      </w:pPr>
      <w:r>
        <w:rPr>
          <w:rtl w:val="1"/>
        </w:rPr>
        <w:t>مثال تخطيطي لاتجاه العربية والمصطلحات الأجنبية</w:t>
      </w:r>
    </w:p>
    <w:p>
      <w:pPr>
        <w:bidi w:val="1"/>
      </w:pPr>
      <w:r>
        <w:rPr>
          <w:rtl w:val="1"/>
        </w:rPr>
        <w:t>مثال تصميم فقط، دون ادعاءات بحثية</w:t>
      </w:r>
    </w:p>
    <w:p>
      <w:r>
        <w:br w:type="page"/>
      </w:r>
    </w:p>
    <w:p>
      <w:pPr>
        <w:pStyle w:val="Heading1"/>
        <w:bidi w:val="1"/>
      </w:pPr>
      <w:r>
        <w:rPr>
          <w:rtl w:val="1"/>
        </w:rPr>
        <w:t>جدول المحتويات</w:t>
      </w:r>
    </w:p>
    <w:p>
      <w:pPr>
        <w:bidi w:val="1"/>
      </w:pPr>
      <w:r>
        <w:rPr>
          <w:rtl w:val="1"/>
        </w:rPr>
        <w:fldChar w:fldCharType="begin"/>
        <w:instrText xml:space="preserve">TOC \o "1-3" \h \z \u</w:instrText>
        <w:fldChar w:fldCharType="separate"/>
      </w:r>
      <w:r>
        <w:rPr>
          <w:rtl w:val="1"/>
        </w:rPr>
        <w:fldChar w:fldCharType="end"/>
      </w:r>
    </w:p>
    <w:p>
      <w:r>
        <w:br w:type="page"/>
      </w:r>
    </w:p>
    <w:p>
      <w:bookmarkStart w:id="992547" w:name="arabic_sample"/>
      <w:pPr>
        <w:pStyle w:val="Heading1"/>
        <w:bidi w:val="1"/>
        <w:jc w:val="right"/>
      </w:pPr>
      <w:r>
        <w:rPr>
          <w:rtl w:val="1"/>
        </w:rPr>
        <w:t>شرح العناصر البصرية</w:t>
      </w:r>
      <w:bookmarkEnd w:id="992547"/>
    </w:p>
    <w:p>
      <w:pPr>
        <w:bidi w:val="1"/>
        <w:jc w:val="right"/>
      </w:pPr>
      <w:r>
        <w:rPr>
          <w:rtl w:val="0"/>
          <w:rtl w:val="1"/>
        </w:rPr>
        <w:t>تساعد الرسومات التوضيحية القارئ عند وجود حاجة تعليمية حقيقية. يجب الحفاظ على مصطلح API باللغة الإنجليزية عند الحاجة.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vAlign w:val="center"/>
            <w:shd w:fill="FFF1E6"/>
            <w:tcBorders>
              <w:right w:val="single" w:sz="28" w:color="B33E34"/>
            </w:tcBorders>
          </w:tcPr>
          <w:p>
            <w:pPr>
              <w:bidi w:val="1"/>
              <w:jc w:val="right"/>
            </w:pPr>
            <w:r>
              <w:rPr>
                <w:b/>
                <w:rtl w:val="1"/>
              </w:rPr>
              <w:t xml:space="preserve">تنبيه مهم: </w:t>
            </w:r>
            <w:r>
              <w:rPr>
                <w:rtl w:val="1"/>
                <w:rtl w:val="1"/>
              </w:rPr>
              <w:t>يوضع الشريط في الطرف الأيمن في المستند العربي.</w:t>
            </w:r>
          </w:p>
        </w:tc>
      </w:tr>
    </w:tbl>
    <w:p/>
    <w:p>
      <w:pPr>
        <w:bidi w:val="1"/>
      </w:pPr>
      <w:r>
        <w:rPr>
          <w:rtl w:val="1"/>
        </w:rPr>
        <w:t xml:space="preserve">استخدم الأمر </w:t>
      </w:r>
      <w:r>
        <w:rPr>
          <w:rStyle w:val="CodeInline"/>
          <w:rtl w:val="0"/>
          <w:rtl w:val="1"/>
        </w:rPr>
        <w:t>print("hello")</w:t>
      </w:r>
      <w:r>
        <w:rPr>
          <w:rtl w:val="1"/>
        </w:rPr>
        <w:t xml:space="preserve"> كمثال قابل للنسخ.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1" name="Picture 1" descr="خريطة مفاهيم تخطيطية تربط الفكرة الأساسية بأربعة موضوعات فرعية؛ مثال تصميم فقط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in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bidi w:val="1"/>
      </w:pPr>
      <w:r>
        <w:rPr>
          <w:rtl w:val="1"/>
        </w:rPr>
        <w:t xml:space="preserve">Figure </w:t>
      </w:r>
      <w:r>
        <w:rPr>
          <w:rtl w:val="1"/>
        </w:rPr>
        <w:fldChar w:fldCharType="begin"/>
        <w:instrText xml:space="preserve">SEQ Figure \* ARABIC</w:instrText>
        <w:fldChar w:fldCharType="separate"/>
      </w:r>
      <w:r>
        <w:rPr>
          <w:rtl w:val="1"/>
        </w:rPr>
        <w:fldChar w:fldCharType="end"/>
      </w:r>
      <w:r>
        <w:rPr>
          <w:rtl w:val="1"/>
        </w:rPr>
        <w:t xml:space="preserve"> — خريطة ذهنية تعليمية توضيحية وليست مصدرًا بحثيًا.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134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fldChar w:fldCharType="begin"/>
      <w:instrText xml:space="preserve">PAGE</w:instrText>
      <w:fldChar w:fldCharType="separate"/>
    </w:r>
    <w:r>
      <w:fldChar w:fldCharType="end"/>
    </w:r>
    <w:r>
      <w:t xml:space="preserve"> /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STYLEREF "Heading 1"</w:instrText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Noto Sans Arabic" w:hAnsi="Noto Sans Arabic"/>
      <w:color w:val="18394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/>
      <w:b/>
      <w:bCs/>
      <w:color w:val="18394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/>
      <w:b/>
      <w:bCs/>
      <w:color w:val="067D7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/>
      <w:color w:val="18394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Arabic" w:hAnsi="Noto Sans Arabic"/>
      <w:b/>
      <w:bCs/>
      <w:color w:val="18394F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/>
      <w:color w:val="067D76"/>
      <w:sz w:val="18"/>
    </w:rPr>
  </w:style>
  <w:style w:type="paragraph" w:customStyle="1" w:styleId="CodeBlock">
    <w:name w:val="Code Block"/>
    <w:rPr>
      <w:rFonts w:ascii="DejaVu Sans Mono" w:hAnsi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توضيحي للتصميم التعليمي</dc:title>
  <dc:subject>Educational document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