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Visual Teaching Methods</w:t>
      </w:r>
    </w:p>
    <w:p>
      <w:pPr>
        <w:pStyle w:val="Subtitle"/>
      </w:pPr>
      <w:r>
        <w:t>Editable editorial layout demonstration — not a factual research report</w:t>
      </w:r>
    </w:p>
    <w:p>
      <w:r>
        <w:t>Version 3 demonstration · All statements and diagram data are schematic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</w:r>
      <w:r>
        <w:fldChar w:fldCharType="end"/>
      </w:r>
    </w:p>
    <w:p>
      <w:r>
        <w:br w:type="page"/>
      </w:r>
    </w:p>
    <w:p>
      <w:bookmarkStart w:id="25529" w:name="choosing_visuals"/>
      <w:pPr>
        <w:pStyle w:val="Heading1"/>
      </w:pPr>
      <w:r>
        <w:t>Choosing the right visual</w:t>
      </w:r>
      <w:bookmarkEnd w:id="25529"/>
    </w:p>
    <w:p>
      <w:r>
        <w:rPr>
          <w:rtl w:val="0"/>
        </w:rPr>
        <w:t>Choose visuals by the learner's task. A clear paragraph is often better than an unnecessary decoration.</w:t>
      </w:r>
    </w:p>
    <w:p>
      <w:pPr>
        <w:pStyle w:val="Heading2"/>
      </w:pPr>
      <w:r>
        <w:t>One purpose per component</w:t>
      </w:r>
    </w:p>
    <w:p>
      <w:r>
        <w:rPr>
          <w:rtl w:val="0"/>
        </w:rPr>
        <w:t>Use an icon for a recognizable short cue; a diagram for structure; and a table for a comparison on consistent criteria.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center"/>
            <w:shd w:fill="FFF5DC"/>
            <w:tcBorders>
              <w:left w:val="single" w:sz="28" w:color="B33E34"/>
            </w:tcBorders>
          </w:tcPr>
          <w:p>
            <w:r>
              <w:rPr>
                <w:b/>
              </w:rPr>
              <w:t xml:space="preserve">IMPORTANT: </w:t>
            </w:r>
            <w:r>
              <w:rPr>
                <w:rtl w:val="0"/>
              </w:rPr>
              <w:t>This file demonstrates design and implementation, not external factual evidence.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24000"/>
            <wp:docPr id="1" name="Picture 1" descr="Three equal stage cards labeled intake, filter and output, connected left to right by arrow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rocess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 </w:t>
      </w:r>
      <w:r>
        <w:fldChar w:fldCharType="begin"/>
        <w:instrText xml:space="preserve">SEQ Figure \* ARABIC</w:instrText>
        <w:fldChar w:fldCharType="separate"/>
      </w:r>
      <w:r>
        <w:fldChar w:fldCharType="end"/>
      </w:r>
      <w:r>
        <w:t xml:space="preserve"> — Example of the ordered-process visual grammar; illustration only.</w:t>
      </w:r>
    </w:p>
    <w:p>
      <w:bookmarkStart w:id="787853" w:name="technical_components"/>
      <w:pPr>
        <w:pStyle w:val="Heading1"/>
      </w:pPr>
      <w:r>
        <w:t>Editable technical components</w:t>
      </w:r>
      <w:bookmarkEnd w:id="787853"/>
    </w:p>
    <w:p>
      <w:r>
        <w:rPr>
          <w:rtl w:val="0"/>
        </w:rPr>
        <w:t>Keep real content editable whenever possible; screenshots are not a substitute for source code.</w:t>
      </w:r>
    </w:p>
    <w:p>
      <w:r>
        <w:t xml:space="preserve">Name the function </w:t>
      </w:r>
      <w:r>
        <w:rPr>
          <w:rStyle w:val="CodeInline"/>
          <w:rtl w:val="0"/>
        </w:rPr>
        <w:t>validate_visual()</w:t>
      </w:r>
      <w:r>
        <w:t xml:space="preserve"> inside the paragraph.</w:t>
      </w:r>
    </w:p>
    <w:p>
      <w:pPr>
        <w:pStyle w:val="CodeBlock"/>
        <w:ind w:left="312"/>
      </w:pPr>
      <w:r>
        <w:rPr>
          <w:rFonts w:ascii="DejaVu Sans Mono" w:hAnsi="DejaVu Sans Mono"/>
        </w:rPr>
        <w:t>def validate_visual(item):</w:t>
      </w:r>
      <w:r>
        <w:br/>
      </w:r>
      <w:r>
        <w:rPr>
          <w:rFonts w:ascii="DejaVu Sans Mono" w:hAnsi="DejaVu Sans Mono"/>
        </w:rPr>
        <w:t xml:space="preserve">    return item['educational_gain']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</w:tcPr>
          <w:p>
            <w:r>
              <w:t>Learning goal</w:t>
            </w:r>
          </w:p>
        </w:tc>
        <w:tc>
          <w:tcPr>
            <w:tcW w:type="dxa" w:w="4819"/>
          </w:tcPr>
          <w:p>
            <w:r>
              <w:t>Preferred component</w:t>
            </w:r>
          </w:p>
        </w:tc>
      </w:tr>
      <w:tr>
        <w:tc>
          <w:tcPr>
            <w:tcW w:type="dxa" w:w="4819"/>
          </w:tcPr>
          <w:p>
            <w:r>
              <w:t>Sequential stages</w:t>
            </w:r>
          </w:p>
        </w:tc>
        <w:tc>
          <w:tcPr>
            <w:tcW w:type="dxa" w:w="4819"/>
          </w:tcPr>
          <w:p>
            <w:r>
              <w:t>Process diagram</w:t>
            </w:r>
          </w:p>
        </w:tc>
      </w:tr>
      <w:tr>
        <w:tc>
          <w:tcPr>
            <w:tcW w:type="dxa" w:w="4819"/>
          </w:tcPr>
          <w:p>
            <w:r>
              <w:t>Attribute comparison</w:t>
            </w:r>
          </w:p>
        </w:tc>
        <w:tc>
          <w:tcPr>
            <w:tcW w:type="dxa" w:w="4819"/>
          </w:tcPr>
          <w:p>
            <w:r>
              <w:t>Structured table</w:t>
            </w:r>
          </w:p>
        </w:tc>
      </w:tr>
      <w:tr>
        <w:tc>
          <w:tcPr>
            <w:tcW w:type="dxa" w:w="4819"/>
          </w:tcPr>
          <w:p>
            <w:r>
              <w:t>Short caveat</w:t>
            </w:r>
          </w:p>
        </w:tc>
        <w:tc>
          <w:tcPr>
            <w:tcW w:type="dxa" w:w="4819"/>
          </w:tcPr>
          <w:p>
            <w:r>
              <w:t>Callout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91" w:right="1134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separate"/>
    </w:r>
    <w:r>
      <w:fldChar w:fldCharType="end"/>
    </w:r>
    <w:r>
      <w:t xml:space="preserve"> / </w:t>
    </w:r>
    <w:r>
      <w:fldChar w:fldCharType="begin"/>
      <w:instrText xml:space="preserve">NUMPAGES</w:instrText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fldChar w:fldCharType="begin"/>
      <w:instrText xml:space="preserve">STYLEREF "Heading 1"</w:instrText>
      <w:fldChar w:fldCharType="separate"/>
    </w:r>
    <w: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Liberation Sans" w:hAnsi="Liberation Sans"/>
      <w:color w:val="173B5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B5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37C9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B51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173B51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 Inline"/>
    <w:rPr>
      <w:rFonts w:ascii="DejaVu Sans Mono" w:hAnsi="DejaVu Sans Mono"/>
      <w:color w:val="237C90"/>
      <w:sz w:val="18"/>
    </w:rPr>
  </w:style>
  <w:style w:type="paragraph" w:customStyle="1" w:styleId="CodeBlock">
    <w:name w:val="Code Block"/>
    <w:rPr>
      <w:rFonts w:ascii="DejaVu Sans Mono" w:hAnsi="DejaVu Sans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Visual Teaching Methods</dc:title>
  <dc:subject>Educational document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