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80"/>
        <w:jc w:val="center"/>
      </w:pPr>
      <w:r>
        <w:rPr>
          <w:rFonts w:ascii="Arial" w:cs="Arial" w:eastAsia="Arial" w:hAnsi="Arial"/>
          <w:b/>
          <w:bCs/>
          <w:color w:val="003366"/>
          <w:sz w:val="40"/>
          <w:szCs w:val="40"/>
        </w:rPr>
        <w:t xml:space="preserve">AEROSYS AVIONICS SYSTEMS LTD.</w:t>
      </w:r>
    </w:p>
    <w:p>
      <w:pPr>
        <w:pBdr>
          <w:bottom w:val="single" w:color="1F5C99" w:sz="12" w:space="8"/>
        </w:pBdr>
        <w:spacing w:before="0" w:after="360"/>
        <w:jc w:val="center"/>
      </w:pPr>
      <w:r>
        <w:rPr>
          <w:rFonts w:ascii="Arial" w:cs="Arial" w:eastAsia="Arial" w:hAnsi="Arial"/>
          <w:color w:val="1F5C99"/>
          <w:sz w:val="26"/>
          <w:szCs w:val="26"/>
        </w:rPr>
        <w:t xml:space="preserve">AeroSys 9000 Integrated Avionics Platform</w:t>
      </w:r>
    </w:p>
    <w:p>
      <w:pPr>
        <w:spacing w:before="0" w:after="240"/>
      </w:pPr>
    </w:p>
    <w:p>
      <w:pPr>
        <w:spacing w:before="0" w:after="120"/>
        <w:jc w:val="center"/>
      </w:pPr>
      <w:r>
        <w:rPr>
          <w:rFonts w:ascii="Arial" w:cs="Arial" w:eastAsia="Arial" w:hAnsi="Arial"/>
          <w:b/>
          <w:bCs/>
          <w:color w:val="003366"/>
          <w:sz w:val="44"/>
          <w:szCs w:val="44"/>
        </w:rPr>
        <w:t xml:space="preserve">SOFTWARE VERIFICATION PLAN</w:t>
      </w:r>
    </w:p>
    <w:p>
      <w:pPr>
        <w:spacing w:before="0" w:after="480"/>
        <w:jc w:val="center"/>
      </w:pPr>
      <w:r>
        <w:rPr>
          <w:rFonts w:ascii="Arial" w:cs="Arial" w:eastAsia="Arial" w:hAnsi="Arial"/>
          <w:b/>
          <w:bCs/>
          <w:color w:val="1F5C99"/>
          <w:sz w:val="28"/>
          <w:szCs w:val="28"/>
        </w:rPr>
        <w:t xml:space="preserve">(SVP)</w:t>
      </w:r>
    </w:p>
    <w:p>
      <w:pPr>
        <w:spacing w:before="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Document Number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AEROSYS-SVP-001</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Revision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 — Initial Release</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2026-03-14</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DO-178C Level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DAL B/C — MC/DC Required</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Classification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PROPRIETARY — RESTRICTED</w:t>
            </w:r>
          </w:p>
        </w:tc>
      </w:tr>
    </w:tbl>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1  Purpose</w:t>
      </w:r>
    </w:p>
    <w:p>
      <w:pPr>
        <w:spacing w:before="60" w:after="60"/>
        <w:jc w:val="left"/>
      </w:pPr>
      <w:r>
        <w:rPr>
          <w:rFonts w:ascii="Arial" w:cs="Arial" w:eastAsia="Arial" w:hAnsi="Arial"/>
          <w:b w:val="false"/>
          <w:bCs w:val="false"/>
          <w:i w:val="false"/>
          <w:iCs w:val="false"/>
          <w:color w:val="222222"/>
          <w:sz w:val="22"/>
          <w:szCs w:val="22"/>
        </w:rPr>
        <w:t xml:space="preserve">This Software Verification Plan (SVP) defines the verification activities, methods, environments, independence requirements, and coverage objectives that will be used to verify the AeroSys 9000 software. It satisfies DO-178C Section 11.3.</w:t>
      </w:r>
    </w:p>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2  Verification Overview</w:t>
      </w:r>
    </w:p>
    <w:p>
      <w:pPr>
        <w:pStyle w:val="Heading2"/>
        <w:spacing w:before="240" w:after="80"/>
      </w:pPr>
      <w:r>
        <w:rPr>
          <w:rFonts w:ascii="Arial" w:cs="Arial" w:eastAsia="Arial" w:hAnsi="Arial"/>
          <w:b/>
          <w:bCs/>
          <w:color w:val="1F5C99"/>
          <w:sz w:val="26"/>
          <w:szCs w:val="26"/>
        </w:rPr>
        <w:t xml:space="preserve">2.1  Verification Objectives</w:t>
      </w:r>
    </w:p>
    <w:p>
      <w:pPr>
        <w:spacing w:before="60" w:after="60"/>
        <w:jc w:val="left"/>
      </w:pPr>
      <w:r>
        <w:rPr>
          <w:rFonts w:ascii="Arial" w:cs="Arial" w:eastAsia="Arial" w:hAnsi="Arial"/>
          <w:b w:val="false"/>
          <w:bCs w:val="false"/>
          <w:i w:val="false"/>
          <w:iCs w:val="false"/>
          <w:color w:val="222222"/>
          <w:sz w:val="22"/>
          <w:szCs w:val="22"/>
        </w:rPr>
        <w:t xml:space="preserve">Verification shall demonstrate that the software satisfies its requirements and is free from unintended functions. The following verification activities apply: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c>
          <w:tcPr>
            <w:tcW w:type="dxa" w:w="2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Activity</w:t>
            </w:r>
          </w:p>
        </w:tc>
        <w:tc>
          <w:tcPr>
            <w:tcW w:type="dxa" w:w="139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 A</w:t>
            </w:r>
          </w:p>
        </w:tc>
        <w:tc>
          <w:tcPr>
            <w:tcW w:type="dxa" w:w="139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 B</w:t>
            </w:r>
          </w:p>
        </w:tc>
        <w:tc>
          <w:tcPr>
            <w:tcW w:type="dxa" w:w="139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 C</w:t>
            </w:r>
          </w:p>
        </w:tc>
        <w:tc>
          <w:tcPr>
            <w:tcW w:type="dxa" w:w="139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 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Software Reviews (Req, Design, Code)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Traceability Review</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Algorithm Accuracy Analysis</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Hardware/Software Integration Tests</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Low-Level Tests (unit)</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High-Level Tests (functional)</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Statement Coverage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Decision/Branch Coverage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MC/DC Coverage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Data Coupling Analysis</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Control Coupling Analysis</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Required</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3  Test Levels</w:t>
      </w:r>
    </w:p>
    <w:p>
      <w:pPr>
        <w:pStyle w:val="Heading2"/>
        <w:spacing w:before="240" w:after="80"/>
      </w:pPr>
      <w:r>
        <w:rPr>
          <w:rFonts w:ascii="Arial" w:cs="Arial" w:eastAsia="Arial" w:hAnsi="Arial"/>
          <w:b/>
          <w:bCs/>
          <w:color w:val="1F5C99"/>
          <w:sz w:val="26"/>
          <w:szCs w:val="26"/>
        </w:rPr>
        <w:t xml:space="preserve">3.1  Low-Level Tests (LLT) — Unit Tests</w:t>
      </w:r>
    </w:p>
    <w:p>
      <w:pPr>
        <w:spacing w:before="60" w:after="60"/>
        <w:jc w:val="left"/>
      </w:pPr>
      <w:r>
        <w:rPr>
          <w:rFonts w:ascii="Arial" w:cs="Arial" w:eastAsia="Arial" w:hAnsi="Arial"/>
          <w:b w:val="false"/>
          <w:bCs w:val="false"/>
          <w:i w:val="false"/>
          <w:iCs w:val="false"/>
          <w:color w:val="222222"/>
          <w:sz w:val="22"/>
          <w:szCs w:val="22"/>
        </w:rPr>
        <w:t xml:space="preserve">LLTs verify each software unit (Ada subprogram or JS function) against its LLR in isolation. They are executed on the development host using the AUnit test framework (Ada) and Jest (JavaScript).</w:t>
      </w:r>
    </w:p>
    <w:p>
      <w:pPr>
        <w:pStyle w:val="ListParagraph"/>
        <w:numPr>
          <w:ilvl w:val="0"/>
          <w:numId w:val="2"/>
        </w:numPr>
        <w:spacing w:before="40" w:after="40"/>
      </w:pPr>
      <w:r>
        <w:rPr>
          <w:rFonts w:ascii="Arial" w:cs="Arial" w:eastAsia="Arial" w:hAnsi="Arial"/>
          <w:sz w:val="22"/>
          <w:szCs w:val="22"/>
        </w:rPr>
        <w:t xml:space="preserve">Each LLR shall have at least one LLT</w:t>
      </w:r>
    </w:p>
    <w:p>
      <w:pPr>
        <w:pStyle w:val="ListParagraph"/>
        <w:numPr>
          <w:ilvl w:val="0"/>
          <w:numId w:val="2"/>
        </w:numPr>
        <w:spacing w:before="40" w:after="40"/>
      </w:pPr>
      <w:r>
        <w:rPr>
          <w:rFonts w:ascii="Arial" w:cs="Arial" w:eastAsia="Arial" w:hAnsi="Arial"/>
          <w:sz w:val="22"/>
          <w:szCs w:val="22"/>
        </w:rPr>
        <w:t xml:space="preserve">Boundary values and equivalence classes shall be covered for all numeric inputs</w:t>
      </w:r>
    </w:p>
    <w:p>
      <w:pPr>
        <w:pStyle w:val="ListParagraph"/>
        <w:numPr>
          <w:ilvl w:val="0"/>
          <w:numId w:val="2"/>
        </w:numPr>
        <w:spacing w:before="40" w:after="40"/>
      </w:pPr>
      <w:r>
        <w:rPr>
          <w:rFonts w:ascii="Arial" w:cs="Arial" w:eastAsia="Arial" w:hAnsi="Arial"/>
          <w:sz w:val="22"/>
          <w:szCs w:val="22"/>
        </w:rPr>
        <w:t xml:space="preserve">Robustness tests shall cover invalid inputs, SSM=FW/NCD, parity errors, and boundary violations</w:t>
      </w:r>
    </w:p>
    <w:p>
      <w:pPr>
        <w:pStyle w:val="ListParagraph"/>
        <w:numPr>
          <w:ilvl w:val="0"/>
          <w:numId w:val="2"/>
        </w:numPr>
        <w:spacing w:before="40" w:after="40"/>
      </w:pPr>
      <w:r>
        <w:rPr>
          <w:rFonts w:ascii="Arial" w:cs="Arial" w:eastAsia="Arial" w:hAnsi="Arial"/>
          <w:sz w:val="22"/>
          <w:szCs w:val="22"/>
        </w:rPr>
        <w:t xml:space="preserve">Each LLT procedure shall identify: test ID, LLR traced, inputs, expected output, pass criterion</w:t>
      </w:r>
    </w:p>
    <w:p>
      <w:pPr>
        <w:spacing w:before="0" w:after="80"/>
      </w:pPr>
    </w:p>
    <w:p>
      <w:pPr>
        <w:pStyle w:val="Heading2"/>
        <w:spacing w:before="240" w:after="80"/>
      </w:pPr>
      <w:r>
        <w:rPr>
          <w:rFonts w:ascii="Arial" w:cs="Arial" w:eastAsia="Arial" w:hAnsi="Arial"/>
          <w:b/>
          <w:bCs/>
          <w:color w:val="1F5C99"/>
          <w:sz w:val="26"/>
          <w:szCs w:val="26"/>
        </w:rPr>
        <w:t xml:space="preserve">3.2  High-Level Tests (HLT) — Functional Tests</w:t>
      </w:r>
    </w:p>
    <w:p>
      <w:pPr>
        <w:spacing w:before="60" w:after="60"/>
        <w:jc w:val="left"/>
      </w:pPr>
      <w:r>
        <w:rPr>
          <w:rFonts w:ascii="Arial" w:cs="Arial" w:eastAsia="Arial" w:hAnsi="Arial"/>
          <w:b w:val="false"/>
          <w:bCs w:val="false"/>
          <w:i w:val="false"/>
          <w:iCs w:val="false"/>
          <w:color w:val="222222"/>
          <w:sz w:val="22"/>
          <w:szCs w:val="22"/>
        </w:rPr>
        <w:t xml:space="preserve">HLTs verify the software against HLRs in the integrated software environment. They are executed on the simulation target (ARM) with ARINC 429 stimulus injected via a bus simulator card.</w:t>
      </w:r>
    </w:p>
    <w:p>
      <w:pPr>
        <w:pStyle w:val="ListParagraph"/>
        <w:numPr>
          <w:ilvl w:val="0"/>
          <w:numId w:val="2"/>
        </w:numPr>
        <w:spacing w:before="40" w:after="40"/>
      </w:pPr>
      <w:r>
        <w:rPr>
          <w:rFonts w:ascii="Arial" w:cs="Arial" w:eastAsia="Arial" w:hAnsi="Arial"/>
          <w:sz w:val="22"/>
          <w:szCs w:val="22"/>
        </w:rPr>
        <w:t xml:space="preserve">Each HLR shall have at least one normal-range HLT and at least one robustness HLT</w:t>
      </w:r>
    </w:p>
    <w:p>
      <w:pPr>
        <w:pStyle w:val="ListParagraph"/>
        <w:numPr>
          <w:ilvl w:val="0"/>
          <w:numId w:val="2"/>
        </w:numPr>
        <w:spacing w:before="40" w:after="40"/>
      </w:pPr>
      <w:r>
        <w:rPr>
          <w:rFonts w:ascii="Arial" w:cs="Arial" w:eastAsia="Arial" w:hAnsi="Arial"/>
          <w:sz w:val="22"/>
          <w:szCs w:val="22"/>
        </w:rPr>
        <w:t xml:space="preserve">Normal tests confirm correct behaviour under expected inputs</w:t>
      </w:r>
    </w:p>
    <w:p>
      <w:pPr>
        <w:pStyle w:val="ListParagraph"/>
        <w:numPr>
          <w:ilvl w:val="0"/>
          <w:numId w:val="2"/>
        </w:numPr>
        <w:spacing w:before="40" w:after="40"/>
      </w:pPr>
      <w:r>
        <w:rPr>
          <w:rFonts w:ascii="Arial" w:cs="Arial" w:eastAsia="Arial" w:hAnsi="Arial"/>
          <w:sz w:val="22"/>
          <w:szCs w:val="22"/>
        </w:rPr>
        <w:t xml:space="preserve">Robustness tests confirm correct response to off-nominal conditions (invalid bus data, SSM faults, freshness timeouts)</w:t>
      </w:r>
    </w:p>
    <w:p>
      <w:pPr>
        <w:spacing w:before="0" w:after="80"/>
      </w:pPr>
    </w:p>
    <w:p>
      <w:pPr>
        <w:pStyle w:val="Heading2"/>
        <w:spacing w:before="240" w:after="80"/>
      </w:pPr>
      <w:r>
        <w:rPr>
          <w:rFonts w:ascii="Arial" w:cs="Arial" w:eastAsia="Arial" w:hAnsi="Arial"/>
          <w:b/>
          <w:bCs/>
          <w:color w:val="1F5C99"/>
          <w:sz w:val="26"/>
          <w:szCs w:val="26"/>
        </w:rPr>
        <w:t xml:space="preserve">3.3  Hardware-in-the-Loop (HIL) Tests</w:t>
      </w:r>
    </w:p>
    <w:p>
      <w:pPr>
        <w:spacing w:before="60" w:after="60"/>
        <w:jc w:val="left"/>
      </w:pPr>
      <w:r>
        <w:rPr>
          <w:rFonts w:ascii="Arial" w:cs="Arial" w:eastAsia="Arial" w:hAnsi="Arial"/>
          <w:b w:val="false"/>
          <w:bCs w:val="false"/>
          <w:i w:val="false"/>
          <w:iCs w:val="false"/>
          <w:color w:val="222222"/>
          <w:sz w:val="22"/>
          <w:szCs w:val="22"/>
        </w:rPr>
        <w:t xml:space="preserve">HIL tests verify the complete software on the target processor with real ARINC 429 hardware. The HIL configuration shall consist of:</w:t>
      </w:r>
    </w:p>
    <w:p>
      <w:pPr>
        <w:pStyle w:val="ListParagraph"/>
        <w:numPr>
          <w:ilvl w:val="0"/>
          <w:numId w:val="2"/>
        </w:numPr>
        <w:spacing w:before="40" w:after="40"/>
      </w:pPr>
      <w:r>
        <w:rPr>
          <w:rFonts w:ascii="Arial" w:cs="Arial" w:eastAsia="Arial" w:hAnsi="Arial"/>
          <w:sz w:val="22"/>
          <w:szCs w:val="22"/>
        </w:rPr>
        <w:t xml:space="preserve">Target processor running VxWorks 653 or INTEGRITY-178</w:t>
      </w:r>
    </w:p>
    <w:p>
      <w:pPr>
        <w:pStyle w:val="ListParagraph"/>
        <w:numPr>
          <w:ilvl w:val="0"/>
          <w:numId w:val="2"/>
        </w:numPr>
        <w:spacing w:before="40" w:after="40"/>
      </w:pPr>
      <w:r>
        <w:rPr>
          <w:rFonts w:ascii="Arial" w:cs="Arial" w:eastAsia="Arial" w:hAnsi="Arial"/>
          <w:sz w:val="22"/>
          <w:szCs w:val="22"/>
        </w:rPr>
        <w:t xml:space="preserve">Astronics AceXtreme ARINC 429 board (or equivalent) injecting stimulus</w:t>
      </w:r>
    </w:p>
    <w:p>
      <w:pPr>
        <w:pStyle w:val="ListParagraph"/>
        <w:numPr>
          <w:ilvl w:val="0"/>
          <w:numId w:val="2"/>
        </w:numPr>
        <w:spacing w:before="40" w:after="40"/>
      </w:pPr>
      <w:r>
        <w:rPr>
          <w:rFonts w:ascii="Arial" w:cs="Arial" w:eastAsia="Arial" w:hAnsi="Arial"/>
          <w:sz w:val="22"/>
          <w:szCs w:val="22"/>
        </w:rPr>
        <w:t xml:space="preserve">Real-time monitoring of bus traffic via secondary monitoring port</w:t>
      </w:r>
    </w:p>
    <w:p>
      <w:pPr>
        <w:pStyle w:val="ListParagraph"/>
        <w:numPr>
          <w:ilvl w:val="0"/>
          <w:numId w:val="2"/>
        </w:numPr>
        <w:spacing w:before="40" w:after="40"/>
      </w:pPr>
      <w:r>
        <w:rPr>
          <w:rFonts w:ascii="Arial" w:cs="Arial" w:eastAsia="Arial" w:hAnsi="Arial"/>
          <w:sz w:val="22"/>
          <w:szCs w:val="22"/>
        </w:rPr>
        <w:t xml:space="preserve">Timing verification: WCET measurements for all interrupt handlers</w:t>
      </w:r>
    </w:p>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4  MC/DC Coverage</w:t>
      </w:r>
    </w:p>
    <w:p>
      <w:pPr>
        <w:pStyle w:val="Heading2"/>
        <w:spacing w:before="240" w:after="80"/>
      </w:pPr>
      <w:r>
        <w:rPr>
          <w:rFonts w:ascii="Arial" w:cs="Arial" w:eastAsia="Arial" w:hAnsi="Arial"/>
          <w:b/>
          <w:bCs/>
          <w:color w:val="1F5C99"/>
          <w:sz w:val="26"/>
          <w:szCs w:val="26"/>
        </w:rPr>
        <w:t xml:space="preserve">4.1  Requirement</w:t>
      </w:r>
    </w:p>
    <w:p>
      <w:pPr>
        <w:spacing w:before="60" w:after="60"/>
        <w:jc w:val="left"/>
      </w:pPr>
      <w:r>
        <w:rPr>
          <w:rFonts w:ascii="Arial" w:cs="Arial" w:eastAsia="Arial" w:hAnsi="Arial"/>
          <w:b w:val="false"/>
          <w:bCs w:val="false"/>
          <w:i w:val="false"/>
          <w:iCs w:val="false"/>
          <w:color w:val="222222"/>
          <w:sz w:val="22"/>
          <w:szCs w:val="22"/>
        </w:rPr>
        <w:t xml:space="preserve">Modified Condition/Decision Coverage (MC/DC) is required for all DAL A and DAL B components per DO-178C Section 6.4.4.2. MC/DC requires:</w:t>
      </w:r>
    </w:p>
    <w:p>
      <w:pPr>
        <w:pStyle w:val="ListParagraph"/>
        <w:numPr>
          <w:ilvl w:val="0"/>
          <w:numId w:val="2"/>
        </w:numPr>
        <w:spacing w:before="40" w:after="40"/>
      </w:pPr>
      <w:r>
        <w:rPr>
          <w:rFonts w:ascii="Arial" w:cs="Arial" w:eastAsia="Arial" w:hAnsi="Arial"/>
          <w:sz w:val="22"/>
          <w:szCs w:val="22"/>
        </w:rPr>
        <w:t xml:space="preserve">Every point of entry and exit is invoked at least once</w:t>
      </w:r>
    </w:p>
    <w:p>
      <w:pPr>
        <w:pStyle w:val="ListParagraph"/>
        <w:numPr>
          <w:ilvl w:val="0"/>
          <w:numId w:val="2"/>
        </w:numPr>
        <w:spacing w:before="40" w:after="40"/>
      </w:pPr>
      <w:r>
        <w:rPr>
          <w:rFonts w:ascii="Arial" w:cs="Arial" w:eastAsia="Arial" w:hAnsi="Arial"/>
          <w:sz w:val="22"/>
          <w:szCs w:val="22"/>
        </w:rPr>
        <w:t xml:space="preserve">Every decision takes every possible outcome at least once</w:t>
      </w:r>
    </w:p>
    <w:p>
      <w:pPr>
        <w:pStyle w:val="ListParagraph"/>
        <w:numPr>
          <w:ilvl w:val="0"/>
          <w:numId w:val="2"/>
        </w:numPr>
        <w:spacing w:before="40" w:after="40"/>
      </w:pPr>
      <w:r>
        <w:rPr>
          <w:rFonts w:ascii="Arial" w:cs="Arial" w:eastAsia="Arial" w:hAnsi="Arial"/>
          <w:sz w:val="22"/>
          <w:szCs w:val="22"/>
        </w:rPr>
        <w:t xml:space="preserve">Every condition in a decision takes every possible outcome at least once</w:t>
      </w:r>
    </w:p>
    <w:p>
      <w:pPr>
        <w:pStyle w:val="ListParagraph"/>
        <w:numPr>
          <w:ilvl w:val="0"/>
          <w:numId w:val="2"/>
        </w:numPr>
        <w:spacing w:before="40" w:after="40"/>
      </w:pPr>
      <w:r>
        <w:rPr>
          <w:rFonts w:ascii="Arial" w:cs="Arial" w:eastAsia="Arial" w:hAnsi="Arial"/>
          <w:sz w:val="22"/>
          <w:szCs w:val="22"/>
        </w:rPr>
        <w:t xml:space="preserve">Each condition independently affects the outcome of the decision</w:t>
      </w:r>
    </w:p>
    <w:p>
      <w:pPr>
        <w:spacing w:before="0" w:after="80"/>
      </w:pPr>
    </w:p>
    <w:p>
      <w:pPr>
        <w:pStyle w:val="Heading2"/>
        <w:spacing w:before="240" w:after="80"/>
      </w:pPr>
      <w:r>
        <w:rPr>
          <w:rFonts w:ascii="Arial" w:cs="Arial" w:eastAsia="Arial" w:hAnsi="Arial"/>
          <w:b/>
          <w:bCs/>
          <w:color w:val="1F5C99"/>
          <w:sz w:val="26"/>
          <w:szCs w:val="26"/>
        </w:rPr>
        <w:t xml:space="preserve">4.2  Achievement Method</w:t>
      </w:r>
    </w:p>
    <w:p>
      <w:pPr>
        <w:spacing w:before="60" w:after="60"/>
        <w:jc w:val="left"/>
      </w:pPr>
      <w:r>
        <w:rPr>
          <w:rFonts w:ascii="Arial" w:cs="Arial" w:eastAsia="Arial" w:hAnsi="Arial"/>
          <w:b w:val="false"/>
          <w:bCs w:val="false"/>
          <w:i w:val="false"/>
          <w:iCs w:val="false"/>
          <w:color w:val="222222"/>
          <w:sz w:val="22"/>
          <w:szCs w:val="22"/>
        </w:rPr>
        <w:t xml:space="preserve">GNATcoverage (TQL-1 qualified tool) is used for coverage measurement. The workflow is:</w:t>
      </w:r>
    </w:p>
    <w:p>
      <w:pPr>
        <w:pStyle w:val="ListParagraph"/>
        <w:numPr>
          <w:ilvl w:val="0"/>
          <w:numId w:val="3"/>
        </w:numPr>
        <w:spacing w:before="40" w:after="40"/>
      </w:pPr>
      <w:r>
        <w:rPr>
          <w:rFonts w:ascii="Arial" w:cs="Arial" w:eastAsia="Arial" w:hAnsi="Arial"/>
          <w:sz w:val="22"/>
          <w:szCs w:val="22"/>
        </w:rPr>
        <w:t xml:space="preserve">Build with coverage instrumentation: gprbuild -P aerosys.gpr -Xmode=coverage</w:t>
      </w:r>
    </w:p>
    <w:p>
      <w:pPr>
        <w:pStyle w:val="ListParagraph"/>
        <w:numPr>
          <w:ilvl w:val="0"/>
          <w:numId w:val="3"/>
        </w:numPr>
        <w:spacing w:before="40" w:after="40"/>
      </w:pPr>
      <w:r>
        <w:rPr>
          <w:rFonts w:ascii="Arial" w:cs="Arial" w:eastAsia="Arial" w:hAnsi="Arial"/>
          <w:sz w:val="22"/>
          <w:szCs w:val="22"/>
        </w:rPr>
        <w:t xml:space="preserve">Execute all LLT and HLT test cases against the instrumented binary</w:t>
      </w:r>
    </w:p>
    <w:p>
      <w:pPr>
        <w:pStyle w:val="ListParagraph"/>
        <w:numPr>
          <w:ilvl w:val="0"/>
          <w:numId w:val="3"/>
        </w:numPr>
        <w:spacing w:before="40" w:after="40"/>
      </w:pPr>
      <w:r>
        <w:rPr>
          <w:rFonts w:ascii="Arial" w:cs="Arial" w:eastAsia="Arial" w:hAnsi="Arial"/>
          <w:sz w:val="22"/>
          <w:szCs w:val="22"/>
        </w:rPr>
        <w:t xml:space="preserve">Generate coverage report: gnatcov coverage --level=stmt+mcdc --annotate=xcov+ --output-dir=cov_report</w:t>
      </w:r>
    </w:p>
    <w:p>
      <w:pPr>
        <w:pStyle w:val="ListParagraph"/>
        <w:numPr>
          <w:ilvl w:val="0"/>
          <w:numId w:val="3"/>
        </w:numPr>
        <w:spacing w:before="40" w:after="40"/>
      </w:pPr>
      <w:r>
        <w:rPr>
          <w:rFonts w:ascii="Arial" w:cs="Arial" w:eastAsia="Arial" w:hAnsi="Arial"/>
          <w:sz w:val="22"/>
          <w:szCs w:val="22"/>
        </w:rPr>
        <w:t xml:space="preserve">Review uncovered code: each uncovered statement/decision must be justified by a Problem Report</w:t>
      </w:r>
    </w:p>
    <w:p>
      <w:pPr>
        <w:pStyle w:val="ListParagraph"/>
        <w:numPr>
          <w:ilvl w:val="0"/>
          <w:numId w:val="3"/>
        </w:numPr>
        <w:spacing w:before="40" w:after="40"/>
      </w:pPr>
      <w:r>
        <w:rPr>
          <w:rFonts w:ascii="Arial" w:cs="Arial" w:eastAsia="Arial" w:hAnsi="Arial"/>
          <w:sz w:val="22"/>
          <w:szCs w:val="22"/>
        </w:rPr>
        <w:t xml:space="preserve">Verified coverage data submitted to DER as part of SVTR</w:t>
      </w:r>
    </w:p>
    <w:p>
      <w:pPr>
        <w:spacing w:before="0" w:after="80"/>
      </w:pPr>
    </w:p>
    <w:p>
      <w:pPr>
        <w:pStyle w:val="Heading2"/>
        <w:spacing w:before="240" w:after="80"/>
      </w:pPr>
      <w:r>
        <w:rPr>
          <w:rFonts w:ascii="Arial" w:cs="Arial" w:eastAsia="Arial" w:hAnsi="Arial"/>
          <w:b/>
          <w:bCs/>
          <w:color w:val="1F5C99"/>
          <w:sz w:val="26"/>
          <w:szCs w:val="26"/>
        </w:rPr>
        <w:t xml:space="preserve">4.3  SPARK 2014 Credit</w:t>
      </w:r>
    </w:p>
    <w:p>
      <w:pPr>
        <w:spacing w:before="60" w:after="60"/>
        <w:jc w:val="left"/>
      </w:pPr>
      <w:r>
        <w:rPr>
          <w:rFonts w:ascii="Arial" w:cs="Arial" w:eastAsia="Arial" w:hAnsi="Arial"/>
          <w:b w:val="false"/>
          <w:bCs w:val="false"/>
          <w:i w:val="false"/>
          <w:iCs w:val="false"/>
          <w:color w:val="222222"/>
          <w:sz w:val="22"/>
          <w:szCs w:val="22"/>
        </w:rPr>
        <w:t xml:space="preserve">For DAL B components implemented in SPARK 2014 with GNATprove level=4 proofs fully discharged, formal proof may be used as credit toward structural coverage objectives per DO-178C Supplement DO-333 Section 6.7. This credit shall be agreed with the DER at the PSAC approval stage.</w:t>
      </w:r>
    </w:p>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5  Independence</w:t>
      </w:r>
    </w:p>
    <w:p>
      <w:pPr>
        <w:spacing w:before="60" w:after="60"/>
        <w:jc w:val="left"/>
      </w:pPr>
      <w:r>
        <w:rPr>
          <w:rFonts w:ascii="Arial" w:cs="Arial" w:eastAsia="Arial" w:hAnsi="Arial"/>
          <w:b w:val="false"/>
          <w:bCs w:val="false"/>
          <w:i w:val="false"/>
          <w:iCs w:val="false"/>
          <w:color w:val="222222"/>
          <w:sz w:val="22"/>
          <w:szCs w:val="22"/>
        </w:rPr>
        <w:t xml:space="preserve">The following independence requirements apply per DO-178C Section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Activity</w:t>
            </w:r>
          </w:p>
        </w:tc>
        <w:tc>
          <w:tcPr>
            <w:tcW w:type="dxa" w:w="2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Independence Required</w:t>
            </w:r>
          </w:p>
        </w:tc>
        <w:tc>
          <w:tcPr>
            <w:tcW w:type="dxa" w:w="47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Basis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Requirements review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Yes — reviewer ≠ author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7.2.1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Design review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Yes — reviewer ≠ author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7.2.1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Code review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Yes — reviewer ≠ author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7.2.2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Test case development (DAL A/B)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Yes — test author ≠ code author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7.2.2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Test execution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No — same person may execute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7.2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Coverage analysis review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Yes — reviewer ≠ test author</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7.2.2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SAS review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DER — external to project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DO-178C 11.20</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6  Test Environment</w:t>
      </w:r>
    </w:p>
    <w:p>
      <w:pPr>
        <w:pStyle w:val="Heading2"/>
        <w:spacing w:before="240" w:after="80"/>
      </w:pPr>
      <w:r>
        <w:rPr>
          <w:rFonts w:ascii="Arial" w:cs="Arial" w:eastAsia="Arial" w:hAnsi="Arial"/>
          <w:b/>
          <w:bCs/>
          <w:color w:val="1F5C99"/>
          <w:sz w:val="26"/>
          <w:szCs w:val="26"/>
        </w:rPr>
        <w:t xml:space="preserve">6.1  LLT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w:t>
            </w:r>
          </w:p>
        </w:tc>
        <w:tc>
          <w:tcPr>
            <w:tcW w:type="dxa" w:w="6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Host OS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Ubuntu 22.04 LTS x86-64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Ada test framework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AUnit 24.0 (included in GNAT Pro)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JS test framework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Jest 29.x with ts-jest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Coverage tool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 24.0 (Ada), Istanbul/nyc (JS)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CI runner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Jenkins pipeline — triggered on each commit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Test report format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AUnit XML + HTML report via AUnit_Reporter</w:t>
            </w:r>
          </w:p>
        </w:tc>
      </w:tr>
    </w:tbl>
    <w:p>
      <w:pPr>
        <w:spacing w:before="0" w:after="80"/>
      </w:pPr>
    </w:p>
    <w:p>
      <w:pPr>
        <w:pStyle w:val="Heading2"/>
        <w:spacing w:before="240" w:after="80"/>
      </w:pPr>
      <w:r>
        <w:rPr>
          <w:rFonts w:ascii="Arial" w:cs="Arial" w:eastAsia="Arial" w:hAnsi="Arial"/>
          <w:b/>
          <w:bCs/>
          <w:color w:val="1F5C99"/>
          <w:sz w:val="26"/>
          <w:szCs w:val="26"/>
        </w:rPr>
        <w:t xml:space="preserve">6.2  HLT / HIL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w:t>
            </w:r>
          </w:p>
        </w:tc>
        <w:tc>
          <w:tcPr>
            <w:tcW w:type="dxa" w:w="6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Target processor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ARM Cortex-R52 evaluation board (representative)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RTOS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INTEGRITY-178 tuMP (or VxWorks 653 — TBD with customer)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Bus stimulus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Astronics AceXtreme — 8-port ARINC 429 Tx/Rx card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Bus monitor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Secondary AceXtreme port — passive monitoring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Stimulus scripts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Python ARINC 429 stimulus generator (AEROSYS-TENV-001)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Timing probe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Lauterbach TRACE32 JTAG debugger for WCET measurement</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7  Problem Reporting</w:t>
      </w:r>
    </w:p>
    <w:p>
      <w:pPr>
        <w:spacing w:before="60" w:after="60"/>
        <w:jc w:val="left"/>
      </w:pPr>
      <w:r>
        <w:rPr>
          <w:rFonts w:ascii="Arial" w:cs="Arial" w:eastAsia="Arial" w:hAnsi="Arial"/>
          <w:b w:val="false"/>
          <w:bCs w:val="false"/>
          <w:i w:val="false"/>
          <w:iCs w:val="false"/>
          <w:color w:val="222222"/>
          <w:sz w:val="22"/>
          <w:szCs w:val="22"/>
        </w:rPr>
        <w:t xml:space="preserve">All verification findings shall be raised as Problem Reports (PRs) in the AEROSYS PR system. Each PR shall record:</w:t>
      </w:r>
    </w:p>
    <w:p>
      <w:pPr>
        <w:pStyle w:val="ListParagraph"/>
        <w:numPr>
          <w:ilvl w:val="0"/>
          <w:numId w:val="2"/>
        </w:numPr>
        <w:spacing w:before="40" w:after="40"/>
      </w:pPr>
      <w:r>
        <w:rPr>
          <w:rFonts w:ascii="Arial" w:cs="Arial" w:eastAsia="Arial" w:hAnsi="Arial"/>
          <w:sz w:val="22"/>
          <w:szCs w:val="22"/>
        </w:rPr>
        <w:t xml:space="preserve">Unique PR number (format: AEROSYS-PR-NNNN)</w:t>
      </w:r>
    </w:p>
    <w:p>
      <w:pPr>
        <w:pStyle w:val="ListParagraph"/>
        <w:numPr>
          <w:ilvl w:val="0"/>
          <w:numId w:val="2"/>
        </w:numPr>
        <w:spacing w:before="40" w:after="40"/>
      </w:pPr>
      <w:r>
        <w:rPr>
          <w:rFonts w:ascii="Arial" w:cs="Arial" w:eastAsia="Arial" w:hAnsi="Arial"/>
          <w:sz w:val="22"/>
          <w:szCs w:val="22"/>
        </w:rPr>
        <w:t xml:space="preserve">Phase discovered (requirements, design, code, test)</w:t>
      </w:r>
    </w:p>
    <w:p>
      <w:pPr>
        <w:pStyle w:val="ListParagraph"/>
        <w:numPr>
          <w:ilvl w:val="0"/>
          <w:numId w:val="2"/>
        </w:numPr>
        <w:spacing w:before="40" w:after="40"/>
      </w:pPr>
      <w:r>
        <w:rPr>
          <w:rFonts w:ascii="Arial" w:cs="Arial" w:eastAsia="Arial" w:hAnsi="Arial"/>
          <w:sz w:val="22"/>
          <w:szCs w:val="22"/>
        </w:rPr>
        <w:t xml:space="preserve">Severity (Category 1: safety impact, Category 2: requirement violation, Category 3: minor)</w:t>
      </w:r>
    </w:p>
    <w:p>
      <w:pPr>
        <w:pStyle w:val="ListParagraph"/>
        <w:numPr>
          <w:ilvl w:val="0"/>
          <w:numId w:val="2"/>
        </w:numPr>
        <w:spacing w:before="40" w:after="40"/>
      </w:pPr>
      <w:r>
        <w:rPr>
          <w:rFonts w:ascii="Arial" w:cs="Arial" w:eastAsia="Arial" w:hAnsi="Arial"/>
          <w:sz w:val="22"/>
          <w:szCs w:val="22"/>
        </w:rPr>
        <w:t xml:space="preserve">Description of the finding with reference to the affected artifact</w:t>
      </w:r>
    </w:p>
    <w:p>
      <w:pPr>
        <w:pStyle w:val="ListParagraph"/>
        <w:numPr>
          <w:ilvl w:val="0"/>
          <w:numId w:val="2"/>
        </w:numPr>
        <w:spacing w:before="40" w:after="40"/>
      </w:pPr>
      <w:r>
        <w:rPr>
          <w:rFonts w:ascii="Arial" w:cs="Arial" w:eastAsia="Arial" w:hAnsi="Arial"/>
          <w:sz w:val="22"/>
          <w:szCs w:val="22"/>
        </w:rPr>
        <w:t xml:space="preserve">Root cause analysis (for closed PRs)</w:t>
      </w:r>
    </w:p>
    <w:p>
      <w:pPr>
        <w:pStyle w:val="ListParagraph"/>
        <w:numPr>
          <w:ilvl w:val="0"/>
          <w:numId w:val="2"/>
        </w:numPr>
        <w:spacing w:before="40" w:after="40"/>
      </w:pPr>
      <w:r>
        <w:rPr>
          <w:rFonts w:ascii="Arial" w:cs="Arial" w:eastAsia="Arial" w:hAnsi="Arial"/>
          <w:sz w:val="22"/>
          <w:szCs w:val="22"/>
        </w:rPr>
        <w:t xml:space="preserve">Corrective action taken</w:t>
      </w:r>
    </w:p>
    <w:p>
      <w:pPr>
        <w:pStyle w:val="ListParagraph"/>
        <w:numPr>
          <w:ilvl w:val="0"/>
          <w:numId w:val="2"/>
        </w:numPr>
        <w:spacing w:before="40" w:after="40"/>
      </w:pPr>
      <w:r>
        <w:rPr>
          <w:rFonts w:ascii="Arial" w:cs="Arial" w:eastAsia="Arial" w:hAnsi="Arial"/>
          <w:sz w:val="22"/>
          <w:szCs w:val="22"/>
        </w:rPr>
        <w:t xml:space="preserve">Verification that the fix is correct (re-test evidence)</w:t>
      </w:r>
    </w:p>
    <w:p>
      <w:pPr>
        <w:spacing w:before="80" w:after="60"/>
        <w:jc w:val="left"/>
      </w:pPr>
      <w:r>
        <w:rPr>
          <w:rFonts w:ascii="Arial" w:cs="Arial" w:eastAsia="Arial" w:hAnsi="Arial"/>
          <w:b/>
          <w:bCs/>
          <w:i w:val="false"/>
          <w:iCs w:val="false"/>
          <w:color w:val="222222"/>
          <w:sz w:val="22"/>
          <w:szCs w:val="22"/>
        </w:rPr>
        <w:t xml:space="preserve">No Category 1 or Category 2 PR may remain open at the SAS submission milestone.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2" w:sz="4" w:space="1"/>
      </w:pBdr>
      <w:jc w:val="center"/>
    </w:pPr>
    <w:r>
      <w:rPr>
        <w:rFonts w:ascii="Arial" w:cs="Arial" w:eastAsia="Arial" w:hAnsi="Arial"/>
        <w:color w:val="888888"/>
        <w:sz w:val="16"/>
        <w:szCs w:val="16"/>
      </w:rPr>
      <w:t xml:space="preserve">PROPRIETARY — AeroSys Avionics Systems Ltd.  |  AEROSYS-SVP-001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03366"/>
              <w:sz w:val="18"/>
              <w:szCs w:val="18"/>
            </w:rPr>
            <w:t xml:space="preserve">AeroSys 9000 — Software Verification Plan</w:t>
          </w:r>
        </w:p>
      </w:tc>
      <w:tc>
        <w:tcPr>
          <w:tcW w:type="dxa" w:w="508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AEROSYS-SVP-001 Rev A</w:t>
          </w:r>
        </w:p>
      </w:tc>
    </w:tr>
  </w:tbl>
  <w:p>
    <w:pPr>
      <w:pBdr>
        <w:bottom w:val="single" w:color="1F5C99"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5C9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2026-03-14T14:54:05.617Z</dcterms:created>
  <dcterms:modified xsi:type="dcterms:W3CDTF">2026-03-14T14:54:05.617Z</dcterms:modified>
</cp:coreProperties>
</file>

<file path=docProps/custom.xml><?xml version="1.0" encoding="utf-8"?>
<Properties xmlns="http://schemas.openxmlformats.org/officeDocument/2006/custom-properties" xmlns:vt="http://schemas.openxmlformats.org/officeDocument/2006/docPropsVTypes"/>
</file>