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111111"/>
          <w:sz w:val="24"/>
          <w:szCs w:val="24"/>
          <w:rtl w:val="0"/>
        </w:rPr>
        <w:t xml:space="preserve">1)Install these libraries:{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sqlite3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sqlalchemy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create_engine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render_template</w:t>
      </w:r>
    </w:p>
    <w:p w:rsidR="00000000" w:rsidDel="00000000" w:rsidP="00000000" w:rsidRDefault="00000000" w:rsidRPr="00000000" w14:paraId="00000006">
      <w:pPr>
        <w:rPr>
          <w:rFonts w:ascii="Microsoft Yahei" w:cs="Microsoft Yahei" w:eastAsia="Microsoft Yahei" w:hAnsi="Microsoft Yahei"/>
          <w:color w:val="11111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111111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07">
      <w:pPr>
        <w:rPr>
          <w:rFonts w:ascii="Microsoft Yahei" w:cs="Microsoft Yahei" w:eastAsia="Microsoft Yahei" w:hAnsi="Microsoft Yahei"/>
          <w:color w:val="11111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color w:val="111111"/>
          <w:sz w:val="24"/>
          <w:szCs w:val="24"/>
          <w:rtl w:val="0"/>
        </w:rPr>
        <w:t xml:space="preserve">2) Run server.py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icrosoft Yahe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