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1.xml" ContentType="application/vnd.openxmlformats-officedocument.themeOverrid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07CB7" w14:textId="4792E0D4" w:rsidR="00267DAB" w:rsidRPr="000750AD" w:rsidRDefault="00267DAB" w:rsidP="00ED207D">
      <w:pPr>
        <w:rPr>
          <w:b/>
          <w:bCs/>
          <w:sz w:val="32"/>
          <w:szCs w:val="32"/>
        </w:rPr>
      </w:pPr>
      <w:r w:rsidRPr="000750AD">
        <w:rPr>
          <w:b/>
          <w:bCs/>
          <w:sz w:val="32"/>
          <w:szCs w:val="32"/>
        </w:rPr>
        <w:t>Bank Customer Churn Analysis Using Microsoft Excel</w:t>
      </w:r>
    </w:p>
    <w:p w14:paraId="2C8D5EFC" w14:textId="77777777" w:rsidR="00267DAB" w:rsidRPr="00267DAB" w:rsidRDefault="00267DAB" w:rsidP="006F0B3D">
      <w:pPr>
        <w:jc w:val="both"/>
        <w:rPr>
          <w:b/>
          <w:bCs/>
        </w:rPr>
      </w:pPr>
      <w:r w:rsidRPr="00267DAB">
        <w:rPr>
          <w:b/>
          <w:bCs/>
        </w:rPr>
        <w:t>Project Overview</w:t>
      </w:r>
    </w:p>
    <w:p w14:paraId="4681AF9B" w14:textId="5E55BB68" w:rsidR="00267DAB" w:rsidRPr="00267DAB" w:rsidRDefault="00267DAB" w:rsidP="006F0B3D">
      <w:pPr>
        <w:jc w:val="both"/>
      </w:pPr>
      <w:r w:rsidRPr="00267DAB">
        <w:t xml:space="preserve">This project investigates the reasons behind customer churn in a commercial bank. Over recent months, a significant number of customers have been closing their accounts, and the bank seeks to understand why. Using a dataset of </w:t>
      </w:r>
      <w:r w:rsidR="00F8002A">
        <w:t>9000+</w:t>
      </w:r>
      <w:r w:rsidRPr="00267DAB">
        <w:t xml:space="preserve"> customers, I explored demographic, behavioral, and product-related factors to identify the main drivers of churn. The ultimate goal was to uncover hidden patterns in customer behavior and provide actionable insights that can help the bank strengthen customer retention strategies.</w:t>
      </w:r>
    </w:p>
    <w:p w14:paraId="783AA0C7" w14:textId="77777777" w:rsidR="00267DAB" w:rsidRPr="00267DAB" w:rsidRDefault="00267DAB" w:rsidP="006F0B3D">
      <w:pPr>
        <w:jc w:val="both"/>
        <w:rPr>
          <w:b/>
          <w:bCs/>
        </w:rPr>
      </w:pPr>
      <w:r w:rsidRPr="00267DAB">
        <w:rPr>
          <w:b/>
          <w:bCs/>
        </w:rPr>
        <w:t>Data Description</w:t>
      </w:r>
    </w:p>
    <w:p w14:paraId="7C36D977" w14:textId="77777777" w:rsidR="00267DAB" w:rsidRPr="00267DAB" w:rsidRDefault="00267DAB" w:rsidP="006F0B3D">
      <w:pPr>
        <w:numPr>
          <w:ilvl w:val="0"/>
          <w:numId w:val="1"/>
        </w:numPr>
        <w:jc w:val="both"/>
      </w:pPr>
      <w:r w:rsidRPr="00267DAB">
        <w:rPr>
          <w:b/>
          <w:bCs/>
        </w:rPr>
        <w:t>Source</w:t>
      </w:r>
      <w:r w:rsidRPr="00267DAB">
        <w:t>: Microsoft Excel file</w:t>
      </w:r>
    </w:p>
    <w:p w14:paraId="5F41AF14" w14:textId="3B455038" w:rsidR="00267DAB" w:rsidRPr="00267DAB" w:rsidRDefault="00267DAB" w:rsidP="006F0B3D">
      <w:pPr>
        <w:numPr>
          <w:ilvl w:val="0"/>
          <w:numId w:val="1"/>
        </w:numPr>
        <w:jc w:val="both"/>
      </w:pPr>
      <w:r w:rsidRPr="00267DAB">
        <w:rPr>
          <w:b/>
          <w:bCs/>
        </w:rPr>
        <w:t>Size</w:t>
      </w:r>
      <w:r w:rsidRPr="00267DAB">
        <w:t xml:space="preserve">: </w:t>
      </w:r>
      <w:r w:rsidR="003C10FF">
        <w:t>9992</w:t>
      </w:r>
      <w:r w:rsidRPr="00267DAB">
        <w:t xml:space="preserve"> records, 18 fields</w:t>
      </w:r>
      <w:r w:rsidR="00A82CED">
        <w:t>/Columns</w:t>
      </w:r>
    </w:p>
    <w:p w14:paraId="75E66E0D" w14:textId="77777777" w:rsidR="00267DAB" w:rsidRPr="00267DAB" w:rsidRDefault="00267DAB" w:rsidP="006F0B3D">
      <w:pPr>
        <w:jc w:val="both"/>
        <w:rPr>
          <w:b/>
          <w:bCs/>
        </w:rPr>
      </w:pPr>
      <w:r w:rsidRPr="00267DAB">
        <w:rPr>
          <w:b/>
          <w:bCs/>
        </w:rPr>
        <w:t>Key Variables</w:t>
      </w:r>
    </w:p>
    <w:tbl>
      <w:tblPr>
        <w:tblStyle w:val="TableGrid"/>
        <w:tblW w:w="0" w:type="auto"/>
        <w:tblLook w:val="04A0" w:firstRow="1" w:lastRow="0" w:firstColumn="1" w:lastColumn="0" w:noHBand="0" w:noVBand="1"/>
      </w:tblPr>
      <w:tblGrid>
        <w:gridCol w:w="9350"/>
      </w:tblGrid>
      <w:tr w:rsidR="002532CE" w14:paraId="5C83F63C" w14:textId="77777777">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4978"/>
              <w:gridCol w:w="2378"/>
            </w:tblGrid>
            <w:tr w:rsidR="002532CE" w:rsidRPr="002532CE" w14:paraId="3743D717" w14:textId="77777777" w:rsidTr="00A62B5F">
              <w:trPr>
                <w:tblHeader/>
                <w:tblCellSpacing w:w="15" w:type="dxa"/>
              </w:trPr>
              <w:tc>
                <w:tcPr>
                  <w:tcW w:w="0" w:type="auto"/>
                  <w:vAlign w:val="center"/>
                  <w:hideMark/>
                </w:tcPr>
                <w:p w14:paraId="27383436" w14:textId="77777777" w:rsidR="002532CE" w:rsidRPr="00267DAB" w:rsidRDefault="002532CE" w:rsidP="006F0B3D">
                  <w:pPr>
                    <w:jc w:val="both"/>
                    <w:rPr>
                      <w:b/>
                      <w:bCs/>
                    </w:rPr>
                  </w:pPr>
                  <w:r w:rsidRPr="00267DAB">
                    <w:rPr>
                      <w:b/>
                      <w:bCs/>
                    </w:rPr>
                    <w:t>Variable</w:t>
                  </w:r>
                </w:p>
              </w:tc>
              <w:tc>
                <w:tcPr>
                  <w:tcW w:w="0" w:type="auto"/>
                  <w:vAlign w:val="center"/>
                  <w:hideMark/>
                </w:tcPr>
                <w:p w14:paraId="3237C366" w14:textId="77777777" w:rsidR="002532CE" w:rsidRPr="00267DAB" w:rsidRDefault="002532CE" w:rsidP="006F0B3D">
                  <w:pPr>
                    <w:jc w:val="both"/>
                    <w:rPr>
                      <w:b/>
                      <w:bCs/>
                    </w:rPr>
                  </w:pPr>
                  <w:r w:rsidRPr="00267DAB">
                    <w:rPr>
                      <w:b/>
                      <w:bCs/>
                    </w:rPr>
                    <w:t>Description</w:t>
                  </w:r>
                </w:p>
              </w:tc>
              <w:tc>
                <w:tcPr>
                  <w:tcW w:w="0" w:type="auto"/>
                  <w:vAlign w:val="center"/>
                  <w:hideMark/>
                </w:tcPr>
                <w:p w14:paraId="204FFA58" w14:textId="77777777" w:rsidR="002532CE" w:rsidRPr="00267DAB" w:rsidRDefault="002532CE" w:rsidP="006F0B3D">
                  <w:pPr>
                    <w:jc w:val="both"/>
                    <w:rPr>
                      <w:b/>
                      <w:bCs/>
                    </w:rPr>
                  </w:pPr>
                  <w:r w:rsidRPr="00267DAB">
                    <w:rPr>
                      <w:b/>
                      <w:bCs/>
                    </w:rPr>
                    <w:t>Data Type / Values</w:t>
                  </w:r>
                </w:p>
              </w:tc>
            </w:tr>
            <w:tr w:rsidR="002532CE" w:rsidRPr="002532CE" w14:paraId="33F60B73" w14:textId="77777777" w:rsidTr="00A62B5F">
              <w:trPr>
                <w:tblCellSpacing w:w="15" w:type="dxa"/>
              </w:trPr>
              <w:tc>
                <w:tcPr>
                  <w:tcW w:w="0" w:type="auto"/>
                  <w:vAlign w:val="center"/>
                  <w:hideMark/>
                </w:tcPr>
                <w:p w14:paraId="409F4E05" w14:textId="77777777" w:rsidR="002532CE" w:rsidRPr="00267DAB" w:rsidRDefault="002532CE" w:rsidP="006F0B3D">
                  <w:pPr>
                    <w:jc w:val="both"/>
                  </w:pPr>
                  <w:r w:rsidRPr="00267DAB">
                    <w:t>CustomerId</w:t>
                  </w:r>
                </w:p>
              </w:tc>
              <w:tc>
                <w:tcPr>
                  <w:tcW w:w="0" w:type="auto"/>
                  <w:vAlign w:val="center"/>
                  <w:hideMark/>
                </w:tcPr>
                <w:p w14:paraId="3A80E64A" w14:textId="77777777" w:rsidR="002532CE" w:rsidRPr="00267DAB" w:rsidRDefault="002532CE" w:rsidP="006F0B3D">
                  <w:pPr>
                    <w:jc w:val="both"/>
                  </w:pPr>
                  <w:r w:rsidRPr="00267DAB">
                    <w:t>Unique ID for each customer</w:t>
                  </w:r>
                </w:p>
              </w:tc>
              <w:tc>
                <w:tcPr>
                  <w:tcW w:w="0" w:type="auto"/>
                  <w:vAlign w:val="center"/>
                  <w:hideMark/>
                </w:tcPr>
                <w:p w14:paraId="7E0F81DE" w14:textId="77777777" w:rsidR="002532CE" w:rsidRPr="00267DAB" w:rsidRDefault="002532CE" w:rsidP="006F0B3D">
                  <w:pPr>
                    <w:jc w:val="both"/>
                  </w:pPr>
                  <w:r w:rsidRPr="00267DAB">
                    <w:t>Numeric</w:t>
                  </w:r>
                </w:p>
              </w:tc>
            </w:tr>
            <w:tr w:rsidR="002532CE" w:rsidRPr="002532CE" w14:paraId="6E4927D8" w14:textId="77777777" w:rsidTr="00A62B5F">
              <w:trPr>
                <w:tblCellSpacing w:w="15" w:type="dxa"/>
              </w:trPr>
              <w:tc>
                <w:tcPr>
                  <w:tcW w:w="0" w:type="auto"/>
                  <w:vAlign w:val="center"/>
                  <w:hideMark/>
                </w:tcPr>
                <w:p w14:paraId="0122008A" w14:textId="77777777" w:rsidR="002532CE" w:rsidRPr="00267DAB" w:rsidRDefault="002532CE" w:rsidP="006F0B3D">
                  <w:pPr>
                    <w:jc w:val="both"/>
                  </w:pPr>
                  <w:r w:rsidRPr="00267DAB">
                    <w:t>Surname</w:t>
                  </w:r>
                </w:p>
              </w:tc>
              <w:tc>
                <w:tcPr>
                  <w:tcW w:w="0" w:type="auto"/>
                  <w:vAlign w:val="center"/>
                  <w:hideMark/>
                </w:tcPr>
                <w:p w14:paraId="107B65BC" w14:textId="77777777" w:rsidR="002532CE" w:rsidRPr="00267DAB" w:rsidRDefault="002532CE" w:rsidP="006F0B3D">
                  <w:pPr>
                    <w:jc w:val="both"/>
                  </w:pPr>
                  <w:r w:rsidRPr="00267DAB">
                    <w:t>Customer’s last name</w:t>
                  </w:r>
                </w:p>
              </w:tc>
              <w:tc>
                <w:tcPr>
                  <w:tcW w:w="0" w:type="auto"/>
                  <w:vAlign w:val="center"/>
                  <w:hideMark/>
                </w:tcPr>
                <w:p w14:paraId="68FA883B" w14:textId="77777777" w:rsidR="002532CE" w:rsidRPr="00267DAB" w:rsidRDefault="002532CE" w:rsidP="006F0B3D">
                  <w:pPr>
                    <w:jc w:val="both"/>
                  </w:pPr>
                  <w:r w:rsidRPr="00267DAB">
                    <w:t>Text</w:t>
                  </w:r>
                </w:p>
              </w:tc>
            </w:tr>
            <w:tr w:rsidR="002532CE" w:rsidRPr="002532CE" w14:paraId="130767CD" w14:textId="77777777" w:rsidTr="00A62B5F">
              <w:trPr>
                <w:tblCellSpacing w:w="15" w:type="dxa"/>
              </w:trPr>
              <w:tc>
                <w:tcPr>
                  <w:tcW w:w="0" w:type="auto"/>
                  <w:vAlign w:val="center"/>
                  <w:hideMark/>
                </w:tcPr>
                <w:p w14:paraId="078A7AEA" w14:textId="77777777" w:rsidR="002532CE" w:rsidRPr="00267DAB" w:rsidRDefault="002532CE" w:rsidP="006F0B3D">
                  <w:pPr>
                    <w:jc w:val="both"/>
                  </w:pPr>
                  <w:r w:rsidRPr="00267DAB">
                    <w:t>CreditScore</w:t>
                  </w:r>
                </w:p>
              </w:tc>
              <w:tc>
                <w:tcPr>
                  <w:tcW w:w="0" w:type="auto"/>
                  <w:vAlign w:val="center"/>
                  <w:hideMark/>
                </w:tcPr>
                <w:p w14:paraId="669A16C8" w14:textId="77777777" w:rsidR="002532CE" w:rsidRPr="00267DAB" w:rsidRDefault="002532CE" w:rsidP="006F0B3D">
                  <w:pPr>
                    <w:jc w:val="both"/>
                  </w:pPr>
                  <w:r w:rsidRPr="00267DAB">
                    <w:t>Credit score of the customer</w:t>
                  </w:r>
                </w:p>
              </w:tc>
              <w:tc>
                <w:tcPr>
                  <w:tcW w:w="0" w:type="auto"/>
                  <w:vAlign w:val="center"/>
                  <w:hideMark/>
                </w:tcPr>
                <w:p w14:paraId="4068E434" w14:textId="77777777" w:rsidR="002532CE" w:rsidRPr="00267DAB" w:rsidRDefault="002532CE" w:rsidP="006F0B3D">
                  <w:pPr>
                    <w:jc w:val="both"/>
                  </w:pPr>
                  <w:r w:rsidRPr="00267DAB">
                    <w:t>Numeric</w:t>
                  </w:r>
                </w:p>
              </w:tc>
            </w:tr>
            <w:tr w:rsidR="002532CE" w:rsidRPr="002532CE" w14:paraId="4DE2FAF9" w14:textId="77777777" w:rsidTr="00A62B5F">
              <w:trPr>
                <w:tblCellSpacing w:w="15" w:type="dxa"/>
              </w:trPr>
              <w:tc>
                <w:tcPr>
                  <w:tcW w:w="0" w:type="auto"/>
                  <w:vAlign w:val="center"/>
                  <w:hideMark/>
                </w:tcPr>
                <w:p w14:paraId="1E25CCD6" w14:textId="77777777" w:rsidR="002532CE" w:rsidRPr="00267DAB" w:rsidRDefault="002532CE" w:rsidP="006F0B3D">
                  <w:pPr>
                    <w:jc w:val="both"/>
                  </w:pPr>
                  <w:r w:rsidRPr="00267DAB">
                    <w:t>Geography</w:t>
                  </w:r>
                </w:p>
              </w:tc>
              <w:tc>
                <w:tcPr>
                  <w:tcW w:w="0" w:type="auto"/>
                  <w:vAlign w:val="center"/>
                  <w:hideMark/>
                </w:tcPr>
                <w:p w14:paraId="2B2FEB69" w14:textId="77777777" w:rsidR="002532CE" w:rsidRPr="00267DAB" w:rsidRDefault="002532CE" w:rsidP="006F0B3D">
                  <w:pPr>
                    <w:jc w:val="both"/>
                  </w:pPr>
                  <w:r w:rsidRPr="00267DAB">
                    <w:t>Customer’s country</w:t>
                  </w:r>
                </w:p>
              </w:tc>
              <w:tc>
                <w:tcPr>
                  <w:tcW w:w="0" w:type="auto"/>
                  <w:vAlign w:val="center"/>
                  <w:hideMark/>
                </w:tcPr>
                <w:p w14:paraId="6866E16D" w14:textId="77777777" w:rsidR="002532CE" w:rsidRPr="00267DAB" w:rsidRDefault="002532CE" w:rsidP="006F0B3D">
                  <w:pPr>
                    <w:jc w:val="both"/>
                  </w:pPr>
                  <w:r w:rsidRPr="002532CE">
                    <w:t>Text</w:t>
                  </w:r>
                </w:p>
              </w:tc>
            </w:tr>
            <w:tr w:rsidR="002532CE" w:rsidRPr="002532CE" w14:paraId="4F9B9BB8" w14:textId="77777777" w:rsidTr="00A62B5F">
              <w:trPr>
                <w:tblCellSpacing w:w="15" w:type="dxa"/>
              </w:trPr>
              <w:tc>
                <w:tcPr>
                  <w:tcW w:w="0" w:type="auto"/>
                  <w:vAlign w:val="center"/>
                  <w:hideMark/>
                </w:tcPr>
                <w:p w14:paraId="17C2FD46" w14:textId="77777777" w:rsidR="002532CE" w:rsidRPr="00267DAB" w:rsidRDefault="002532CE" w:rsidP="006F0B3D">
                  <w:pPr>
                    <w:jc w:val="both"/>
                  </w:pPr>
                  <w:r w:rsidRPr="00267DAB">
                    <w:t>Gender</w:t>
                  </w:r>
                </w:p>
              </w:tc>
              <w:tc>
                <w:tcPr>
                  <w:tcW w:w="0" w:type="auto"/>
                  <w:vAlign w:val="center"/>
                  <w:hideMark/>
                </w:tcPr>
                <w:p w14:paraId="2E7B1F9A" w14:textId="77777777" w:rsidR="002532CE" w:rsidRPr="00267DAB" w:rsidRDefault="002532CE" w:rsidP="006F0B3D">
                  <w:pPr>
                    <w:jc w:val="both"/>
                  </w:pPr>
                  <w:r w:rsidRPr="00267DAB">
                    <w:t>Gender of the customer</w:t>
                  </w:r>
                </w:p>
              </w:tc>
              <w:tc>
                <w:tcPr>
                  <w:tcW w:w="0" w:type="auto"/>
                  <w:vAlign w:val="center"/>
                  <w:hideMark/>
                </w:tcPr>
                <w:p w14:paraId="44782120" w14:textId="77777777" w:rsidR="002532CE" w:rsidRPr="00267DAB" w:rsidRDefault="002532CE" w:rsidP="006F0B3D">
                  <w:pPr>
                    <w:jc w:val="both"/>
                  </w:pPr>
                  <w:r w:rsidRPr="002532CE">
                    <w:t>Text</w:t>
                  </w:r>
                </w:p>
              </w:tc>
            </w:tr>
            <w:tr w:rsidR="002532CE" w:rsidRPr="002532CE" w14:paraId="1A961BA5" w14:textId="77777777" w:rsidTr="00A62B5F">
              <w:trPr>
                <w:tblCellSpacing w:w="15" w:type="dxa"/>
              </w:trPr>
              <w:tc>
                <w:tcPr>
                  <w:tcW w:w="0" w:type="auto"/>
                  <w:vAlign w:val="center"/>
                  <w:hideMark/>
                </w:tcPr>
                <w:p w14:paraId="1FB1CC8B" w14:textId="77777777" w:rsidR="002532CE" w:rsidRPr="00267DAB" w:rsidRDefault="002532CE" w:rsidP="006F0B3D">
                  <w:pPr>
                    <w:jc w:val="both"/>
                  </w:pPr>
                  <w:r w:rsidRPr="00267DAB">
                    <w:t>Age</w:t>
                  </w:r>
                </w:p>
              </w:tc>
              <w:tc>
                <w:tcPr>
                  <w:tcW w:w="0" w:type="auto"/>
                  <w:vAlign w:val="center"/>
                  <w:hideMark/>
                </w:tcPr>
                <w:p w14:paraId="0300BD27" w14:textId="77777777" w:rsidR="002532CE" w:rsidRPr="00267DAB" w:rsidRDefault="002532CE" w:rsidP="006F0B3D">
                  <w:pPr>
                    <w:jc w:val="both"/>
                  </w:pPr>
                  <w:r w:rsidRPr="00267DAB">
                    <w:t>Age of the customer</w:t>
                  </w:r>
                </w:p>
              </w:tc>
              <w:tc>
                <w:tcPr>
                  <w:tcW w:w="0" w:type="auto"/>
                  <w:vAlign w:val="center"/>
                  <w:hideMark/>
                </w:tcPr>
                <w:p w14:paraId="4E652DAD" w14:textId="77777777" w:rsidR="002532CE" w:rsidRPr="00267DAB" w:rsidRDefault="002532CE" w:rsidP="006F0B3D">
                  <w:pPr>
                    <w:jc w:val="both"/>
                  </w:pPr>
                  <w:r w:rsidRPr="00267DAB">
                    <w:t>Numeric</w:t>
                  </w:r>
                </w:p>
              </w:tc>
            </w:tr>
            <w:tr w:rsidR="002532CE" w:rsidRPr="002532CE" w14:paraId="183ABDB6" w14:textId="77777777" w:rsidTr="00A62B5F">
              <w:trPr>
                <w:tblCellSpacing w:w="15" w:type="dxa"/>
              </w:trPr>
              <w:tc>
                <w:tcPr>
                  <w:tcW w:w="0" w:type="auto"/>
                  <w:vAlign w:val="center"/>
                  <w:hideMark/>
                </w:tcPr>
                <w:p w14:paraId="0BAF5299" w14:textId="77777777" w:rsidR="002532CE" w:rsidRPr="00267DAB" w:rsidRDefault="002532CE" w:rsidP="006F0B3D">
                  <w:pPr>
                    <w:jc w:val="both"/>
                  </w:pPr>
                  <w:r w:rsidRPr="00267DAB">
                    <w:t>AgeGroup</w:t>
                  </w:r>
                </w:p>
              </w:tc>
              <w:tc>
                <w:tcPr>
                  <w:tcW w:w="0" w:type="auto"/>
                  <w:vAlign w:val="center"/>
                  <w:hideMark/>
                </w:tcPr>
                <w:p w14:paraId="60008043" w14:textId="77777777" w:rsidR="002532CE" w:rsidRPr="00267DAB" w:rsidRDefault="002532CE" w:rsidP="006F0B3D">
                  <w:pPr>
                    <w:jc w:val="both"/>
                  </w:pPr>
                  <w:r w:rsidRPr="00267DAB">
                    <w:t>Categorized age group</w:t>
                  </w:r>
                </w:p>
              </w:tc>
              <w:tc>
                <w:tcPr>
                  <w:tcW w:w="0" w:type="auto"/>
                  <w:vAlign w:val="center"/>
                  <w:hideMark/>
                </w:tcPr>
                <w:p w14:paraId="0E456B86" w14:textId="77777777" w:rsidR="002532CE" w:rsidRPr="00267DAB" w:rsidRDefault="002532CE" w:rsidP="006F0B3D">
                  <w:pPr>
                    <w:jc w:val="both"/>
                  </w:pPr>
                  <w:r w:rsidRPr="002532CE">
                    <w:t>Text</w:t>
                  </w:r>
                </w:p>
              </w:tc>
            </w:tr>
            <w:tr w:rsidR="002532CE" w:rsidRPr="002532CE" w14:paraId="0595186D" w14:textId="77777777" w:rsidTr="00A62B5F">
              <w:trPr>
                <w:tblCellSpacing w:w="15" w:type="dxa"/>
              </w:trPr>
              <w:tc>
                <w:tcPr>
                  <w:tcW w:w="0" w:type="auto"/>
                  <w:vAlign w:val="center"/>
                  <w:hideMark/>
                </w:tcPr>
                <w:p w14:paraId="208CB447" w14:textId="77777777" w:rsidR="002532CE" w:rsidRPr="00267DAB" w:rsidRDefault="002532CE" w:rsidP="006F0B3D">
                  <w:pPr>
                    <w:jc w:val="both"/>
                  </w:pPr>
                  <w:r w:rsidRPr="00267DAB">
                    <w:t>Tenure</w:t>
                  </w:r>
                </w:p>
              </w:tc>
              <w:tc>
                <w:tcPr>
                  <w:tcW w:w="0" w:type="auto"/>
                  <w:vAlign w:val="center"/>
                  <w:hideMark/>
                </w:tcPr>
                <w:p w14:paraId="50ECD45E" w14:textId="77777777" w:rsidR="002532CE" w:rsidRPr="00267DAB" w:rsidRDefault="002532CE" w:rsidP="006F0B3D">
                  <w:pPr>
                    <w:jc w:val="both"/>
                  </w:pPr>
                  <w:r w:rsidRPr="00267DAB">
                    <w:t>Years spent with the bank</w:t>
                  </w:r>
                </w:p>
              </w:tc>
              <w:tc>
                <w:tcPr>
                  <w:tcW w:w="0" w:type="auto"/>
                  <w:vAlign w:val="center"/>
                  <w:hideMark/>
                </w:tcPr>
                <w:p w14:paraId="289C0C6A" w14:textId="77777777" w:rsidR="002532CE" w:rsidRPr="00267DAB" w:rsidRDefault="002532CE" w:rsidP="006F0B3D">
                  <w:pPr>
                    <w:jc w:val="both"/>
                  </w:pPr>
                  <w:r w:rsidRPr="00267DAB">
                    <w:t>Numeric</w:t>
                  </w:r>
                </w:p>
              </w:tc>
            </w:tr>
            <w:tr w:rsidR="002532CE" w:rsidRPr="002532CE" w14:paraId="4219D5BA" w14:textId="77777777" w:rsidTr="00A62B5F">
              <w:trPr>
                <w:tblCellSpacing w:w="15" w:type="dxa"/>
              </w:trPr>
              <w:tc>
                <w:tcPr>
                  <w:tcW w:w="0" w:type="auto"/>
                  <w:vAlign w:val="center"/>
                  <w:hideMark/>
                </w:tcPr>
                <w:p w14:paraId="43D6BFE0" w14:textId="77777777" w:rsidR="002532CE" w:rsidRPr="00267DAB" w:rsidRDefault="002532CE" w:rsidP="006F0B3D">
                  <w:pPr>
                    <w:jc w:val="both"/>
                  </w:pPr>
                  <w:r w:rsidRPr="00267DAB">
                    <w:t>Balance</w:t>
                  </w:r>
                </w:p>
              </w:tc>
              <w:tc>
                <w:tcPr>
                  <w:tcW w:w="0" w:type="auto"/>
                  <w:vAlign w:val="center"/>
                  <w:hideMark/>
                </w:tcPr>
                <w:p w14:paraId="208BC9A5" w14:textId="77777777" w:rsidR="002532CE" w:rsidRPr="00267DAB" w:rsidRDefault="002532CE" w:rsidP="006F0B3D">
                  <w:pPr>
                    <w:jc w:val="both"/>
                  </w:pPr>
                  <w:r w:rsidRPr="00267DAB">
                    <w:t>Customer’s account balance</w:t>
                  </w:r>
                </w:p>
              </w:tc>
              <w:tc>
                <w:tcPr>
                  <w:tcW w:w="0" w:type="auto"/>
                  <w:vAlign w:val="center"/>
                  <w:hideMark/>
                </w:tcPr>
                <w:p w14:paraId="2DC38D8B" w14:textId="77777777" w:rsidR="002532CE" w:rsidRPr="00267DAB" w:rsidRDefault="002532CE" w:rsidP="006F0B3D">
                  <w:pPr>
                    <w:jc w:val="both"/>
                  </w:pPr>
                  <w:r w:rsidRPr="00267DAB">
                    <w:t>Numeric</w:t>
                  </w:r>
                </w:p>
              </w:tc>
            </w:tr>
            <w:tr w:rsidR="002532CE" w:rsidRPr="002532CE" w14:paraId="13ADD1F0" w14:textId="77777777" w:rsidTr="00A62B5F">
              <w:trPr>
                <w:tblCellSpacing w:w="15" w:type="dxa"/>
              </w:trPr>
              <w:tc>
                <w:tcPr>
                  <w:tcW w:w="0" w:type="auto"/>
                  <w:vAlign w:val="center"/>
                  <w:hideMark/>
                </w:tcPr>
                <w:p w14:paraId="74291E4E" w14:textId="77777777" w:rsidR="002532CE" w:rsidRPr="00267DAB" w:rsidRDefault="002532CE" w:rsidP="006F0B3D">
                  <w:pPr>
                    <w:jc w:val="both"/>
                  </w:pPr>
                  <w:r w:rsidRPr="00267DAB">
                    <w:t>NumOfProducts</w:t>
                  </w:r>
                </w:p>
              </w:tc>
              <w:tc>
                <w:tcPr>
                  <w:tcW w:w="0" w:type="auto"/>
                  <w:vAlign w:val="center"/>
                  <w:hideMark/>
                </w:tcPr>
                <w:p w14:paraId="687C7917" w14:textId="77777777" w:rsidR="002532CE" w:rsidRPr="00267DAB" w:rsidRDefault="002532CE" w:rsidP="006F0B3D">
                  <w:pPr>
                    <w:jc w:val="both"/>
                  </w:pPr>
                  <w:r w:rsidRPr="00267DAB">
                    <w:t>Number of products owned</w:t>
                  </w:r>
                </w:p>
              </w:tc>
              <w:tc>
                <w:tcPr>
                  <w:tcW w:w="0" w:type="auto"/>
                  <w:vAlign w:val="center"/>
                  <w:hideMark/>
                </w:tcPr>
                <w:p w14:paraId="0A3E50C8" w14:textId="77777777" w:rsidR="002532CE" w:rsidRPr="00267DAB" w:rsidRDefault="002532CE" w:rsidP="006F0B3D">
                  <w:pPr>
                    <w:jc w:val="both"/>
                  </w:pPr>
                  <w:r w:rsidRPr="00267DAB">
                    <w:t>Numeric</w:t>
                  </w:r>
                </w:p>
              </w:tc>
            </w:tr>
            <w:tr w:rsidR="002532CE" w:rsidRPr="002532CE" w14:paraId="65F164E8" w14:textId="77777777" w:rsidTr="00A62B5F">
              <w:trPr>
                <w:tblCellSpacing w:w="15" w:type="dxa"/>
              </w:trPr>
              <w:tc>
                <w:tcPr>
                  <w:tcW w:w="0" w:type="auto"/>
                  <w:vAlign w:val="center"/>
                  <w:hideMark/>
                </w:tcPr>
                <w:p w14:paraId="0E5BB065" w14:textId="77777777" w:rsidR="002532CE" w:rsidRPr="00267DAB" w:rsidRDefault="002532CE" w:rsidP="006F0B3D">
                  <w:pPr>
                    <w:jc w:val="both"/>
                  </w:pPr>
                  <w:r w:rsidRPr="00267DAB">
                    <w:t>HasCrCard</w:t>
                  </w:r>
                </w:p>
              </w:tc>
              <w:tc>
                <w:tcPr>
                  <w:tcW w:w="0" w:type="auto"/>
                  <w:vAlign w:val="center"/>
                  <w:hideMark/>
                </w:tcPr>
                <w:p w14:paraId="6E8ABBC0" w14:textId="77777777" w:rsidR="002532CE" w:rsidRPr="00267DAB" w:rsidRDefault="002532CE" w:rsidP="006F0B3D">
                  <w:pPr>
                    <w:jc w:val="both"/>
                  </w:pPr>
                  <w:r w:rsidRPr="00267DAB">
                    <w:t>Credit card ownership</w:t>
                  </w:r>
                </w:p>
              </w:tc>
              <w:tc>
                <w:tcPr>
                  <w:tcW w:w="0" w:type="auto"/>
                  <w:vAlign w:val="center"/>
                  <w:hideMark/>
                </w:tcPr>
                <w:p w14:paraId="5B51A345" w14:textId="77777777" w:rsidR="002532CE" w:rsidRPr="00267DAB" w:rsidRDefault="002532CE" w:rsidP="006F0B3D">
                  <w:pPr>
                    <w:jc w:val="both"/>
                  </w:pPr>
                  <w:r w:rsidRPr="002532CE">
                    <w:t xml:space="preserve">(Boolean) </w:t>
                  </w:r>
                  <w:r w:rsidRPr="00267DAB">
                    <w:t>1 = Yes, 0 = No</w:t>
                  </w:r>
                  <w:r w:rsidRPr="002532CE">
                    <w:t xml:space="preserve"> </w:t>
                  </w:r>
                </w:p>
              </w:tc>
            </w:tr>
            <w:tr w:rsidR="002532CE" w:rsidRPr="002532CE" w14:paraId="2319B44B" w14:textId="77777777" w:rsidTr="00A62B5F">
              <w:trPr>
                <w:tblCellSpacing w:w="15" w:type="dxa"/>
              </w:trPr>
              <w:tc>
                <w:tcPr>
                  <w:tcW w:w="0" w:type="auto"/>
                  <w:vAlign w:val="center"/>
                  <w:hideMark/>
                </w:tcPr>
                <w:p w14:paraId="78B9061F" w14:textId="77777777" w:rsidR="002532CE" w:rsidRPr="00267DAB" w:rsidRDefault="002532CE" w:rsidP="006F0B3D">
                  <w:pPr>
                    <w:jc w:val="both"/>
                  </w:pPr>
                  <w:r w:rsidRPr="00267DAB">
                    <w:t>IsActiveMember</w:t>
                  </w:r>
                </w:p>
              </w:tc>
              <w:tc>
                <w:tcPr>
                  <w:tcW w:w="0" w:type="auto"/>
                  <w:vAlign w:val="center"/>
                  <w:hideMark/>
                </w:tcPr>
                <w:p w14:paraId="6D2CDE67" w14:textId="77777777" w:rsidR="002532CE" w:rsidRPr="00267DAB" w:rsidRDefault="002532CE" w:rsidP="006F0B3D">
                  <w:pPr>
                    <w:jc w:val="both"/>
                  </w:pPr>
                  <w:r w:rsidRPr="00267DAB">
                    <w:t>Active membership status</w:t>
                  </w:r>
                </w:p>
              </w:tc>
              <w:tc>
                <w:tcPr>
                  <w:tcW w:w="0" w:type="auto"/>
                  <w:vAlign w:val="center"/>
                  <w:hideMark/>
                </w:tcPr>
                <w:p w14:paraId="6D5CFB18" w14:textId="77777777" w:rsidR="002532CE" w:rsidRPr="00267DAB" w:rsidRDefault="002532CE" w:rsidP="006F0B3D">
                  <w:pPr>
                    <w:jc w:val="both"/>
                  </w:pPr>
                  <w:r w:rsidRPr="002532CE">
                    <w:t xml:space="preserve">(Boolean) </w:t>
                  </w:r>
                  <w:r w:rsidRPr="00267DAB">
                    <w:t>1 = Yes, 0 = No</w:t>
                  </w:r>
                  <w:r w:rsidRPr="002532CE">
                    <w:t xml:space="preserve"> </w:t>
                  </w:r>
                </w:p>
              </w:tc>
            </w:tr>
            <w:tr w:rsidR="002532CE" w:rsidRPr="002532CE" w14:paraId="76005FE5" w14:textId="77777777" w:rsidTr="00A62B5F">
              <w:trPr>
                <w:tblCellSpacing w:w="15" w:type="dxa"/>
              </w:trPr>
              <w:tc>
                <w:tcPr>
                  <w:tcW w:w="0" w:type="auto"/>
                  <w:vAlign w:val="center"/>
                  <w:hideMark/>
                </w:tcPr>
                <w:p w14:paraId="2C265C5E" w14:textId="77777777" w:rsidR="002532CE" w:rsidRPr="00267DAB" w:rsidRDefault="002532CE" w:rsidP="006F0B3D">
                  <w:pPr>
                    <w:jc w:val="both"/>
                  </w:pPr>
                  <w:r w:rsidRPr="00267DAB">
                    <w:lastRenderedPageBreak/>
                    <w:t>EstimatedSalary</w:t>
                  </w:r>
                </w:p>
              </w:tc>
              <w:tc>
                <w:tcPr>
                  <w:tcW w:w="0" w:type="auto"/>
                  <w:vAlign w:val="center"/>
                  <w:hideMark/>
                </w:tcPr>
                <w:p w14:paraId="56B241B0" w14:textId="77777777" w:rsidR="002532CE" w:rsidRPr="00267DAB" w:rsidRDefault="002532CE" w:rsidP="006F0B3D">
                  <w:pPr>
                    <w:jc w:val="both"/>
                  </w:pPr>
                  <w:r w:rsidRPr="00267DAB">
                    <w:t>Customer’s estimated salary</w:t>
                  </w:r>
                </w:p>
              </w:tc>
              <w:tc>
                <w:tcPr>
                  <w:tcW w:w="0" w:type="auto"/>
                  <w:vAlign w:val="center"/>
                  <w:hideMark/>
                </w:tcPr>
                <w:p w14:paraId="0F8ED7FB" w14:textId="77777777" w:rsidR="002532CE" w:rsidRPr="00267DAB" w:rsidRDefault="002532CE" w:rsidP="006F0B3D">
                  <w:pPr>
                    <w:jc w:val="both"/>
                  </w:pPr>
                  <w:r w:rsidRPr="00267DAB">
                    <w:t>Numeric</w:t>
                  </w:r>
                </w:p>
              </w:tc>
            </w:tr>
            <w:tr w:rsidR="002532CE" w:rsidRPr="002532CE" w14:paraId="213F87A2" w14:textId="77777777" w:rsidTr="00A62B5F">
              <w:trPr>
                <w:tblCellSpacing w:w="15" w:type="dxa"/>
              </w:trPr>
              <w:tc>
                <w:tcPr>
                  <w:tcW w:w="0" w:type="auto"/>
                  <w:vAlign w:val="center"/>
                  <w:hideMark/>
                </w:tcPr>
                <w:p w14:paraId="076BB860" w14:textId="77777777" w:rsidR="002532CE" w:rsidRPr="00267DAB" w:rsidRDefault="002532CE" w:rsidP="006F0B3D">
                  <w:pPr>
                    <w:jc w:val="both"/>
                  </w:pPr>
                  <w:r w:rsidRPr="00267DAB">
                    <w:t>Exited</w:t>
                  </w:r>
                </w:p>
              </w:tc>
              <w:tc>
                <w:tcPr>
                  <w:tcW w:w="0" w:type="auto"/>
                  <w:vAlign w:val="center"/>
                  <w:hideMark/>
                </w:tcPr>
                <w:p w14:paraId="4A8CE8CE" w14:textId="77777777" w:rsidR="002532CE" w:rsidRPr="00267DAB" w:rsidRDefault="002532CE" w:rsidP="006F0B3D">
                  <w:pPr>
                    <w:jc w:val="both"/>
                  </w:pPr>
                  <w:r w:rsidRPr="00267DAB">
                    <w:t>Whether the customer churned</w:t>
                  </w:r>
                </w:p>
              </w:tc>
              <w:tc>
                <w:tcPr>
                  <w:tcW w:w="0" w:type="auto"/>
                  <w:vAlign w:val="center"/>
                  <w:hideMark/>
                </w:tcPr>
                <w:p w14:paraId="1ACC0DF1" w14:textId="77777777" w:rsidR="002532CE" w:rsidRPr="00267DAB" w:rsidRDefault="002532CE" w:rsidP="006F0B3D">
                  <w:pPr>
                    <w:jc w:val="both"/>
                  </w:pPr>
                  <w:r w:rsidRPr="002532CE">
                    <w:t xml:space="preserve">(Boolean) </w:t>
                  </w:r>
                  <w:r w:rsidRPr="00267DAB">
                    <w:t>1 = Yes, 0 = No</w:t>
                  </w:r>
                </w:p>
              </w:tc>
            </w:tr>
            <w:tr w:rsidR="002532CE" w:rsidRPr="002532CE" w14:paraId="6E01E39A" w14:textId="77777777" w:rsidTr="00A62B5F">
              <w:trPr>
                <w:tblCellSpacing w:w="15" w:type="dxa"/>
              </w:trPr>
              <w:tc>
                <w:tcPr>
                  <w:tcW w:w="0" w:type="auto"/>
                  <w:vAlign w:val="center"/>
                  <w:hideMark/>
                </w:tcPr>
                <w:p w14:paraId="1D43045B" w14:textId="77777777" w:rsidR="002532CE" w:rsidRPr="00267DAB" w:rsidRDefault="002532CE" w:rsidP="006F0B3D">
                  <w:pPr>
                    <w:jc w:val="both"/>
                  </w:pPr>
                  <w:r w:rsidRPr="00267DAB">
                    <w:t>Complain</w:t>
                  </w:r>
                </w:p>
              </w:tc>
              <w:tc>
                <w:tcPr>
                  <w:tcW w:w="0" w:type="auto"/>
                  <w:vAlign w:val="center"/>
                  <w:hideMark/>
                </w:tcPr>
                <w:p w14:paraId="2F0ADADF" w14:textId="77777777" w:rsidR="002532CE" w:rsidRPr="00267DAB" w:rsidRDefault="002532CE" w:rsidP="006F0B3D">
                  <w:pPr>
                    <w:jc w:val="both"/>
                  </w:pPr>
                  <w:r w:rsidRPr="00267DAB">
                    <w:t>Whether the customer made a complaint</w:t>
                  </w:r>
                </w:p>
              </w:tc>
              <w:tc>
                <w:tcPr>
                  <w:tcW w:w="0" w:type="auto"/>
                  <w:vAlign w:val="center"/>
                  <w:hideMark/>
                </w:tcPr>
                <w:p w14:paraId="4E7B5F3F" w14:textId="77777777" w:rsidR="002532CE" w:rsidRPr="00267DAB" w:rsidRDefault="002532CE" w:rsidP="006F0B3D">
                  <w:pPr>
                    <w:jc w:val="both"/>
                  </w:pPr>
                  <w:r w:rsidRPr="002532CE">
                    <w:t xml:space="preserve">(Boolean) </w:t>
                  </w:r>
                  <w:r w:rsidRPr="00267DAB">
                    <w:t>1 = Yes, 0 = No</w:t>
                  </w:r>
                </w:p>
              </w:tc>
            </w:tr>
            <w:tr w:rsidR="002532CE" w:rsidRPr="002532CE" w14:paraId="19D5953B" w14:textId="77777777" w:rsidTr="00A62B5F">
              <w:trPr>
                <w:tblCellSpacing w:w="15" w:type="dxa"/>
              </w:trPr>
              <w:tc>
                <w:tcPr>
                  <w:tcW w:w="0" w:type="auto"/>
                  <w:vAlign w:val="center"/>
                  <w:hideMark/>
                </w:tcPr>
                <w:p w14:paraId="5985847A" w14:textId="77777777" w:rsidR="002532CE" w:rsidRPr="00267DAB" w:rsidRDefault="002532CE" w:rsidP="006F0B3D">
                  <w:pPr>
                    <w:jc w:val="both"/>
                  </w:pPr>
                  <w:r w:rsidRPr="00267DAB">
                    <w:t>Satisfaction Score</w:t>
                  </w:r>
                </w:p>
              </w:tc>
              <w:tc>
                <w:tcPr>
                  <w:tcW w:w="0" w:type="auto"/>
                  <w:vAlign w:val="center"/>
                  <w:hideMark/>
                </w:tcPr>
                <w:p w14:paraId="72382E22" w14:textId="77777777" w:rsidR="002532CE" w:rsidRPr="00267DAB" w:rsidRDefault="002532CE" w:rsidP="006F0B3D">
                  <w:pPr>
                    <w:jc w:val="both"/>
                  </w:pPr>
                  <w:r w:rsidRPr="00267DAB">
                    <w:t>Satisfaction with bank services</w:t>
                  </w:r>
                  <w:r w:rsidRPr="002532CE">
                    <w:t xml:space="preserve"> (</w:t>
                  </w:r>
                  <w:r w:rsidRPr="00267DAB">
                    <w:t>Scale 1–5</w:t>
                  </w:r>
                  <w:r w:rsidRPr="002532CE">
                    <w:t>)</w:t>
                  </w:r>
                </w:p>
              </w:tc>
              <w:tc>
                <w:tcPr>
                  <w:tcW w:w="0" w:type="auto"/>
                  <w:vAlign w:val="center"/>
                  <w:hideMark/>
                </w:tcPr>
                <w:p w14:paraId="704ECB2E" w14:textId="77777777" w:rsidR="002532CE" w:rsidRPr="00267DAB" w:rsidRDefault="002532CE" w:rsidP="006F0B3D">
                  <w:pPr>
                    <w:jc w:val="both"/>
                  </w:pPr>
                  <w:r w:rsidRPr="002532CE">
                    <w:t xml:space="preserve">Numeric </w:t>
                  </w:r>
                </w:p>
              </w:tc>
            </w:tr>
            <w:tr w:rsidR="002532CE" w:rsidRPr="002532CE" w14:paraId="7F19B29D" w14:textId="77777777" w:rsidTr="00A62B5F">
              <w:trPr>
                <w:tblCellSpacing w:w="15" w:type="dxa"/>
              </w:trPr>
              <w:tc>
                <w:tcPr>
                  <w:tcW w:w="0" w:type="auto"/>
                  <w:vAlign w:val="center"/>
                  <w:hideMark/>
                </w:tcPr>
                <w:p w14:paraId="31CAB31B" w14:textId="77777777" w:rsidR="002532CE" w:rsidRPr="00267DAB" w:rsidRDefault="002532CE" w:rsidP="006F0B3D">
                  <w:pPr>
                    <w:jc w:val="both"/>
                  </w:pPr>
                  <w:r w:rsidRPr="00267DAB">
                    <w:t>Card Type</w:t>
                  </w:r>
                </w:p>
              </w:tc>
              <w:tc>
                <w:tcPr>
                  <w:tcW w:w="0" w:type="auto"/>
                  <w:vAlign w:val="center"/>
                  <w:hideMark/>
                </w:tcPr>
                <w:p w14:paraId="4845CEE7" w14:textId="77777777" w:rsidR="002532CE" w:rsidRPr="00267DAB" w:rsidRDefault="002532CE" w:rsidP="006F0B3D">
                  <w:pPr>
                    <w:jc w:val="both"/>
                  </w:pPr>
                  <w:r w:rsidRPr="00267DAB">
                    <w:t>Type of card owned</w:t>
                  </w:r>
                  <w:r w:rsidRPr="002532CE">
                    <w:t xml:space="preserve"> (</w:t>
                  </w:r>
                  <w:r w:rsidRPr="00267DAB">
                    <w:t>Gold, Platinum, Diamond, Silver</w:t>
                  </w:r>
                  <w:r w:rsidRPr="002532CE">
                    <w:t>)</w:t>
                  </w:r>
                </w:p>
              </w:tc>
              <w:tc>
                <w:tcPr>
                  <w:tcW w:w="0" w:type="auto"/>
                  <w:vAlign w:val="center"/>
                  <w:hideMark/>
                </w:tcPr>
                <w:p w14:paraId="391F4152" w14:textId="77777777" w:rsidR="002532CE" w:rsidRPr="00267DAB" w:rsidRDefault="002532CE" w:rsidP="006F0B3D">
                  <w:pPr>
                    <w:jc w:val="both"/>
                  </w:pPr>
                  <w:r w:rsidRPr="002532CE">
                    <w:t xml:space="preserve">Text </w:t>
                  </w:r>
                </w:p>
              </w:tc>
            </w:tr>
            <w:tr w:rsidR="002532CE" w:rsidRPr="002532CE" w14:paraId="5444712D" w14:textId="77777777" w:rsidTr="00A62B5F">
              <w:trPr>
                <w:tblCellSpacing w:w="15" w:type="dxa"/>
              </w:trPr>
              <w:tc>
                <w:tcPr>
                  <w:tcW w:w="0" w:type="auto"/>
                  <w:vAlign w:val="center"/>
                  <w:hideMark/>
                </w:tcPr>
                <w:p w14:paraId="17E62A59" w14:textId="77777777" w:rsidR="002532CE" w:rsidRPr="00267DAB" w:rsidRDefault="002532CE" w:rsidP="006F0B3D">
                  <w:pPr>
                    <w:jc w:val="both"/>
                  </w:pPr>
                  <w:r w:rsidRPr="00267DAB">
                    <w:t>Points Earned</w:t>
                  </w:r>
                </w:p>
              </w:tc>
              <w:tc>
                <w:tcPr>
                  <w:tcW w:w="0" w:type="auto"/>
                  <w:vAlign w:val="center"/>
                  <w:hideMark/>
                </w:tcPr>
                <w:p w14:paraId="73F34ECD" w14:textId="77777777" w:rsidR="002532CE" w:rsidRPr="00267DAB" w:rsidRDefault="002532CE" w:rsidP="006F0B3D">
                  <w:pPr>
                    <w:jc w:val="both"/>
                  </w:pPr>
                  <w:r w:rsidRPr="00267DAB">
                    <w:t>Reward points accumulated</w:t>
                  </w:r>
                </w:p>
              </w:tc>
              <w:tc>
                <w:tcPr>
                  <w:tcW w:w="0" w:type="auto"/>
                  <w:vAlign w:val="center"/>
                  <w:hideMark/>
                </w:tcPr>
                <w:p w14:paraId="582310B2" w14:textId="77777777" w:rsidR="002532CE" w:rsidRPr="00267DAB" w:rsidRDefault="002532CE" w:rsidP="006F0B3D">
                  <w:pPr>
                    <w:jc w:val="both"/>
                  </w:pPr>
                  <w:r w:rsidRPr="00267DAB">
                    <w:t>Numeric</w:t>
                  </w:r>
                </w:p>
              </w:tc>
            </w:tr>
          </w:tbl>
          <w:p w14:paraId="60B6B67E" w14:textId="77777777" w:rsidR="002532CE" w:rsidRDefault="002532CE" w:rsidP="006F0B3D">
            <w:pPr>
              <w:jc w:val="both"/>
            </w:pPr>
          </w:p>
        </w:tc>
      </w:tr>
    </w:tbl>
    <w:p w14:paraId="481AB3BB" w14:textId="77777777" w:rsidR="00F74E55" w:rsidRDefault="00F74E55" w:rsidP="006F0B3D">
      <w:pPr>
        <w:jc w:val="both"/>
        <w:rPr>
          <w:b/>
          <w:bCs/>
        </w:rPr>
      </w:pPr>
    </w:p>
    <w:p w14:paraId="08E6123C" w14:textId="483F8694" w:rsidR="00267DAB" w:rsidRPr="00267DAB" w:rsidRDefault="00267DAB" w:rsidP="006F0B3D">
      <w:pPr>
        <w:jc w:val="both"/>
        <w:rPr>
          <w:b/>
          <w:bCs/>
        </w:rPr>
      </w:pPr>
      <w:r w:rsidRPr="00267DAB">
        <w:rPr>
          <w:b/>
          <w:bCs/>
        </w:rPr>
        <w:t>Tools and Skills Used</w:t>
      </w:r>
    </w:p>
    <w:p w14:paraId="7D564DED" w14:textId="77777777" w:rsidR="00267DAB" w:rsidRPr="00267DAB" w:rsidRDefault="00267DAB" w:rsidP="006F0B3D">
      <w:pPr>
        <w:jc w:val="both"/>
      </w:pPr>
      <w:r w:rsidRPr="00267DAB">
        <w:t xml:space="preserve">The analysis was conducted entirely in </w:t>
      </w:r>
      <w:r w:rsidRPr="00267DAB">
        <w:rPr>
          <w:b/>
          <w:bCs/>
        </w:rPr>
        <w:t>Microsoft Excel</w:t>
      </w:r>
      <w:r w:rsidRPr="00267DAB">
        <w:t>. Key tools and features included:</w:t>
      </w:r>
    </w:p>
    <w:p w14:paraId="72F87DE6" w14:textId="77777777" w:rsidR="00267DAB" w:rsidRPr="00267DAB" w:rsidRDefault="00267DAB" w:rsidP="006F0B3D">
      <w:pPr>
        <w:numPr>
          <w:ilvl w:val="0"/>
          <w:numId w:val="2"/>
        </w:numPr>
        <w:jc w:val="both"/>
      </w:pPr>
      <w:r w:rsidRPr="00267DAB">
        <w:rPr>
          <w:b/>
          <w:bCs/>
        </w:rPr>
        <w:t>PivotTables</w:t>
      </w:r>
      <w:r w:rsidRPr="00267DAB">
        <w:t>: Summarized and segmented churn patterns.</w:t>
      </w:r>
    </w:p>
    <w:p w14:paraId="4202C3AF" w14:textId="77777777" w:rsidR="00267DAB" w:rsidRPr="00267DAB" w:rsidRDefault="00267DAB" w:rsidP="006F0B3D">
      <w:pPr>
        <w:numPr>
          <w:ilvl w:val="0"/>
          <w:numId w:val="2"/>
        </w:numPr>
        <w:jc w:val="both"/>
      </w:pPr>
      <w:r w:rsidRPr="00267DAB">
        <w:rPr>
          <w:b/>
          <w:bCs/>
        </w:rPr>
        <w:t>XLOOKUP / INDEX-MATCH</w:t>
      </w:r>
      <w:r w:rsidRPr="00267DAB">
        <w:t>: Retrieved customer details and performed lookups.</w:t>
      </w:r>
    </w:p>
    <w:p w14:paraId="7F19F666" w14:textId="77777777" w:rsidR="00267DAB" w:rsidRPr="00267DAB" w:rsidRDefault="00267DAB" w:rsidP="006F0B3D">
      <w:pPr>
        <w:numPr>
          <w:ilvl w:val="0"/>
          <w:numId w:val="2"/>
        </w:numPr>
        <w:jc w:val="both"/>
      </w:pPr>
      <w:r w:rsidRPr="00267DAB">
        <w:rPr>
          <w:b/>
          <w:bCs/>
        </w:rPr>
        <w:t>Text Functions</w:t>
      </w:r>
      <w:r w:rsidRPr="00267DAB">
        <w:t>: Standardized data formatting.</w:t>
      </w:r>
    </w:p>
    <w:p w14:paraId="220EA17D" w14:textId="77777777" w:rsidR="00267DAB" w:rsidRPr="00267DAB" w:rsidRDefault="00267DAB" w:rsidP="006F0B3D">
      <w:pPr>
        <w:numPr>
          <w:ilvl w:val="0"/>
          <w:numId w:val="2"/>
        </w:numPr>
        <w:jc w:val="both"/>
      </w:pPr>
      <w:r w:rsidRPr="00267DAB">
        <w:rPr>
          <w:b/>
          <w:bCs/>
        </w:rPr>
        <w:t>Conditional Formatting</w:t>
      </w:r>
      <w:r w:rsidRPr="00267DAB">
        <w:t>: Highlighted churn risk indicators.</w:t>
      </w:r>
    </w:p>
    <w:p w14:paraId="26560AC2" w14:textId="77777777" w:rsidR="00267DAB" w:rsidRPr="00267DAB" w:rsidRDefault="00267DAB" w:rsidP="006F0B3D">
      <w:pPr>
        <w:numPr>
          <w:ilvl w:val="0"/>
          <w:numId w:val="2"/>
        </w:numPr>
        <w:jc w:val="both"/>
      </w:pPr>
      <w:r w:rsidRPr="00267DAB">
        <w:rPr>
          <w:b/>
          <w:bCs/>
        </w:rPr>
        <w:t>Charts and Dashboards</w:t>
      </w:r>
      <w:r w:rsidRPr="00267DAB">
        <w:t>: Visualized churn trends and comparisons.</w:t>
      </w:r>
    </w:p>
    <w:p w14:paraId="4DE77FDB" w14:textId="77777777" w:rsidR="00267DAB" w:rsidRPr="00267DAB" w:rsidRDefault="00267DAB" w:rsidP="006F0B3D">
      <w:pPr>
        <w:numPr>
          <w:ilvl w:val="0"/>
          <w:numId w:val="2"/>
        </w:numPr>
        <w:jc w:val="both"/>
      </w:pPr>
      <w:r w:rsidRPr="00267DAB">
        <w:rPr>
          <w:b/>
          <w:bCs/>
        </w:rPr>
        <w:t>CORREL Function</w:t>
      </w:r>
      <w:r w:rsidRPr="00267DAB">
        <w:t>: Measured relationships between variables.</w:t>
      </w:r>
    </w:p>
    <w:p w14:paraId="4520C40F" w14:textId="77777777" w:rsidR="00267DAB" w:rsidRPr="00267DAB" w:rsidRDefault="00267DAB" w:rsidP="006F0B3D">
      <w:pPr>
        <w:jc w:val="both"/>
        <w:rPr>
          <w:b/>
          <w:bCs/>
        </w:rPr>
      </w:pPr>
      <w:r w:rsidRPr="00267DAB">
        <w:rPr>
          <w:b/>
          <w:bCs/>
        </w:rPr>
        <w:t>Data Cleaning and Preparation</w:t>
      </w:r>
    </w:p>
    <w:p w14:paraId="150E4294" w14:textId="77777777" w:rsidR="00267DAB" w:rsidRPr="00267DAB" w:rsidRDefault="00267DAB" w:rsidP="006F0B3D">
      <w:pPr>
        <w:jc w:val="both"/>
      </w:pPr>
      <w:r w:rsidRPr="00267DAB">
        <w:t>The dataset was inspected and prepared to ensure reliability:</w:t>
      </w:r>
    </w:p>
    <w:p w14:paraId="5F1CD40C" w14:textId="77777777" w:rsidR="00267DAB" w:rsidRPr="00267DAB" w:rsidRDefault="00267DAB" w:rsidP="006F0B3D">
      <w:pPr>
        <w:numPr>
          <w:ilvl w:val="0"/>
          <w:numId w:val="3"/>
        </w:numPr>
        <w:jc w:val="both"/>
      </w:pPr>
      <w:r w:rsidRPr="00267DAB">
        <w:t xml:space="preserve">Checked for duplicate </w:t>
      </w:r>
      <w:r w:rsidRPr="00267DAB">
        <w:rPr>
          <w:b/>
          <w:bCs/>
        </w:rPr>
        <w:t>CustomerId</w:t>
      </w:r>
      <w:r w:rsidRPr="00267DAB">
        <w:t xml:space="preserve"> values (none found).</w:t>
      </w:r>
    </w:p>
    <w:p w14:paraId="6FFFB79C" w14:textId="77777777" w:rsidR="00267DAB" w:rsidRPr="00267DAB" w:rsidRDefault="00267DAB" w:rsidP="006F0B3D">
      <w:pPr>
        <w:numPr>
          <w:ilvl w:val="0"/>
          <w:numId w:val="3"/>
        </w:numPr>
        <w:jc w:val="both"/>
      </w:pPr>
      <w:r w:rsidRPr="00267DAB">
        <w:t>Verified null or blank fields using Excel filters (none present).</w:t>
      </w:r>
    </w:p>
    <w:p w14:paraId="4033C10D" w14:textId="77777777" w:rsidR="00267DAB" w:rsidRPr="00267DAB" w:rsidRDefault="00267DAB" w:rsidP="006F0B3D">
      <w:pPr>
        <w:numPr>
          <w:ilvl w:val="0"/>
          <w:numId w:val="3"/>
        </w:numPr>
        <w:jc w:val="both"/>
      </w:pPr>
      <w:r w:rsidRPr="00267DAB">
        <w:t>Standardized column formats (e.g., binary columns consistently represented as 1 = Yes, 0 = No).</w:t>
      </w:r>
    </w:p>
    <w:p w14:paraId="1C81E06C" w14:textId="77777777" w:rsidR="00267DAB" w:rsidRPr="00267DAB" w:rsidRDefault="00267DAB" w:rsidP="006F0B3D">
      <w:pPr>
        <w:numPr>
          <w:ilvl w:val="0"/>
          <w:numId w:val="3"/>
        </w:numPr>
        <w:jc w:val="both"/>
      </w:pPr>
      <w:r w:rsidRPr="00267DAB">
        <w:t xml:space="preserve">Created a new feature, </w:t>
      </w:r>
      <w:r w:rsidRPr="00267DAB">
        <w:rPr>
          <w:b/>
          <w:bCs/>
        </w:rPr>
        <w:t>AgeGroup</w:t>
      </w:r>
      <w:r w:rsidRPr="00267DAB">
        <w:t>, by categorizing ages into four brackets:</w:t>
      </w:r>
    </w:p>
    <w:p w14:paraId="3D8B5AC3" w14:textId="77777777" w:rsidR="00267DAB" w:rsidRPr="00267DAB" w:rsidRDefault="00267DAB" w:rsidP="006F0B3D">
      <w:pPr>
        <w:numPr>
          <w:ilvl w:val="1"/>
          <w:numId w:val="3"/>
        </w:numPr>
        <w:jc w:val="both"/>
      </w:pPr>
      <w:r w:rsidRPr="00267DAB">
        <w:t>Young (18–34), Middle-aged (35–49), Old (50–70), Very Old (70+).</w:t>
      </w:r>
      <w:r w:rsidRPr="00267DAB">
        <w:br/>
        <w:t>This transformation simplified age-related analysis and revealed clearer churn trends.</w:t>
      </w:r>
    </w:p>
    <w:p w14:paraId="2C84291D" w14:textId="77777777" w:rsidR="00974B01" w:rsidRDefault="00974B01" w:rsidP="006F0B3D">
      <w:pPr>
        <w:jc w:val="both"/>
        <w:rPr>
          <w:b/>
          <w:bCs/>
        </w:rPr>
      </w:pPr>
    </w:p>
    <w:p w14:paraId="2A765D36" w14:textId="4113B7EF" w:rsidR="00CC7CFF" w:rsidRPr="00CC7CFF" w:rsidRDefault="00CC7CFF" w:rsidP="006F0B3D">
      <w:pPr>
        <w:jc w:val="both"/>
        <w:rPr>
          <w:b/>
          <w:bCs/>
        </w:rPr>
      </w:pPr>
      <w:r w:rsidRPr="00CC7CFF">
        <w:rPr>
          <w:b/>
          <w:bCs/>
        </w:rPr>
        <w:t>Exploratory Data Analysis (EDA)</w:t>
      </w:r>
    </w:p>
    <w:p w14:paraId="19E2B92F" w14:textId="77777777" w:rsidR="00CC7CFF" w:rsidRPr="00CC7CFF" w:rsidRDefault="00CC7CFF" w:rsidP="006F0B3D">
      <w:pPr>
        <w:jc w:val="both"/>
      </w:pPr>
      <w:r w:rsidRPr="00CC7CFF">
        <w:t>The exploratory phase focused on uncovering patterns and relationships between customer attributes and churn behavior. I used a combination of PivotTables, PivotCharts, Excel formulas and functions, correlation analysis (CORREL), and conditional formatting to answer critical questions about who was leaving the bank and why.</w:t>
      </w:r>
    </w:p>
    <w:p w14:paraId="29E70E60" w14:textId="77777777" w:rsidR="00CC7CFF" w:rsidRPr="00CC7CFF" w:rsidRDefault="00CC7CFF" w:rsidP="006F0B3D">
      <w:pPr>
        <w:jc w:val="both"/>
      </w:pPr>
      <w:r w:rsidRPr="00CC7CFF">
        <w:t>To structure the analysis, I asked guiding questions such as:</w:t>
      </w:r>
    </w:p>
    <w:p w14:paraId="201F4B99" w14:textId="77777777" w:rsidR="00CC7CFF" w:rsidRPr="00CC7CFF" w:rsidRDefault="00CC7CFF" w:rsidP="006F0B3D">
      <w:pPr>
        <w:numPr>
          <w:ilvl w:val="0"/>
          <w:numId w:val="5"/>
        </w:numPr>
        <w:jc w:val="both"/>
      </w:pPr>
      <w:r w:rsidRPr="00CC7CFF">
        <w:t>Who are the churned customers in terms of age group, credit score, gender, geography, and card type?</w:t>
      </w:r>
    </w:p>
    <w:p w14:paraId="6BA3F470" w14:textId="77777777" w:rsidR="00CC7CFF" w:rsidRPr="00CC7CFF" w:rsidRDefault="00CC7CFF" w:rsidP="006F0B3D">
      <w:pPr>
        <w:numPr>
          <w:ilvl w:val="0"/>
          <w:numId w:val="5"/>
        </w:numPr>
        <w:jc w:val="both"/>
      </w:pPr>
      <w:r w:rsidRPr="00CC7CFF">
        <w:t>Is churn related to low satisfaction scores or frequent complaints?</w:t>
      </w:r>
    </w:p>
    <w:p w14:paraId="0BE54DF3" w14:textId="77777777" w:rsidR="00CC7CFF" w:rsidRPr="00CC7CFF" w:rsidRDefault="00CC7CFF" w:rsidP="006F0B3D">
      <w:pPr>
        <w:numPr>
          <w:ilvl w:val="0"/>
          <w:numId w:val="5"/>
        </w:numPr>
        <w:jc w:val="both"/>
      </w:pPr>
      <w:r w:rsidRPr="00CC7CFF">
        <w:t>Do customers with fewer products or lower engagement tend to churn more?</w:t>
      </w:r>
    </w:p>
    <w:p w14:paraId="76EC0E0F" w14:textId="77777777" w:rsidR="00CC7CFF" w:rsidRPr="00CC7CFF" w:rsidRDefault="00CC7CFF" w:rsidP="006F0B3D">
      <w:pPr>
        <w:numPr>
          <w:ilvl w:val="0"/>
          <w:numId w:val="5"/>
        </w:numPr>
        <w:jc w:val="both"/>
      </w:pPr>
      <w:r w:rsidRPr="00CC7CFF">
        <w:t>Does having a credit card or being an active member reduce churn?</w:t>
      </w:r>
    </w:p>
    <w:p w14:paraId="58E44AC9" w14:textId="77777777" w:rsidR="00CC7CFF" w:rsidRPr="00CC7CFF" w:rsidRDefault="00CC7CFF" w:rsidP="006F0B3D">
      <w:pPr>
        <w:numPr>
          <w:ilvl w:val="0"/>
          <w:numId w:val="5"/>
        </w:numPr>
        <w:jc w:val="both"/>
      </w:pPr>
      <w:r w:rsidRPr="00CC7CFF">
        <w:t>Are high earners or those with higher balances more loyal?</w:t>
      </w:r>
    </w:p>
    <w:p w14:paraId="4915EC3E" w14:textId="77777777" w:rsidR="00CC7CFF" w:rsidRPr="00CC7CFF" w:rsidRDefault="00CC7CFF" w:rsidP="006F0B3D">
      <w:pPr>
        <w:numPr>
          <w:ilvl w:val="0"/>
          <w:numId w:val="5"/>
        </w:numPr>
        <w:jc w:val="both"/>
      </w:pPr>
      <w:r w:rsidRPr="00CC7CFF">
        <w:t>What role does tenure play in churn likelihood?</w:t>
      </w:r>
    </w:p>
    <w:p w14:paraId="6914DD97" w14:textId="77777777" w:rsidR="00CC7CFF" w:rsidRPr="00CC7CFF" w:rsidRDefault="00CC7CFF" w:rsidP="006F0B3D">
      <w:pPr>
        <w:numPr>
          <w:ilvl w:val="0"/>
          <w:numId w:val="5"/>
        </w:numPr>
        <w:jc w:val="both"/>
      </w:pPr>
      <w:r w:rsidRPr="00CC7CFF">
        <w:t>Which card types are more prone to churn?</w:t>
      </w:r>
    </w:p>
    <w:p w14:paraId="6085C63E" w14:textId="77777777" w:rsidR="00CC7CFF" w:rsidRPr="00CC7CFF" w:rsidRDefault="00CC7CFF" w:rsidP="006F0B3D">
      <w:pPr>
        <w:numPr>
          <w:ilvl w:val="0"/>
          <w:numId w:val="5"/>
        </w:numPr>
        <w:jc w:val="both"/>
      </w:pPr>
      <w:r w:rsidRPr="00CC7CFF">
        <w:t>Are there any geographic regions with higher churn rates?</w:t>
      </w:r>
    </w:p>
    <w:p w14:paraId="071310F1" w14:textId="77777777" w:rsidR="00CC7CFF" w:rsidRPr="00CC7CFF" w:rsidRDefault="00CC7CFF" w:rsidP="006F0B3D">
      <w:pPr>
        <w:numPr>
          <w:ilvl w:val="0"/>
          <w:numId w:val="5"/>
        </w:numPr>
        <w:jc w:val="both"/>
      </w:pPr>
      <w:r w:rsidRPr="00CC7CFF">
        <w:t>Does churn correlate with the number of points earned or card usage?</w:t>
      </w:r>
    </w:p>
    <w:p w14:paraId="017DADEB" w14:textId="77777777" w:rsidR="00CC7CFF" w:rsidRPr="00CC7CFF" w:rsidRDefault="00CC7CFF" w:rsidP="006F0B3D">
      <w:pPr>
        <w:numPr>
          <w:ilvl w:val="0"/>
          <w:numId w:val="5"/>
        </w:numPr>
        <w:jc w:val="both"/>
      </w:pPr>
      <w:r w:rsidRPr="00CC7CFF">
        <w:t>Can we identify a customer churn risk profile for early detection?</w:t>
      </w:r>
    </w:p>
    <w:p w14:paraId="4D85C4F8" w14:textId="77777777" w:rsidR="00CC7CFF" w:rsidRPr="00CC7CFF" w:rsidRDefault="00CC7CFF" w:rsidP="006F0B3D">
      <w:pPr>
        <w:jc w:val="both"/>
        <w:rPr>
          <w:b/>
          <w:bCs/>
        </w:rPr>
      </w:pPr>
      <w:r w:rsidRPr="00CC7CFF">
        <w:rPr>
          <w:b/>
          <w:bCs/>
        </w:rPr>
        <w:t>Approach</w:t>
      </w:r>
    </w:p>
    <w:p w14:paraId="4B405C5D" w14:textId="77777777" w:rsidR="003869FA" w:rsidRDefault="00CC7CFF" w:rsidP="006F0B3D">
      <w:pPr>
        <w:pStyle w:val="ListParagraph"/>
        <w:numPr>
          <w:ilvl w:val="0"/>
          <w:numId w:val="8"/>
        </w:numPr>
        <w:jc w:val="both"/>
      </w:pPr>
      <w:r w:rsidRPr="00CC7CFF">
        <w:t>PivotTables and PivotCharts were used to compare churned versus non-churned customers across key variables such as age group, geography, card type, and gender.</w:t>
      </w:r>
    </w:p>
    <w:p w14:paraId="038B1C8F" w14:textId="77777777" w:rsidR="003869FA" w:rsidRDefault="00CC7CFF" w:rsidP="006F0B3D">
      <w:pPr>
        <w:pStyle w:val="ListParagraph"/>
        <w:numPr>
          <w:ilvl w:val="0"/>
          <w:numId w:val="8"/>
        </w:numPr>
        <w:jc w:val="both"/>
      </w:pPr>
      <w:r w:rsidRPr="00CC7CFF">
        <w:t>Correlation (CORREL function) was applied to test the relationship between churn and numeric variables such as credit score, satisfaction score, balance, and salary.</w:t>
      </w:r>
    </w:p>
    <w:p w14:paraId="00959C27" w14:textId="77777777" w:rsidR="003869FA" w:rsidRDefault="00CC7CFF" w:rsidP="006F0B3D">
      <w:pPr>
        <w:pStyle w:val="ListParagraph"/>
        <w:numPr>
          <w:ilvl w:val="0"/>
          <w:numId w:val="8"/>
        </w:numPr>
        <w:jc w:val="both"/>
      </w:pPr>
      <w:r w:rsidRPr="00CC7CFF">
        <w:t>Conditional formatting was applied to flag customers with low satisfaction and multiple complaints as potential churn risks.</w:t>
      </w:r>
    </w:p>
    <w:p w14:paraId="7C46C9C4" w14:textId="5917125D" w:rsidR="00F74E55" w:rsidRPr="00F74E55" w:rsidRDefault="00CC7CFF" w:rsidP="006F0B3D">
      <w:pPr>
        <w:pStyle w:val="ListParagraph"/>
        <w:numPr>
          <w:ilvl w:val="0"/>
          <w:numId w:val="8"/>
        </w:numPr>
        <w:jc w:val="both"/>
      </w:pPr>
      <w:r w:rsidRPr="00CC7CFF">
        <w:t xml:space="preserve">A derived variable, </w:t>
      </w:r>
      <w:r w:rsidRPr="003869FA">
        <w:rPr>
          <w:b/>
          <w:bCs/>
        </w:rPr>
        <w:t>AgeGroup</w:t>
      </w:r>
      <w:r w:rsidRPr="00CC7CFF">
        <w:t>, was created to segment customers into Young, Middle-aged, Old, and Very Old for clearer age-related analysis.</w:t>
      </w:r>
    </w:p>
    <w:p w14:paraId="4779C714" w14:textId="2B44E944" w:rsidR="00CC7CFF" w:rsidRPr="00CC7CFF" w:rsidRDefault="00CC7CFF" w:rsidP="006F0B3D">
      <w:pPr>
        <w:jc w:val="both"/>
        <w:rPr>
          <w:b/>
          <w:bCs/>
        </w:rPr>
      </w:pPr>
      <w:r w:rsidRPr="00CC7CFF">
        <w:rPr>
          <w:b/>
          <w:bCs/>
        </w:rPr>
        <w:t>Preliminary Observations</w:t>
      </w:r>
    </w:p>
    <w:p w14:paraId="25D71618" w14:textId="77777777" w:rsidR="00CC7CFF" w:rsidRPr="00CC7CFF" w:rsidRDefault="00CC7CFF" w:rsidP="006F0B3D">
      <w:pPr>
        <w:numPr>
          <w:ilvl w:val="0"/>
          <w:numId w:val="6"/>
        </w:numPr>
        <w:jc w:val="both"/>
      </w:pPr>
      <w:r w:rsidRPr="00CC7CFF">
        <w:t xml:space="preserve">Customers from </w:t>
      </w:r>
      <w:r w:rsidRPr="00CC7CFF">
        <w:rPr>
          <w:b/>
          <w:bCs/>
        </w:rPr>
        <w:t>Germany</w:t>
      </w:r>
      <w:r w:rsidRPr="00CC7CFF">
        <w:t xml:space="preserve"> showed a noticeably higher churn rate compared to Spain and France.</w:t>
      </w:r>
    </w:p>
    <w:p w14:paraId="477769AA" w14:textId="77777777" w:rsidR="00CC7CFF" w:rsidRPr="00CC7CFF" w:rsidRDefault="00CC7CFF" w:rsidP="006F0B3D">
      <w:pPr>
        <w:numPr>
          <w:ilvl w:val="0"/>
          <w:numId w:val="6"/>
        </w:numPr>
        <w:jc w:val="both"/>
      </w:pPr>
      <w:r w:rsidRPr="00CC7CFF">
        <w:rPr>
          <w:b/>
          <w:bCs/>
        </w:rPr>
        <w:lastRenderedPageBreak/>
        <w:t>Older customers</w:t>
      </w:r>
      <w:r w:rsidRPr="00CC7CFF">
        <w:t xml:space="preserve"> accounted for a large portion of churned customers, with middle-aged groups also contributing significantly.</w:t>
      </w:r>
    </w:p>
    <w:p w14:paraId="4B1D7B85" w14:textId="77777777" w:rsidR="00CC7CFF" w:rsidRPr="00CC7CFF" w:rsidRDefault="00CC7CFF" w:rsidP="006F0B3D">
      <w:pPr>
        <w:numPr>
          <w:ilvl w:val="0"/>
          <w:numId w:val="6"/>
        </w:numPr>
        <w:jc w:val="both"/>
      </w:pPr>
      <w:r w:rsidRPr="00CC7CFF">
        <w:rPr>
          <w:b/>
          <w:bCs/>
        </w:rPr>
        <w:t>Low satisfaction scores</w:t>
      </w:r>
      <w:r w:rsidRPr="00CC7CFF">
        <w:t xml:space="preserve"> (below 3) and the presence of </w:t>
      </w:r>
      <w:r w:rsidRPr="00CC7CFF">
        <w:rPr>
          <w:b/>
          <w:bCs/>
        </w:rPr>
        <w:t>complaints</w:t>
      </w:r>
      <w:r w:rsidRPr="00CC7CFF">
        <w:t xml:space="preserve"> were strong indicators of churn.</w:t>
      </w:r>
    </w:p>
    <w:p w14:paraId="45187236" w14:textId="0B962CF9" w:rsidR="00CC7CFF" w:rsidRDefault="00CC7CFF" w:rsidP="006F0B3D">
      <w:pPr>
        <w:numPr>
          <w:ilvl w:val="0"/>
          <w:numId w:val="6"/>
        </w:numPr>
        <w:jc w:val="both"/>
      </w:pPr>
      <w:r w:rsidRPr="00CC7CFF">
        <w:t xml:space="preserve">Customers with only </w:t>
      </w:r>
      <w:r w:rsidR="003869FA">
        <w:rPr>
          <w:b/>
          <w:bCs/>
        </w:rPr>
        <w:t>higher number of products</w:t>
      </w:r>
      <w:r w:rsidRPr="00CC7CFF">
        <w:t xml:space="preserve"> and those with </w:t>
      </w:r>
      <w:r w:rsidRPr="00CC7CFF">
        <w:rPr>
          <w:b/>
          <w:bCs/>
        </w:rPr>
        <w:t>low account activity</w:t>
      </w:r>
      <w:r w:rsidRPr="00CC7CFF">
        <w:t xml:space="preserve"> were more likely to churn.</w:t>
      </w:r>
    </w:p>
    <w:p w14:paraId="55E253BD" w14:textId="1400969F" w:rsidR="00CC7CFF" w:rsidRPr="00CC7CFF" w:rsidRDefault="007C2DD2" w:rsidP="006F0B3D">
      <w:pPr>
        <w:numPr>
          <w:ilvl w:val="0"/>
          <w:numId w:val="6"/>
        </w:numPr>
        <w:jc w:val="both"/>
      </w:pPr>
      <w:r>
        <w:t>C</w:t>
      </w:r>
      <w:r w:rsidR="00CC7CFF" w:rsidRPr="00CC7CFF">
        <w:t xml:space="preserve">ustomers with </w:t>
      </w:r>
      <w:r w:rsidR="003869FA" w:rsidRPr="007C2DD2">
        <w:rPr>
          <w:b/>
          <w:bCs/>
        </w:rPr>
        <w:t>lesser number</w:t>
      </w:r>
      <w:r w:rsidR="00CC7CFF" w:rsidRPr="00CC7CFF">
        <w:rPr>
          <w:b/>
          <w:bCs/>
        </w:rPr>
        <w:t xml:space="preserve"> products</w:t>
      </w:r>
      <w:r w:rsidR="00CC7CFF" w:rsidRPr="00CC7CFF">
        <w:t xml:space="preserve"> appeared more loyal and less likely to churn.</w:t>
      </w:r>
    </w:p>
    <w:p w14:paraId="46AD4818" w14:textId="23394638" w:rsidR="00F74E55" w:rsidRDefault="00CC7CFF" w:rsidP="006F0B3D">
      <w:pPr>
        <w:jc w:val="both"/>
      </w:pPr>
      <w:r w:rsidRPr="00CC7CFF">
        <w:t>These patterns guided the deeper analysis that followed, where I quantified churn rates and examined specific drivers in more detail.</w:t>
      </w:r>
    </w:p>
    <w:p w14:paraId="17CA25AA" w14:textId="77777777" w:rsidR="00974B01" w:rsidRDefault="00974B01" w:rsidP="006F0B3D">
      <w:pPr>
        <w:jc w:val="both"/>
        <w:rPr>
          <w:b/>
          <w:bCs/>
        </w:rPr>
      </w:pPr>
    </w:p>
    <w:p w14:paraId="04B93FFD" w14:textId="1B3D3FED" w:rsidR="00F74E55" w:rsidRPr="00791927" w:rsidRDefault="00F74E55" w:rsidP="006F0B3D">
      <w:pPr>
        <w:jc w:val="both"/>
        <w:rPr>
          <w:b/>
          <w:bCs/>
        </w:rPr>
      </w:pPr>
      <w:r w:rsidRPr="00791927">
        <w:rPr>
          <w:b/>
          <w:bCs/>
        </w:rPr>
        <w:t>Data Visualization</w:t>
      </w:r>
    </w:p>
    <w:p w14:paraId="51D86F3A" w14:textId="77777777" w:rsidR="00F74E55" w:rsidRPr="00791927" w:rsidRDefault="00F74E55" w:rsidP="006F0B3D">
      <w:pPr>
        <w:jc w:val="both"/>
      </w:pPr>
      <w:r w:rsidRPr="00791927">
        <w:t>To better communicate the patterns discovered during exploratory analysis, I created PivotCharts and other Excel-based visualizations. These charts highlight the distribution of churn across customer demographics, behavior, and engagement levels.</w:t>
      </w:r>
    </w:p>
    <w:p w14:paraId="772FE540" w14:textId="14CE2A23" w:rsidR="00F74E55" w:rsidRPr="00F74E55" w:rsidRDefault="00F74E55" w:rsidP="006F0B3D">
      <w:pPr>
        <w:pStyle w:val="ListParagraph"/>
        <w:numPr>
          <w:ilvl w:val="0"/>
          <w:numId w:val="9"/>
        </w:numPr>
        <w:jc w:val="both"/>
        <w:rPr>
          <w:b/>
          <w:bCs/>
        </w:rPr>
      </w:pPr>
      <w:r w:rsidRPr="00F74E55">
        <w:rPr>
          <w:b/>
          <w:bCs/>
        </w:rPr>
        <w:t>Churn by Geography</w:t>
      </w:r>
    </w:p>
    <w:p w14:paraId="037AB8A5" w14:textId="4FA27C06" w:rsidR="00F74E55" w:rsidRPr="00791927" w:rsidRDefault="00F74E55" w:rsidP="006F0B3D">
      <w:pPr>
        <w:jc w:val="both"/>
      </w:pPr>
      <w:r w:rsidRPr="00791927">
        <w:t>A</w:t>
      </w:r>
      <w:r w:rsidR="00C4252B">
        <w:t xml:space="preserve"> clustered bar chart </w:t>
      </w:r>
      <w:r w:rsidRPr="00791927">
        <w:t>compared churn rates</w:t>
      </w:r>
      <w:r w:rsidR="00C4252B">
        <w:t>, churned customers and total customers</w:t>
      </w:r>
      <w:r w:rsidRPr="00791927">
        <w:t xml:space="preserve"> across Spain, France, and Germany. The visualization revealed that </w:t>
      </w:r>
      <w:r w:rsidRPr="00791927">
        <w:rPr>
          <w:b/>
          <w:bCs/>
        </w:rPr>
        <w:t>Germany had the highest churn rate (32%)</w:t>
      </w:r>
      <w:r w:rsidRPr="00791927">
        <w:t>, significantly above Spain (16%) and France (14%). This suggests geographic factors may influence customer retention.</w:t>
      </w:r>
    </w:p>
    <w:p w14:paraId="160A571A" w14:textId="1192482D" w:rsidR="00F74E55" w:rsidRPr="00F74E55" w:rsidRDefault="00F74E55" w:rsidP="006F0B3D">
      <w:pPr>
        <w:pStyle w:val="ListParagraph"/>
        <w:numPr>
          <w:ilvl w:val="0"/>
          <w:numId w:val="9"/>
        </w:numPr>
        <w:jc w:val="both"/>
        <w:rPr>
          <w:b/>
          <w:bCs/>
        </w:rPr>
      </w:pPr>
      <w:r w:rsidRPr="00F74E55">
        <w:rPr>
          <w:b/>
          <w:bCs/>
        </w:rPr>
        <w:t>Churn by Age Group</w:t>
      </w:r>
    </w:p>
    <w:p w14:paraId="25BC4D06" w14:textId="76F99B71" w:rsidR="00F74E55" w:rsidRPr="00791927" w:rsidRDefault="00F74E55" w:rsidP="006F0B3D">
      <w:pPr>
        <w:jc w:val="both"/>
      </w:pPr>
      <w:r w:rsidRPr="00791927">
        <w:t>A</w:t>
      </w:r>
      <w:r w:rsidR="00C4252B">
        <w:t xml:space="preserve"> horizontal </w:t>
      </w:r>
      <w:r w:rsidRPr="00791927">
        <w:t xml:space="preserve">bar chart segmented customers into Young, Middle-aged, Old, and Very Old. The results showed that </w:t>
      </w:r>
      <w:r w:rsidRPr="00791927">
        <w:rPr>
          <w:b/>
          <w:bCs/>
        </w:rPr>
        <w:t>middle-aged and older customers accounted for over 6</w:t>
      </w:r>
      <w:r w:rsidR="00C4252B">
        <w:rPr>
          <w:b/>
          <w:bCs/>
        </w:rPr>
        <w:t>5</w:t>
      </w:r>
      <w:r w:rsidRPr="00791927">
        <w:rPr>
          <w:b/>
          <w:bCs/>
        </w:rPr>
        <w:t>% of total churn</w:t>
      </w:r>
      <w:r w:rsidRPr="00791927">
        <w:t>, indicating that retention strategies should be tailored to these age groups.</w:t>
      </w:r>
    </w:p>
    <w:p w14:paraId="43E3AB15" w14:textId="4D127AAE" w:rsidR="00F74E55" w:rsidRPr="00F74E55" w:rsidRDefault="00F74E55" w:rsidP="006F0B3D">
      <w:pPr>
        <w:pStyle w:val="ListParagraph"/>
        <w:numPr>
          <w:ilvl w:val="0"/>
          <w:numId w:val="9"/>
        </w:numPr>
        <w:jc w:val="both"/>
        <w:rPr>
          <w:b/>
          <w:bCs/>
        </w:rPr>
      </w:pPr>
      <w:r w:rsidRPr="00F74E55">
        <w:rPr>
          <w:b/>
          <w:bCs/>
        </w:rPr>
        <w:t>Satisfaction Score vs. Churn</w:t>
      </w:r>
    </w:p>
    <w:p w14:paraId="10271E8C" w14:textId="5486C2B5" w:rsidR="00F74E55" w:rsidRPr="00791927" w:rsidRDefault="00F74E55" w:rsidP="006F0B3D">
      <w:pPr>
        <w:jc w:val="both"/>
      </w:pPr>
      <w:r w:rsidRPr="00791927">
        <w:t>A</w:t>
      </w:r>
      <w:r w:rsidR="00C4252B">
        <w:t xml:space="preserve"> combo </w:t>
      </w:r>
      <w:r w:rsidRPr="00791927">
        <w:t xml:space="preserve">column chart displayed </w:t>
      </w:r>
      <w:r w:rsidR="00C4252B">
        <w:t>the number of customer</w:t>
      </w:r>
      <w:r w:rsidR="00DE6753">
        <w:t>s</w:t>
      </w:r>
      <w:r w:rsidR="00C4252B">
        <w:t xml:space="preserve"> versus </w:t>
      </w:r>
      <w:r w:rsidRPr="00791927">
        <w:t xml:space="preserve">churn rates by satisfaction score (1–5). The visualization clearly showed that </w:t>
      </w:r>
      <w:r w:rsidRPr="00791927">
        <w:rPr>
          <w:b/>
          <w:bCs/>
        </w:rPr>
        <w:t xml:space="preserve">customers with satisfaction scores </w:t>
      </w:r>
      <w:r w:rsidR="008A3681">
        <w:rPr>
          <w:b/>
          <w:bCs/>
        </w:rPr>
        <w:t>of 1,2 and</w:t>
      </w:r>
      <w:r w:rsidRPr="00791927">
        <w:rPr>
          <w:b/>
          <w:bCs/>
        </w:rPr>
        <w:t xml:space="preserve"> were far more likely to churn</w:t>
      </w:r>
      <w:r w:rsidRPr="00791927">
        <w:t>, while those rating</w:t>
      </w:r>
      <w:r w:rsidR="008A3681">
        <w:t xml:space="preserve"> 3 </w:t>
      </w:r>
      <w:r w:rsidRPr="00791927">
        <w:t>demonstrated strong loyalty.</w:t>
      </w:r>
    </w:p>
    <w:p w14:paraId="47CB9323" w14:textId="5698246F" w:rsidR="00F74E55" w:rsidRPr="00F74E55" w:rsidRDefault="00F74E55" w:rsidP="006F0B3D">
      <w:pPr>
        <w:pStyle w:val="ListParagraph"/>
        <w:numPr>
          <w:ilvl w:val="0"/>
          <w:numId w:val="9"/>
        </w:numPr>
        <w:jc w:val="both"/>
        <w:rPr>
          <w:b/>
          <w:bCs/>
        </w:rPr>
      </w:pPr>
      <w:r w:rsidRPr="00F74E55">
        <w:rPr>
          <w:b/>
          <w:bCs/>
        </w:rPr>
        <w:t>Product Engagement</w:t>
      </w:r>
    </w:p>
    <w:p w14:paraId="67D87AFB" w14:textId="21F4801C" w:rsidR="00F74E55" w:rsidRPr="00791927" w:rsidRDefault="00F74E55" w:rsidP="006F0B3D">
      <w:pPr>
        <w:jc w:val="both"/>
      </w:pPr>
      <w:r w:rsidRPr="00791927">
        <w:t>A pie chart illustrated churn by number of products owned. Customers with</w:t>
      </w:r>
      <w:r w:rsidR="00FF397D">
        <w:t xml:space="preserve"> </w:t>
      </w:r>
      <w:r w:rsidR="00FF397D">
        <w:rPr>
          <w:b/>
          <w:bCs/>
        </w:rPr>
        <w:t xml:space="preserve">three or four </w:t>
      </w:r>
      <w:r w:rsidRPr="00791927">
        <w:rPr>
          <w:b/>
          <w:bCs/>
        </w:rPr>
        <w:t>product</w:t>
      </w:r>
      <w:r w:rsidR="00FF397D">
        <w:rPr>
          <w:b/>
          <w:bCs/>
        </w:rPr>
        <w:t>s</w:t>
      </w:r>
      <w:r w:rsidRPr="00791927">
        <w:rPr>
          <w:b/>
          <w:bCs/>
        </w:rPr>
        <w:t xml:space="preserve"> represented the majority of churn cases</w:t>
      </w:r>
      <w:r w:rsidR="00FF397D">
        <w:rPr>
          <w:b/>
          <w:bCs/>
        </w:rPr>
        <w:t xml:space="preserve"> with about 83% and 100% churn rate respectively</w:t>
      </w:r>
      <w:r w:rsidRPr="00791927">
        <w:t>, while those</w:t>
      </w:r>
      <w:r w:rsidR="00FF397D">
        <w:t xml:space="preserve"> with lesser number of</w:t>
      </w:r>
      <w:r w:rsidRPr="00791927">
        <w:t xml:space="preserve"> products were much less likely to leave. This emphasizes the importance of cross-selling and product engagement.</w:t>
      </w:r>
    </w:p>
    <w:p w14:paraId="76F2E425" w14:textId="01D85D6F" w:rsidR="00F74E55" w:rsidRPr="00F74E55" w:rsidRDefault="00F74E55" w:rsidP="006F0B3D">
      <w:pPr>
        <w:pStyle w:val="ListParagraph"/>
        <w:numPr>
          <w:ilvl w:val="0"/>
          <w:numId w:val="9"/>
        </w:numPr>
        <w:jc w:val="both"/>
        <w:rPr>
          <w:b/>
          <w:bCs/>
        </w:rPr>
      </w:pPr>
      <w:r w:rsidRPr="00F74E55">
        <w:rPr>
          <w:b/>
          <w:bCs/>
        </w:rPr>
        <w:lastRenderedPageBreak/>
        <w:t>Tenure and Activity Status</w:t>
      </w:r>
    </w:p>
    <w:p w14:paraId="5F274E09" w14:textId="08005918" w:rsidR="00F74E55" w:rsidRDefault="00F74E55" w:rsidP="006F0B3D">
      <w:pPr>
        <w:jc w:val="both"/>
      </w:pPr>
      <w:r w:rsidRPr="00791927">
        <w:t>A</w:t>
      </w:r>
      <w:r w:rsidR="00FF397D">
        <w:t xml:space="preserve"> combo chart</w:t>
      </w:r>
      <w:r w:rsidRPr="00791927">
        <w:t xml:space="preserve"> was used to examine tenure against churn rate</w:t>
      </w:r>
      <w:r w:rsidR="00FF397D">
        <w:t xml:space="preserve"> where the columns showed the different tenure (1-7 years) and the line indicated the churn rate across these years</w:t>
      </w:r>
      <w:r w:rsidRPr="00791927">
        <w:t>. Churn rates spiked among customers with lower tenure (0–</w:t>
      </w:r>
      <w:r w:rsidR="00FF397D">
        <w:t>4</w:t>
      </w:r>
      <w:r w:rsidRPr="00791927">
        <w:t xml:space="preserve"> years), and inactive members were almost twice as likely to churn compared to active members.</w:t>
      </w:r>
    </w:p>
    <w:p w14:paraId="56E3D491" w14:textId="77777777" w:rsidR="00174465" w:rsidRDefault="00174465" w:rsidP="006F0B3D">
      <w:pPr>
        <w:jc w:val="both"/>
        <w:rPr>
          <w:b/>
          <w:bCs/>
        </w:rPr>
      </w:pPr>
    </w:p>
    <w:p w14:paraId="2EF33EE5" w14:textId="4F56FAE4" w:rsidR="002521BE" w:rsidRPr="002521BE" w:rsidRDefault="002521BE" w:rsidP="006F0B3D">
      <w:pPr>
        <w:jc w:val="both"/>
        <w:rPr>
          <w:b/>
          <w:bCs/>
        </w:rPr>
      </w:pPr>
      <w:r w:rsidRPr="002521BE">
        <w:rPr>
          <w:b/>
          <w:bCs/>
        </w:rPr>
        <w:t>Findings and Insights</w:t>
      </w:r>
    </w:p>
    <w:p w14:paraId="44C098AE" w14:textId="77777777" w:rsidR="002521BE" w:rsidRPr="002521BE" w:rsidRDefault="002521BE" w:rsidP="006F0B3D">
      <w:pPr>
        <w:jc w:val="both"/>
      </w:pPr>
      <w:r w:rsidRPr="002521BE">
        <w:t>The analysis uncovered clear patterns in customer churn behavior across demographics, financial attributes, product types, and customer experience indicators.</w:t>
      </w:r>
    </w:p>
    <w:p w14:paraId="2BAE1B9C" w14:textId="77777777" w:rsidR="002521BE" w:rsidRPr="002521BE" w:rsidRDefault="002521BE" w:rsidP="006F0B3D">
      <w:pPr>
        <w:jc w:val="both"/>
        <w:rPr>
          <w:b/>
          <w:bCs/>
        </w:rPr>
      </w:pPr>
      <w:r w:rsidRPr="002521BE">
        <w:rPr>
          <w:b/>
          <w:bCs/>
        </w:rPr>
        <w:t>1. Demographics and Geography</w:t>
      </w:r>
    </w:p>
    <w:p w14:paraId="516605B0" w14:textId="77777777" w:rsidR="002521BE" w:rsidRDefault="002521BE" w:rsidP="006F0B3D">
      <w:pPr>
        <w:numPr>
          <w:ilvl w:val="0"/>
          <w:numId w:val="10"/>
        </w:numPr>
        <w:jc w:val="both"/>
      </w:pPr>
      <w:r w:rsidRPr="002521BE">
        <w:t>Age: There is a strong positive correlation between age and churn (r ≈ 0.50). Older customers are significantly more likely to leave the bank compared to younger ones. This suggests that loyalty decreases with age, and retention strategies must be tailored toward middle-aged and older customers.</w:t>
      </w:r>
    </w:p>
    <w:p w14:paraId="6286097D" w14:textId="0F7110FE" w:rsidR="00E6740E" w:rsidRDefault="00E6740E" w:rsidP="006F0B3D">
      <w:pPr>
        <w:ind w:left="360"/>
        <w:jc w:val="both"/>
      </w:pPr>
      <w:r>
        <w:rPr>
          <w:noProof/>
        </w:rPr>
        <w:drawing>
          <wp:inline distT="0" distB="0" distL="0" distR="0" wp14:anchorId="7FA5A3C8" wp14:editId="46B40D63">
            <wp:extent cx="2649220" cy="2137430"/>
            <wp:effectExtent l="0" t="0" r="0" b="0"/>
            <wp:docPr id="734181305" name="Chart 1">
              <a:extLst xmlns:a="http://schemas.openxmlformats.org/drawingml/2006/main">
                <a:ext uri="{FF2B5EF4-FFF2-40B4-BE49-F238E27FC236}">
                  <a16:creationId xmlns:a16="http://schemas.microsoft.com/office/drawing/2014/main" id="{F4CABE44-8249-4A87-8739-B4BA34F135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7806D339" wp14:editId="38E229BE">
            <wp:extent cx="2915846" cy="2262187"/>
            <wp:effectExtent l="0" t="0" r="0" b="0"/>
            <wp:docPr id="1805477440" name="Chart 2">
              <a:extLst xmlns:a="http://schemas.openxmlformats.org/drawingml/2006/main">
                <a:ext uri="{FF2B5EF4-FFF2-40B4-BE49-F238E27FC236}">
                  <a16:creationId xmlns:a16="http://schemas.microsoft.com/office/drawing/2014/main" id="{A62C7964-1EDD-45B4-AD1A-E04F02549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7105F97" w14:textId="77777777" w:rsidR="000750AD" w:rsidRPr="002521BE" w:rsidRDefault="000750AD" w:rsidP="006F0B3D">
      <w:pPr>
        <w:ind w:left="360"/>
        <w:jc w:val="both"/>
      </w:pPr>
    </w:p>
    <w:p w14:paraId="51F51EDB" w14:textId="77777777" w:rsidR="002521BE" w:rsidRDefault="002521BE" w:rsidP="006F0B3D">
      <w:pPr>
        <w:numPr>
          <w:ilvl w:val="0"/>
          <w:numId w:val="10"/>
        </w:numPr>
        <w:jc w:val="both"/>
      </w:pPr>
      <w:r w:rsidRPr="002521BE">
        <w:t>Geography: Customers in Germany exhibit the highest churn rates, far exceeding those in Spain and France. This indicates a region-specific issue that may be linked to local market dynamics, competition, or service delivery.</w:t>
      </w:r>
    </w:p>
    <w:p w14:paraId="368CDD17" w14:textId="50FBAAFD" w:rsidR="00460DEE" w:rsidRDefault="00460DEE" w:rsidP="006F0B3D">
      <w:pPr>
        <w:ind w:left="360"/>
        <w:jc w:val="center"/>
      </w:pPr>
      <w:r>
        <w:rPr>
          <w:noProof/>
        </w:rPr>
        <w:lastRenderedPageBreak/>
        <w:drawing>
          <wp:inline distT="0" distB="0" distL="0" distR="0" wp14:anchorId="61DB8FF0" wp14:editId="1A59A7EB">
            <wp:extent cx="4732935" cy="2371090"/>
            <wp:effectExtent l="0" t="0" r="0" b="0"/>
            <wp:docPr id="1914151915" name="Chart 1">
              <a:extLst xmlns:a="http://schemas.openxmlformats.org/drawingml/2006/main">
                <a:ext uri="{FF2B5EF4-FFF2-40B4-BE49-F238E27FC236}">
                  <a16:creationId xmlns:a16="http://schemas.microsoft.com/office/drawing/2014/main" id="{45D915F9-CB3D-4F50-B471-41B7A452B8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FFF7043" w14:textId="77777777" w:rsidR="00460DEE" w:rsidRPr="002521BE" w:rsidRDefault="00460DEE" w:rsidP="006F0B3D">
      <w:pPr>
        <w:ind w:left="360"/>
        <w:jc w:val="both"/>
      </w:pPr>
    </w:p>
    <w:p w14:paraId="43ADA34E" w14:textId="77777777" w:rsidR="002521BE" w:rsidRPr="002521BE" w:rsidRDefault="002521BE" w:rsidP="006F0B3D">
      <w:pPr>
        <w:jc w:val="both"/>
        <w:rPr>
          <w:b/>
          <w:bCs/>
        </w:rPr>
      </w:pPr>
      <w:r w:rsidRPr="002521BE">
        <w:rPr>
          <w:b/>
          <w:bCs/>
        </w:rPr>
        <w:t>2. Financial Attributes</w:t>
      </w:r>
    </w:p>
    <w:p w14:paraId="775EC8D1" w14:textId="77777777" w:rsidR="002521BE" w:rsidRDefault="002521BE" w:rsidP="006F0B3D">
      <w:pPr>
        <w:numPr>
          <w:ilvl w:val="0"/>
          <w:numId w:val="11"/>
        </w:numPr>
        <w:jc w:val="both"/>
      </w:pPr>
      <w:r w:rsidRPr="002521BE">
        <w:t>Average Balance: Surprisingly, customers with higher account balances show higher churn rates. This highlights a risk of losing high-value customers, who are often the most profitable. A targeted retention strategy for this segment is critical.</w:t>
      </w:r>
    </w:p>
    <w:p w14:paraId="2E917316" w14:textId="49E96105" w:rsidR="006E0762" w:rsidRDefault="006E0762" w:rsidP="006F0B3D">
      <w:pPr>
        <w:ind w:left="360"/>
        <w:jc w:val="center"/>
      </w:pPr>
      <w:r>
        <w:rPr>
          <w:noProof/>
        </w:rPr>
        <w:drawing>
          <wp:inline distT="0" distB="0" distL="0" distR="0" wp14:anchorId="193BD576" wp14:editId="26B67EE1">
            <wp:extent cx="3884372" cy="2273935"/>
            <wp:effectExtent l="0" t="0" r="0" b="0"/>
            <wp:docPr id="1939594250" name="Chart 1">
              <a:extLst xmlns:a="http://schemas.openxmlformats.org/drawingml/2006/main">
                <a:ext uri="{FF2B5EF4-FFF2-40B4-BE49-F238E27FC236}">
                  <a16:creationId xmlns:a16="http://schemas.microsoft.com/office/drawing/2014/main" id="{69E8ABC4-9603-4806-B2FF-58FB01A68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3721432" w14:textId="77777777" w:rsidR="000750AD" w:rsidRDefault="000750AD" w:rsidP="006F0B3D">
      <w:pPr>
        <w:ind w:left="360"/>
        <w:jc w:val="center"/>
      </w:pPr>
    </w:p>
    <w:p w14:paraId="341DD2C3" w14:textId="77777777" w:rsidR="000750AD" w:rsidRPr="002521BE" w:rsidRDefault="000750AD" w:rsidP="006F0B3D">
      <w:pPr>
        <w:ind w:left="360"/>
        <w:jc w:val="center"/>
      </w:pPr>
    </w:p>
    <w:p w14:paraId="0A4ADFD5" w14:textId="77777777" w:rsidR="002521BE" w:rsidRDefault="002521BE" w:rsidP="006F0B3D">
      <w:pPr>
        <w:numPr>
          <w:ilvl w:val="0"/>
          <w:numId w:val="11"/>
        </w:numPr>
        <w:jc w:val="both"/>
      </w:pPr>
      <w:r w:rsidRPr="002521BE">
        <w:t>Credit Score: Customers with lower credit scores churn more frequently. This implies that financial stability plays a role in customer loyalty. These customers may feel underserved or excluded from premium services, leading to dissatisfaction and eventual churn.</w:t>
      </w:r>
    </w:p>
    <w:p w14:paraId="6D2C160E" w14:textId="68246A71" w:rsidR="00174465" w:rsidRPr="002521BE" w:rsidRDefault="00174465" w:rsidP="006F0B3D">
      <w:pPr>
        <w:ind w:left="360"/>
        <w:jc w:val="center"/>
      </w:pPr>
      <w:r>
        <w:rPr>
          <w:noProof/>
        </w:rPr>
        <w:lastRenderedPageBreak/>
        <w:drawing>
          <wp:inline distT="0" distB="0" distL="0" distR="0" wp14:anchorId="58145DFF" wp14:editId="662491A6">
            <wp:extent cx="4228186" cy="2140585"/>
            <wp:effectExtent l="0" t="0" r="0" b="0"/>
            <wp:docPr id="1767301006" name="Chart 1">
              <a:extLst xmlns:a="http://schemas.openxmlformats.org/drawingml/2006/main">
                <a:ext uri="{FF2B5EF4-FFF2-40B4-BE49-F238E27FC236}">
                  <a16:creationId xmlns:a16="http://schemas.microsoft.com/office/drawing/2014/main" id="{444F0456-27A0-41AA-B0F5-C3A9D13ED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D3842DB" w14:textId="6269942A" w:rsidR="00105509" w:rsidRPr="002521BE" w:rsidRDefault="002521BE" w:rsidP="006F0B3D">
      <w:pPr>
        <w:jc w:val="both"/>
        <w:rPr>
          <w:b/>
          <w:bCs/>
        </w:rPr>
      </w:pPr>
      <w:r w:rsidRPr="002521BE">
        <w:rPr>
          <w:b/>
          <w:bCs/>
        </w:rPr>
        <w:t>3. Product and Service Engagement</w:t>
      </w:r>
    </w:p>
    <w:p w14:paraId="5B8D4FF9" w14:textId="3F7CEBE3" w:rsidR="00871BAF" w:rsidRDefault="002521BE" w:rsidP="006F0B3D">
      <w:pPr>
        <w:numPr>
          <w:ilvl w:val="0"/>
          <w:numId w:val="12"/>
        </w:numPr>
        <w:jc w:val="both"/>
      </w:pPr>
      <w:r w:rsidRPr="002521BE">
        <w:t>Card Type: Churn varies by product type. Diamond cardholders have the highest churn rate (≈ 21.8%), while Gold cardholders have the lowest (≈ 19.3%). This suggests that premium cardholders may not perceive enough value or benefit from their higher-tier products, warranting a review of card offerings and engagement strategies.</w:t>
      </w:r>
    </w:p>
    <w:p w14:paraId="715EC226" w14:textId="6AA8531B" w:rsidR="006677D0" w:rsidRDefault="006677D0" w:rsidP="006F0B3D">
      <w:pPr>
        <w:ind w:left="720"/>
        <w:jc w:val="center"/>
      </w:pPr>
      <w:r>
        <w:rPr>
          <w:noProof/>
        </w:rPr>
        <w:drawing>
          <wp:inline distT="0" distB="0" distL="0" distR="0" wp14:anchorId="5689103E" wp14:editId="7F3EB102">
            <wp:extent cx="4612821" cy="2325121"/>
            <wp:effectExtent l="0" t="0" r="0" b="0"/>
            <wp:docPr id="1282123606" name="Chart 1">
              <a:extLst xmlns:a="http://schemas.openxmlformats.org/drawingml/2006/main">
                <a:ext uri="{FF2B5EF4-FFF2-40B4-BE49-F238E27FC236}">
                  <a16:creationId xmlns:a16="http://schemas.microsoft.com/office/drawing/2014/main" id="{0C507E9B-DCF0-4A17-BD42-489B41616E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7CBA70F" w14:textId="77777777" w:rsidR="000750AD" w:rsidRDefault="000750AD" w:rsidP="006F0B3D">
      <w:pPr>
        <w:ind w:left="720"/>
        <w:jc w:val="center"/>
      </w:pPr>
    </w:p>
    <w:p w14:paraId="34F8BD51" w14:textId="77777777" w:rsidR="000750AD" w:rsidRDefault="000750AD" w:rsidP="006F0B3D">
      <w:pPr>
        <w:ind w:left="720"/>
        <w:jc w:val="center"/>
      </w:pPr>
    </w:p>
    <w:p w14:paraId="6FF717F4" w14:textId="42FC165B" w:rsidR="00105509" w:rsidRPr="00CC7CFF" w:rsidRDefault="00105509" w:rsidP="006F0B3D">
      <w:pPr>
        <w:numPr>
          <w:ilvl w:val="0"/>
          <w:numId w:val="12"/>
        </w:numPr>
        <w:jc w:val="both"/>
      </w:pPr>
      <w:r>
        <w:t xml:space="preserve">Number of Products: </w:t>
      </w:r>
      <w:r w:rsidRPr="00105509">
        <w:t>Customers with three or more products exhibited very high churn (83% and above), while those with one or two products showed comparatively lower churn rates. This counterintuitive finding suggests that product bundling may not always lead to loyalty.</w:t>
      </w:r>
    </w:p>
    <w:p w14:paraId="6BBA951B" w14:textId="77777777" w:rsidR="00105509" w:rsidRPr="00871BAF" w:rsidRDefault="00105509" w:rsidP="006F0B3D">
      <w:pPr>
        <w:ind w:left="360"/>
        <w:jc w:val="both"/>
      </w:pPr>
    </w:p>
    <w:p w14:paraId="4C6CF374" w14:textId="043F91E8" w:rsidR="00871BAF" w:rsidRDefault="00871BAF" w:rsidP="006F0B3D">
      <w:pPr>
        <w:jc w:val="center"/>
      </w:pPr>
      <w:r>
        <w:rPr>
          <w:noProof/>
        </w:rPr>
        <w:lastRenderedPageBreak/>
        <w:drawing>
          <wp:inline distT="0" distB="0" distL="0" distR="0" wp14:anchorId="15CD1FAA" wp14:editId="0D7DFD01">
            <wp:extent cx="4577103" cy="2389297"/>
            <wp:effectExtent l="0" t="0" r="0" b="0"/>
            <wp:docPr id="697616356" name="Chart 1">
              <a:extLst xmlns:a="http://schemas.openxmlformats.org/drawingml/2006/main">
                <a:ext uri="{FF2B5EF4-FFF2-40B4-BE49-F238E27FC236}">
                  <a16:creationId xmlns:a16="http://schemas.microsoft.com/office/drawing/2014/main" id="{A4CDEA2F-B76C-46A9-8EB6-816EA4315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DAE4234" w14:textId="77777777" w:rsidR="00871BAF" w:rsidRPr="002521BE" w:rsidRDefault="00871BAF" w:rsidP="006F0B3D">
      <w:pPr>
        <w:jc w:val="both"/>
      </w:pPr>
    </w:p>
    <w:p w14:paraId="4C9EEF39" w14:textId="77777777" w:rsidR="002521BE" w:rsidRDefault="002521BE" w:rsidP="006F0B3D">
      <w:pPr>
        <w:numPr>
          <w:ilvl w:val="0"/>
          <w:numId w:val="12"/>
        </w:numPr>
        <w:jc w:val="both"/>
      </w:pPr>
      <w:r w:rsidRPr="002521BE">
        <w:t>Complaints: Customers who lodged complaints are significantly more likely to churn compared to those who did not. This indicates that unresolved or poorly managed complaints are a strong predictor of attrition. Improving complaint resolution processes could directly reduce churn.</w:t>
      </w:r>
    </w:p>
    <w:p w14:paraId="45697AA1" w14:textId="36B77531" w:rsidR="00871BAF" w:rsidRPr="002521BE" w:rsidRDefault="00E6740E" w:rsidP="006F0B3D">
      <w:pPr>
        <w:ind w:left="720"/>
        <w:jc w:val="center"/>
      </w:pPr>
      <w:r>
        <w:rPr>
          <w:noProof/>
        </w:rPr>
        <w:drawing>
          <wp:inline distT="0" distB="0" distL="0" distR="0" wp14:anchorId="37179EC9" wp14:editId="74516940">
            <wp:extent cx="3723436" cy="2418715"/>
            <wp:effectExtent l="0" t="0" r="0" b="635"/>
            <wp:docPr id="1475789790" name="Chart 1">
              <a:extLst xmlns:a="http://schemas.openxmlformats.org/drawingml/2006/main">
                <a:ext uri="{FF2B5EF4-FFF2-40B4-BE49-F238E27FC236}">
                  <a16:creationId xmlns:a16="http://schemas.microsoft.com/office/drawing/2014/main" id="{95FE8437-402D-4B3B-BA54-0805067BAD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4C3FDE" w14:textId="3244540E" w:rsidR="002521BE" w:rsidRPr="002521BE" w:rsidRDefault="002521BE" w:rsidP="006F0B3D">
      <w:pPr>
        <w:jc w:val="both"/>
        <w:rPr>
          <w:b/>
          <w:bCs/>
        </w:rPr>
      </w:pPr>
    </w:p>
    <w:p w14:paraId="703AD92C" w14:textId="77777777" w:rsidR="002521BE" w:rsidRPr="002521BE" w:rsidRDefault="002521BE" w:rsidP="006F0B3D">
      <w:pPr>
        <w:jc w:val="both"/>
        <w:rPr>
          <w:b/>
          <w:bCs/>
        </w:rPr>
      </w:pPr>
      <w:r w:rsidRPr="002521BE">
        <w:rPr>
          <w:b/>
          <w:bCs/>
        </w:rPr>
        <w:t>Key Implications</w:t>
      </w:r>
    </w:p>
    <w:p w14:paraId="1CAA6FA9" w14:textId="186CF550" w:rsidR="002521BE" w:rsidRPr="002521BE" w:rsidRDefault="0047639C" w:rsidP="006F0B3D">
      <w:pPr>
        <w:numPr>
          <w:ilvl w:val="0"/>
          <w:numId w:val="13"/>
        </w:numPr>
        <w:jc w:val="both"/>
      </w:pPr>
      <w:r w:rsidRPr="0047639C">
        <w:t>The bank is at risk of losing older and high-balance customers…” → “Design targeted retention programs for older and high-balance customers, such as loyalty perks or premium relationship managers.</w:t>
      </w:r>
    </w:p>
    <w:p w14:paraId="518A77D7" w14:textId="77777777" w:rsidR="002521BE" w:rsidRPr="002521BE" w:rsidRDefault="002521BE" w:rsidP="006F0B3D">
      <w:pPr>
        <w:numPr>
          <w:ilvl w:val="0"/>
          <w:numId w:val="13"/>
        </w:numPr>
        <w:jc w:val="both"/>
      </w:pPr>
      <w:r w:rsidRPr="002521BE">
        <w:t>Regional disparities in churn rates call for localized market research and targeted retention interventions, particularly in Germany.</w:t>
      </w:r>
    </w:p>
    <w:p w14:paraId="48245DF4" w14:textId="77777777" w:rsidR="002521BE" w:rsidRPr="002521BE" w:rsidRDefault="002521BE" w:rsidP="006F0B3D">
      <w:pPr>
        <w:numPr>
          <w:ilvl w:val="0"/>
          <w:numId w:val="13"/>
        </w:numPr>
        <w:jc w:val="both"/>
      </w:pPr>
      <w:r w:rsidRPr="002521BE">
        <w:t>Product value perception—especially for Diamond cardholders—requires urgent review.</w:t>
      </w:r>
    </w:p>
    <w:p w14:paraId="3635343B" w14:textId="77777777" w:rsidR="002521BE" w:rsidRDefault="002521BE" w:rsidP="006F0B3D">
      <w:pPr>
        <w:numPr>
          <w:ilvl w:val="0"/>
          <w:numId w:val="13"/>
        </w:numPr>
        <w:jc w:val="both"/>
      </w:pPr>
      <w:r w:rsidRPr="002521BE">
        <w:lastRenderedPageBreak/>
        <w:t>Customer experience management, especially around complaints, is one of the most actionable levers for reducing churn.</w:t>
      </w:r>
    </w:p>
    <w:p w14:paraId="5D3847D4" w14:textId="77777777" w:rsidR="003C7481" w:rsidRDefault="003C7481" w:rsidP="006F0B3D">
      <w:pPr>
        <w:jc w:val="both"/>
      </w:pPr>
    </w:p>
    <w:p w14:paraId="5CC8D2EA" w14:textId="119D5E53" w:rsidR="003C7481" w:rsidRPr="003C7481" w:rsidRDefault="003C7481" w:rsidP="006F0B3D">
      <w:pPr>
        <w:jc w:val="both"/>
        <w:rPr>
          <w:b/>
          <w:bCs/>
        </w:rPr>
      </w:pPr>
      <w:r w:rsidRPr="003C7481">
        <w:rPr>
          <w:b/>
          <w:bCs/>
        </w:rPr>
        <w:t>Recommendations</w:t>
      </w:r>
    </w:p>
    <w:p w14:paraId="1F504422" w14:textId="77777777" w:rsidR="003C7481" w:rsidRPr="003C7481" w:rsidRDefault="003C7481" w:rsidP="006F0B3D">
      <w:pPr>
        <w:jc w:val="both"/>
      </w:pPr>
      <w:r w:rsidRPr="003C7481">
        <w:t>Based on the analysis, several targeted actions are recommended to address the drivers of churn and improve customer retention:</w:t>
      </w:r>
    </w:p>
    <w:p w14:paraId="68EF5C42" w14:textId="16C18A44" w:rsidR="006F0B3D" w:rsidRPr="000750AD" w:rsidRDefault="003C7481" w:rsidP="006F0B3D">
      <w:pPr>
        <w:numPr>
          <w:ilvl w:val="0"/>
          <w:numId w:val="14"/>
        </w:numPr>
        <w:jc w:val="both"/>
        <w:rPr>
          <w:b/>
          <w:bCs/>
        </w:rPr>
      </w:pPr>
      <w:r w:rsidRPr="003C7481">
        <w:rPr>
          <w:b/>
          <w:bCs/>
        </w:rPr>
        <w:t>Develop Retention Programs for Older and High-Balance Customers</w:t>
      </w:r>
      <w:r w:rsidR="006F0B3D" w:rsidRPr="000750AD">
        <w:rPr>
          <w:b/>
          <w:bCs/>
        </w:rPr>
        <w:t>.</w:t>
      </w:r>
    </w:p>
    <w:p w14:paraId="6552A01F" w14:textId="6C007758" w:rsidR="003C7481" w:rsidRPr="003C7481" w:rsidRDefault="003C7481" w:rsidP="006F0B3D">
      <w:pPr>
        <w:jc w:val="both"/>
      </w:pPr>
      <w:r w:rsidRPr="003C7481">
        <w:t>Older customers and those with higher account balances show a greater tendency to churn. The bank should introduce loyalty programs, dedicated relationship managers, and exclusive perks tailored to these segments. This will help protect high-value clients who contribute significantly to profitability.</w:t>
      </w:r>
    </w:p>
    <w:p w14:paraId="0EE20930" w14:textId="10872067" w:rsidR="006F0B3D" w:rsidRPr="000750AD" w:rsidRDefault="003C7481" w:rsidP="006F0B3D">
      <w:pPr>
        <w:numPr>
          <w:ilvl w:val="0"/>
          <w:numId w:val="14"/>
        </w:numPr>
        <w:jc w:val="both"/>
        <w:rPr>
          <w:b/>
          <w:bCs/>
        </w:rPr>
      </w:pPr>
      <w:r w:rsidRPr="003C7481">
        <w:rPr>
          <w:b/>
          <w:bCs/>
        </w:rPr>
        <w:t>Implement Localized Strategies in Germany</w:t>
      </w:r>
      <w:r w:rsidR="006F0B3D" w:rsidRPr="000750AD">
        <w:rPr>
          <w:b/>
          <w:bCs/>
        </w:rPr>
        <w:t>.</w:t>
      </w:r>
    </w:p>
    <w:p w14:paraId="2DD5A1F3" w14:textId="104A566B" w:rsidR="003C7481" w:rsidRPr="003C7481" w:rsidRDefault="003C7481" w:rsidP="006F0B3D">
      <w:pPr>
        <w:jc w:val="both"/>
      </w:pPr>
      <w:r w:rsidRPr="003C7481">
        <w:t>With Germany showing the highest churn rates, the bank should conduct market-specific surveys and feedback sessions to uncover the root causes. Tailored campaigns and service improvements focused on this market can reduce regional churn disparities.</w:t>
      </w:r>
    </w:p>
    <w:p w14:paraId="5B07E561" w14:textId="58F79666" w:rsidR="006F0B3D" w:rsidRPr="000750AD" w:rsidRDefault="003C7481" w:rsidP="006F0B3D">
      <w:pPr>
        <w:numPr>
          <w:ilvl w:val="0"/>
          <w:numId w:val="14"/>
        </w:numPr>
        <w:jc w:val="both"/>
        <w:rPr>
          <w:b/>
          <w:bCs/>
        </w:rPr>
      </w:pPr>
      <w:r w:rsidRPr="003C7481">
        <w:rPr>
          <w:b/>
          <w:bCs/>
        </w:rPr>
        <w:t>Reassess Premium Product Offerings</w:t>
      </w:r>
      <w:r w:rsidR="006F0B3D" w:rsidRPr="000750AD">
        <w:rPr>
          <w:b/>
          <w:bCs/>
        </w:rPr>
        <w:t>.</w:t>
      </w:r>
    </w:p>
    <w:p w14:paraId="77B2B533" w14:textId="1171EFC4" w:rsidR="003C7481" w:rsidRPr="003C7481" w:rsidRDefault="003C7481" w:rsidP="006F0B3D">
      <w:pPr>
        <w:jc w:val="both"/>
      </w:pPr>
      <w:r w:rsidRPr="003C7481">
        <w:t>Diamond cardholders churn at higher rates than Gold cardholders, suggesting a gap between expectations and delivered value. The bank should review Diamond card benefits and consider enhancing rewards, flexibility, or exclusive services to improve customer satisfaction in this segment.</w:t>
      </w:r>
    </w:p>
    <w:p w14:paraId="616C7646" w14:textId="19025378" w:rsidR="006F0B3D" w:rsidRDefault="003C7481" w:rsidP="006F0B3D">
      <w:pPr>
        <w:numPr>
          <w:ilvl w:val="0"/>
          <w:numId w:val="14"/>
        </w:numPr>
        <w:jc w:val="both"/>
      </w:pPr>
      <w:r w:rsidRPr="003C7481">
        <w:rPr>
          <w:b/>
          <w:bCs/>
        </w:rPr>
        <w:t>Strengthen Complaint Resolution Systems</w:t>
      </w:r>
      <w:r w:rsidR="006F0B3D">
        <w:t>.</w:t>
      </w:r>
    </w:p>
    <w:p w14:paraId="1DDE6223" w14:textId="31FD6730" w:rsidR="003C7481" w:rsidRPr="003C7481" w:rsidRDefault="003C7481" w:rsidP="006F0B3D">
      <w:pPr>
        <w:jc w:val="both"/>
      </w:pPr>
      <w:r w:rsidRPr="003C7481">
        <w:t>Customers who lodge complaints are highly likely to churn. The bank should establish faster resolution processes, invest in customer support training, and introduce proactive follow-up systems to ensure that dissatisfied customers feel heard and valued.</w:t>
      </w:r>
    </w:p>
    <w:p w14:paraId="61D76FA9" w14:textId="20E398BD" w:rsidR="006F0B3D" w:rsidRPr="000750AD" w:rsidRDefault="003C7481" w:rsidP="006F0B3D">
      <w:pPr>
        <w:numPr>
          <w:ilvl w:val="0"/>
          <w:numId w:val="14"/>
        </w:numPr>
        <w:jc w:val="both"/>
        <w:rPr>
          <w:b/>
          <w:bCs/>
        </w:rPr>
      </w:pPr>
      <w:r w:rsidRPr="003C7481">
        <w:rPr>
          <w:b/>
          <w:bCs/>
        </w:rPr>
        <w:t>Enhance Onboarding and Engagement for New Customers</w:t>
      </w:r>
      <w:r w:rsidR="006F0B3D" w:rsidRPr="000750AD">
        <w:rPr>
          <w:b/>
          <w:bCs/>
        </w:rPr>
        <w:t>.</w:t>
      </w:r>
    </w:p>
    <w:p w14:paraId="77678EE3" w14:textId="4A3802FD" w:rsidR="003C7481" w:rsidRPr="003C7481" w:rsidRDefault="003C7481" w:rsidP="006F0B3D">
      <w:pPr>
        <w:jc w:val="both"/>
      </w:pPr>
      <w:r w:rsidRPr="003C7481">
        <w:t>Customers with shorter tenure (0–3 years) are more likely to churn. Structured onboarding programs, welcome packages, and early engagement strategies (such as personalized product recommendations) can help establish stronger customer relationships during the early lifecycle.</w:t>
      </w:r>
    </w:p>
    <w:p w14:paraId="5AE180D1" w14:textId="5A99B48F" w:rsidR="003C7481" w:rsidRDefault="003C7481" w:rsidP="006F0B3D">
      <w:pPr>
        <w:jc w:val="both"/>
      </w:pPr>
    </w:p>
    <w:p w14:paraId="754B2977" w14:textId="77777777" w:rsidR="000750AD" w:rsidRDefault="000750AD" w:rsidP="006F0B3D">
      <w:pPr>
        <w:jc w:val="both"/>
      </w:pPr>
    </w:p>
    <w:p w14:paraId="33541BCD" w14:textId="77777777" w:rsidR="000750AD" w:rsidRPr="003C7481" w:rsidRDefault="000750AD" w:rsidP="006F0B3D">
      <w:pPr>
        <w:jc w:val="both"/>
      </w:pPr>
    </w:p>
    <w:p w14:paraId="1817B090" w14:textId="77777777" w:rsidR="003C7481" w:rsidRPr="003C7481" w:rsidRDefault="003C7481" w:rsidP="006F0B3D">
      <w:pPr>
        <w:jc w:val="both"/>
        <w:rPr>
          <w:b/>
          <w:bCs/>
        </w:rPr>
      </w:pPr>
      <w:r w:rsidRPr="003C7481">
        <w:rPr>
          <w:b/>
          <w:bCs/>
        </w:rPr>
        <w:lastRenderedPageBreak/>
        <w:t>Conclusion</w:t>
      </w:r>
    </w:p>
    <w:p w14:paraId="5FDD4799" w14:textId="77777777" w:rsidR="003C7481" w:rsidRPr="003C7481" w:rsidRDefault="003C7481" w:rsidP="006F0B3D">
      <w:pPr>
        <w:jc w:val="both"/>
      </w:pPr>
      <w:r w:rsidRPr="003C7481">
        <w:t>This project set out to uncover the reasons behind rising customer churn at the bank. By analyzing demographic, financial, and behavioral data, the analysis revealed that age, geography, account balance, product type, and customer complaints are key drivers of churn.</w:t>
      </w:r>
    </w:p>
    <w:p w14:paraId="471096C4" w14:textId="77777777" w:rsidR="003C7481" w:rsidRPr="003C7481" w:rsidRDefault="003C7481" w:rsidP="006F0B3D">
      <w:pPr>
        <w:jc w:val="both"/>
      </w:pPr>
      <w:r w:rsidRPr="003C7481">
        <w:t>The findings indicate that older and high-balance customers, German customers, and Diamond cardholders represent the most at-risk groups. Dissatisfaction, low product engagement, and unresolved complaints were also strong predictors of churn.</w:t>
      </w:r>
    </w:p>
    <w:p w14:paraId="6274C367" w14:textId="77777777" w:rsidR="003C7481" w:rsidRPr="003C7481" w:rsidRDefault="003C7481" w:rsidP="006F0B3D">
      <w:pPr>
        <w:jc w:val="both"/>
      </w:pPr>
      <w:r w:rsidRPr="003C7481">
        <w:t>By implementing the recommended retention strategies—ranging from loyalty programs and localized interventions to improved complaint handling—the bank can significantly reduce churn and safeguard its most valuable customer relationships.</w:t>
      </w:r>
    </w:p>
    <w:p w14:paraId="0577D253" w14:textId="55B0CA0F" w:rsidR="003C7481" w:rsidRPr="00257F0D" w:rsidRDefault="003C7481" w:rsidP="006F0B3D">
      <w:pPr>
        <w:jc w:val="both"/>
      </w:pPr>
      <w:r w:rsidRPr="003C7481">
        <w:t>Looking forward, the bank can build on this analysis by developing predictive churn models using advanced tools such as Power BI, Python, or machine learning. This would enable real-time identification of at-risk customers and allow for proactive, data-driven retention strategies.</w:t>
      </w:r>
    </w:p>
    <w:p w14:paraId="5FD26BD1" w14:textId="3C816DE8" w:rsidR="00DE6753" w:rsidRDefault="00DE6753" w:rsidP="006F0B3D">
      <w:pPr>
        <w:jc w:val="both"/>
        <w:rPr>
          <w:b/>
          <w:bCs/>
        </w:rPr>
      </w:pPr>
    </w:p>
    <w:p w14:paraId="08C46D5E" w14:textId="77777777" w:rsidR="002521BE" w:rsidRDefault="002521BE" w:rsidP="006F0B3D">
      <w:pPr>
        <w:jc w:val="both"/>
        <w:rPr>
          <w:b/>
          <w:bCs/>
        </w:rPr>
      </w:pPr>
    </w:p>
    <w:p w14:paraId="1F913D65" w14:textId="77777777" w:rsidR="00DE6753" w:rsidRPr="00DE6753" w:rsidRDefault="00DE6753" w:rsidP="006F0B3D">
      <w:pPr>
        <w:jc w:val="both"/>
        <w:rPr>
          <w:b/>
          <w:bCs/>
        </w:rPr>
      </w:pPr>
    </w:p>
    <w:p w14:paraId="4E73539E" w14:textId="77777777" w:rsidR="00FF397D" w:rsidRPr="00791927" w:rsidRDefault="00FF397D" w:rsidP="006F0B3D">
      <w:pPr>
        <w:jc w:val="both"/>
      </w:pPr>
    </w:p>
    <w:p w14:paraId="622D54F5" w14:textId="77777777" w:rsidR="00A77EE5" w:rsidRDefault="00A77EE5" w:rsidP="006F0B3D">
      <w:pPr>
        <w:jc w:val="both"/>
      </w:pPr>
    </w:p>
    <w:sectPr w:rsidR="00A77EE5" w:rsidSect="00F74E55">
      <w:footerReference w:type="default" r:id="rId15"/>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E669CA" w14:textId="77777777" w:rsidR="00E32C5A" w:rsidRDefault="00E32C5A" w:rsidP="000750AD">
      <w:pPr>
        <w:spacing w:after="0" w:line="240" w:lineRule="auto"/>
      </w:pPr>
      <w:r>
        <w:separator/>
      </w:r>
    </w:p>
  </w:endnote>
  <w:endnote w:type="continuationSeparator" w:id="0">
    <w:p w14:paraId="6A40A47F" w14:textId="77777777" w:rsidR="00E32C5A" w:rsidRDefault="00E32C5A" w:rsidP="00075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6848357"/>
      <w:docPartObj>
        <w:docPartGallery w:val="Page Numbers (Bottom of Page)"/>
        <w:docPartUnique/>
      </w:docPartObj>
    </w:sdtPr>
    <w:sdtEndPr>
      <w:rPr>
        <w:noProof/>
      </w:rPr>
    </w:sdtEndPr>
    <w:sdtContent>
      <w:p w14:paraId="6ED2B066" w14:textId="42182B87" w:rsidR="000750AD" w:rsidRDefault="000750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7B27BB" w14:textId="77777777" w:rsidR="000750AD" w:rsidRDefault="000750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600CD5" w14:textId="77777777" w:rsidR="00E32C5A" w:rsidRDefault="00E32C5A" w:rsidP="000750AD">
      <w:pPr>
        <w:spacing w:after="0" w:line="240" w:lineRule="auto"/>
      </w:pPr>
      <w:r>
        <w:separator/>
      </w:r>
    </w:p>
  </w:footnote>
  <w:footnote w:type="continuationSeparator" w:id="0">
    <w:p w14:paraId="3F6C180F" w14:textId="77777777" w:rsidR="00E32C5A" w:rsidRDefault="00E32C5A" w:rsidP="00075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A7ED0"/>
    <w:multiLevelType w:val="multilevel"/>
    <w:tmpl w:val="7012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5904B1"/>
    <w:multiLevelType w:val="hybridMultilevel"/>
    <w:tmpl w:val="41DABC44"/>
    <w:lvl w:ilvl="0" w:tplc="4928F5EC">
      <w:start w:val="1"/>
      <w:numFmt w:val="bullet"/>
      <w:lvlText w:val="-"/>
      <w:lvlJc w:val="left"/>
      <w:pPr>
        <w:ind w:left="360" w:hanging="360"/>
      </w:pPr>
      <w:rPr>
        <w:rFonts w:ascii="Tahoma" w:hAnsi="Tahom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DE6D1F"/>
    <w:multiLevelType w:val="multilevel"/>
    <w:tmpl w:val="1C9E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C47C9"/>
    <w:multiLevelType w:val="multilevel"/>
    <w:tmpl w:val="80A0D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F7927"/>
    <w:multiLevelType w:val="multilevel"/>
    <w:tmpl w:val="1080740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87A1F"/>
    <w:multiLevelType w:val="hybridMultilevel"/>
    <w:tmpl w:val="B464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365AB"/>
    <w:multiLevelType w:val="multilevel"/>
    <w:tmpl w:val="23D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B7532"/>
    <w:multiLevelType w:val="multilevel"/>
    <w:tmpl w:val="A6FE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86F3E"/>
    <w:multiLevelType w:val="hybridMultilevel"/>
    <w:tmpl w:val="4768B7E8"/>
    <w:lvl w:ilvl="0" w:tplc="53D47D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FA2A74"/>
    <w:multiLevelType w:val="multilevel"/>
    <w:tmpl w:val="9DF4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4327B8"/>
    <w:multiLevelType w:val="multilevel"/>
    <w:tmpl w:val="003A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D75FA"/>
    <w:multiLevelType w:val="multilevel"/>
    <w:tmpl w:val="A7F04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4E794E"/>
    <w:multiLevelType w:val="multilevel"/>
    <w:tmpl w:val="EA9E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B3F62"/>
    <w:multiLevelType w:val="multilevel"/>
    <w:tmpl w:val="47840B24"/>
    <w:lvl w:ilvl="0">
      <w:start w:val="1"/>
      <w:numFmt w:val="lowerRoman"/>
      <w:lvlText w:val="%1."/>
      <w:lvlJc w:val="righ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10434255">
    <w:abstractNumId w:val="12"/>
  </w:num>
  <w:num w:numId="2" w16cid:durableId="868882823">
    <w:abstractNumId w:val="2"/>
  </w:num>
  <w:num w:numId="3" w16cid:durableId="1807968821">
    <w:abstractNumId w:val="11"/>
  </w:num>
  <w:num w:numId="4" w16cid:durableId="942149876">
    <w:abstractNumId w:val="3"/>
  </w:num>
  <w:num w:numId="5" w16cid:durableId="239558980">
    <w:abstractNumId w:val="4"/>
  </w:num>
  <w:num w:numId="6" w16cid:durableId="910383434">
    <w:abstractNumId w:val="6"/>
  </w:num>
  <w:num w:numId="7" w16cid:durableId="397019704">
    <w:abstractNumId w:val="5"/>
  </w:num>
  <w:num w:numId="8" w16cid:durableId="2051874908">
    <w:abstractNumId w:val="1"/>
  </w:num>
  <w:num w:numId="9" w16cid:durableId="494418678">
    <w:abstractNumId w:val="8"/>
  </w:num>
  <w:num w:numId="10" w16cid:durableId="595359157">
    <w:abstractNumId w:val="10"/>
  </w:num>
  <w:num w:numId="11" w16cid:durableId="613096786">
    <w:abstractNumId w:val="9"/>
  </w:num>
  <w:num w:numId="12" w16cid:durableId="808287545">
    <w:abstractNumId w:val="0"/>
  </w:num>
  <w:num w:numId="13" w16cid:durableId="700008152">
    <w:abstractNumId w:val="7"/>
  </w:num>
  <w:num w:numId="14" w16cid:durableId="1485775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E5"/>
    <w:rsid w:val="000750AD"/>
    <w:rsid w:val="00105509"/>
    <w:rsid w:val="00174465"/>
    <w:rsid w:val="002521BE"/>
    <w:rsid w:val="002532CE"/>
    <w:rsid w:val="00257F0D"/>
    <w:rsid w:val="00267DAB"/>
    <w:rsid w:val="002D522C"/>
    <w:rsid w:val="002F2A6A"/>
    <w:rsid w:val="003869FA"/>
    <w:rsid w:val="003C10FF"/>
    <w:rsid w:val="003C7481"/>
    <w:rsid w:val="00460DEE"/>
    <w:rsid w:val="0047639C"/>
    <w:rsid w:val="00567BA9"/>
    <w:rsid w:val="006677D0"/>
    <w:rsid w:val="006E0762"/>
    <w:rsid w:val="006F0B3D"/>
    <w:rsid w:val="007C2DD2"/>
    <w:rsid w:val="007E7D9A"/>
    <w:rsid w:val="007F70C0"/>
    <w:rsid w:val="00803D85"/>
    <w:rsid w:val="00814C92"/>
    <w:rsid w:val="00871BAF"/>
    <w:rsid w:val="008A3681"/>
    <w:rsid w:val="00974B01"/>
    <w:rsid w:val="009E789C"/>
    <w:rsid w:val="00A77EE5"/>
    <w:rsid w:val="00A82CED"/>
    <w:rsid w:val="00AF3A95"/>
    <w:rsid w:val="00B261F8"/>
    <w:rsid w:val="00C17ECC"/>
    <w:rsid w:val="00C4252B"/>
    <w:rsid w:val="00CC5F69"/>
    <w:rsid w:val="00CC7CFF"/>
    <w:rsid w:val="00DE6753"/>
    <w:rsid w:val="00E32C5A"/>
    <w:rsid w:val="00E6740E"/>
    <w:rsid w:val="00ED207D"/>
    <w:rsid w:val="00F03257"/>
    <w:rsid w:val="00F04676"/>
    <w:rsid w:val="00F74E55"/>
    <w:rsid w:val="00F8002A"/>
    <w:rsid w:val="00F95E97"/>
    <w:rsid w:val="00FF3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6061"/>
  <w15:chartTrackingRefBased/>
  <w15:docId w15:val="{7BA03685-AC42-4BDF-BD81-4A562FB9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7D"/>
  </w:style>
  <w:style w:type="paragraph" w:styleId="Heading1">
    <w:name w:val="heading 1"/>
    <w:basedOn w:val="Normal"/>
    <w:next w:val="Normal"/>
    <w:link w:val="Heading1Char"/>
    <w:uiPriority w:val="9"/>
    <w:qFormat/>
    <w:rsid w:val="00A77E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77E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77E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77E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77E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77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77E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77E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77E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77E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77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EE5"/>
    <w:rPr>
      <w:rFonts w:eastAsiaTheme="majorEastAsia" w:cstheme="majorBidi"/>
      <w:color w:val="272727" w:themeColor="text1" w:themeTint="D8"/>
    </w:rPr>
  </w:style>
  <w:style w:type="paragraph" w:styleId="Title">
    <w:name w:val="Title"/>
    <w:basedOn w:val="Normal"/>
    <w:next w:val="Normal"/>
    <w:link w:val="TitleChar"/>
    <w:uiPriority w:val="10"/>
    <w:qFormat/>
    <w:rsid w:val="00A77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EE5"/>
    <w:pPr>
      <w:spacing w:before="160"/>
      <w:jc w:val="center"/>
    </w:pPr>
    <w:rPr>
      <w:i/>
      <w:iCs/>
      <w:color w:val="404040" w:themeColor="text1" w:themeTint="BF"/>
    </w:rPr>
  </w:style>
  <w:style w:type="character" w:customStyle="1" w:styleId="QuoteChar">
    <w:name w:val="Quote Char"/>
    <w:basedOn w:val="DefaultParagraphFont"/>
    <w:link w:val="Quote"/>
    <w:uiPriority w:val="29"/>
    <w:rsid w:val="00A77EE5"/>
    <w:rPr>
      <w:i/>
      <w:iCs/>
      <w:color w:val="404040" w:themeColor="text1" w:themeTint="BF"/>
    </w:rPr>
  </w:style>
  <w:style w:type="paragraph" w:styleId="ListParagraph">
    <w:name w:val="List Paragraph"/>
    <w:basedOn w:val="Normal"/>
    <w:uiPriority w:val="34"/>
    <w:qFormat/>
    <w:rsid w:val="00A77EE5"/>
    <w:pPr>
      <w:ind w:left="720"/>
      <w:contextualSpacing/>
    </w:pPr>
  </w:style>
  <w:style w:type="character" w:styleId="IntenseEmphasis">
    <w:name w:val="Intense Emphasis"/>
    <w:basedOn w:val="DefaultParagraphFont"/>
    <w:uiPriority w:val="21"/>
    <w:qFormat/>
    <w:rsid w:val="00A77EE5"/>
    <w:rPr>
      <w:i/>
      <w:iCs/>
      <w:color w:val="2F5496" w:themeColor="accent1" w:themeShade="BF"/>
    </w:rPr>
  </w:style>
  <w:style w:type="paragraph" w:styleId="IntenseQuote">
    <w:name w:val="Intense Quote"/>
    <w:basedOn w:val="Normal"/>
    <w:next w:val="Normal"/>
    <w:link w:val="IntenseQuoteChar"/>
    <w:uiPriority w:val="30"/>
    <w:qFormat/>
    <w:rsid w:val="00A77E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77EE5"/>
    <w:rPr>
      <w:i/>
      <w:iCs/>
      <w:color w:val="2F5496" w:themeColor="accent1" w:themeShade="BF"/>
    </w:rPr>
  </w:style>
  <w:style w:type="character" w:styleId="IntenseReference">
    <w:name w:val="Intense Reference"/>
    <w:basedOn w:val="DefaultParagraphFont"/>
    <w:uiPriority w:val="32"/>
    <w:qFormat/>
    <w:rsid w:val="00A77EE5"/>
    <w:rPr>
      <w:b/>
      <w:bCs/>
      <w:smallCaps/>
      <w:color w:val="2F5496" w:themeColor="accent1" w:themeShade="BF"/>
      <w:spacing w:val="5"/>
    </w:rPr>
  </w:style>
  <w:style w:type="table" w:styleId="TableGrid">
    <w:name w:val="Table Grid"/>
    <w:basedOn w:val="TableNormal"/>
    <w:uiPriority w:val="39"/>
    <w:rsid w:val="00253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0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AD"/>
  </w:style>
  <w:style w:type="paragraph" w:styleId="Footer">
    <w:name w:val="footer"/>
    <w:basedOn w:val="Normal"/>
    <w:link w:val="FooterChar"/>
    <w:uiPriority w:val="99"/>
    <w:unhideWhenUsed/>
    <w:rsid w:val="000750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dulrazak%20Jubril\Desktop\Data%20Analysis\Data%20Set\Porfolio%20Project\Excel\Customer%20Churn%20Project\bank%20churn%20Analysis%20projec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dulrazak%20Jubril\Desktop\Data%20Analysis\Data%20Set\Porfolio%20Project\Excel\Customer%20Churn%20Project\bank%20churn%20Analysis%20projec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dulrazak%20Jubril\Desktop\Data%20Analysis\Data%20Set\Porfolio%20Project\Excel\Customer%20Churn%20Project\bank%20churn%20Analysis%20projec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bdulrazak%20Jubril\Desktop\Data%20Analysis\Data%20Set\Porfolio%20Project\Excel\Customer%20Churn%20Project\bank%20churn%20Analysis%20projec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Abdulrazak%20Jubril\Desktop\Data%20Analysis\Data%20Set\Porfolio%20Project\Excel\Customer%20Churn%20Project\bank%20churn%20Analysis%20project.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bdulrazak%20Jubril\Desktop\Data%20Analysis\Data%20Set\Porfolio%20Project\Excel\Customer%20Churn%20Project\bank%20churn%20Analysis%20project.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Abdulrazak%20Jubril\Desktop\Data%20Analysis\Data%20Set\Porfolio%20Project\Excel\Customer%20Churn%20Project\bank%20churn%20Analysis%20project.xlsx"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bdulrazak%20Jubril\Desktop\Data%20Analysis\Data%20Set\Porfolio%20Project\Excel\Customer%20Churn%20Project\bank%20churn%20Analysis%20project.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Churn</a:t>
            </a:r>
            <a:r>
              <a:rPr lang="en-US" sz="1200" b="1" baseline="0"/>
              <a:t> by Age</a:t>
            </a:r>
          </a:p>
          <a:p>
            <a:pPr>
              <a:defRPr/>
            </a:pPr>
            <a:r>
              <a:rPr lang="en-US" sz="1100" b="0" i="1" baseline="0"/>
              <a:t>Do customers leave the older they are?</a:t>
            </a:r>
            <a:endParaRPr lang="en-US" sz="1100" b="0" i="1"/>
          </a:p>
        </c:rich>
      </c:tx>
      <c:layout>
        <c:manualLayout>
          <c:xMode val="edge"/>
          <c:yMode val="edge"/>
          <c:x val="0.15076852809506194"/>
          <c:y val="1.8181818181818181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13351782064837E-2"/>
          <c:y val="0.27872451045326468"/>
          <c:w val="0.86452505733511131"/>
          <c:h val="0.6099812347455279"/>
        </c:manualLayout>
      </c:layout>
      <c:scatterChart>
        <c:scatterStyle val="lineMarker"/>
        <c:varyColors val="0"/>
        <c:ser>
          <c:idx val="0"/>
          <c:order val="0"/>
          <c:spPr>
            <a:ln w="19050" cap="rnd">
              <a:noFill/>
              <a:round/>
            </a:ln>
            <a:effectLst/>
          </c:spPr>
          <c:marker>
            <c:symbol val="circle"/>
            <c:size val="5"/>
            <c:spPr>
              <a:solidFill>
                <a:srgbClr val="E70F42"/>
              </a:solidFill>
              <a:ln w="9525">
                <a:solidFill>
                  <a:srgbClr val="E70F42"/>
                </a:solidFill>
              </a:ln>
              <a:effectLst/>
            </c:spPr>
          </c:marker>
          <c:trendline>
            <c:spPr>
              <a:ln w="19050" cap="rnd">
                <a:solidFill>
                  <a:srgbClr val="2F2E3E"/>
                </a:solidFill>
                <a:prstDash val="sysDot"/>
              </a:ln>
              <a:effectLst/>
            </c:spPr>
            <c:trendlineType val="linear"/>
            <c:dispRSqr val="0"/>
            <c:dispEq val="0"/>
          </c:trendline>
          <c:xVal>
            <c:numRef>
              <c:f>Analysis!$C$15:$C$72</c:f>
              <c:numCache>
                <c:formatCode>General</c:formatCode>
                <c:ptCount val="58"/>
                <c:pt idx="0">
                  <c:v>18</c:v>
                </c:pt>
                <c:pt idx="1">
                  <c:v>19</c:v>
                </c:pt>
                <c:pt idx="2">
                  <c:v>20</c:v>
                </c:pt>
                <c:pt idx="3">
                  <c:v>21</c:v>
                </c:pt>
                <c:pt idx="4">
                  <c:v>22</c:v>
                </c:pt>
                <c:pt idx="5">
                  <c:v>23</c:v>
                </c:pt>
                <c:pt idx="6">
                  <c:v>24</c:v>
                </c:pt>
                <c:pt idx="7">
                  <c:v>25</c:v>
                </c:pt>
                <c:pt idx="8">
                  <c:v>26</c:v>
                </c:pt>
                <c:pt idx="9">
                  <c:v>27</c:v>
                </c:pt>
                <c:pt idx="10">
                  <c:v>28</c:v>
                </c:pt>
                <c:pt idx="11">
                  <c:v>29</c:v>
                </c:pt>
                <c:pt idx="12">
                  <c:v>30</c:v>
                </c:pt>
                <c:pt idx="13">
                  <c:v>31</c:v>
                </c:pt>
                <c:pt idx="14">
                  <c:v>32</c:v>
                </c:pt>
                <c:pt idx="15">
                  <c:v>33</c:v>
                </c:pt>
                <c:pt idx="16">
                  <c:v>34</c:v>
                </c:pt>
                <c:pt idx="17">
                  <c:v>35</c:v>
                </c:pt>
                <c:pt idx="18">
                  <c:v>36</c:v>
                </c:pt>
                <c:pt idx="19">
                  <c:v>37</c:v>
                </c:pt>
                <c:pt idx="20">
                  <c:v>38</c:v>
                </c:pt>
                <c:pt idx="21">
                  <c:v>39</c:v>
                </c:pt>
                <c:pt idx="22">
                  <c:v>40</c:v>
                </c:pt>
                <c:pt idx="23">
                  <c:v>41</c:v>
                </c:pt>
                <c:pt idx="24">
                  <c:v>42</c:v>
                </c:pt>
                <c:pt idx="25">
                  <c:v>43</c:v>
                </c:pt>
                <c:pt idx="26">
                  <c:v>44</c:v>
                </c:pt>
                <c:pt idx="27">
                  <c:v>45</c:v>
                </c:pt>
                <c:pt idx="28">
                  <c:v>46</c:v>
                </c:pt>
                <c:pt idx="29">
                  <c:v>47</c:v>
                </c:pt>
                <c:pt idx="30">
                  <c:v>48</c:v>
                </c:pt>
                <c:pt idx="31">
                  <c:v>49</c:v>
                </c:pt>
                <c:pt idx="32">
                  <c:v>50</c:v>
                </c:pt>
                <c:pt idx="33">
                  <c:v>51</c:v>
                </c:pt>
                <c:pt idx="34">
                  <c:v>52</c:v>
                </c:pt>
                <c:pt idx="35">
                  <c:v>53</c:v>
                </c:pt>
                <c:pt idx="36">
                  <c:v>54</c:v>
                </c:pt>
                <c:pt idx="37">
                  <c:v>55</c:v>
                </c:pt>
                <c:pt idx="38">
                  <c:v>56</c:v>
                </c:pt>
                <c:pt idx="39">
                  <c:v>57</c:v>
                </c:pt>
                <c:pt idx="40">
                  <c:v>58</c:v>
                </c:pt>
                <c:pt idx="41">
                  <c:v>59</c:v>
                </c:pt>
                <c:pt idx="42">
                  <c:v>60</c:v>
                </c:pt>
                <c:pt idx="43">
                  <c:v>61</c:v>
                </c:pt>
                <c:pt idx="44">
                  <c:v>62</c:v>
                </c:pt>
                <c:pt idx="45">
                  <c:v>63</c:v>
                </c:pt>
                <c:pt idx="46">
                  <c:v>64</c:v>
                </c:pt>
                <c:pt idx="47">
                  <c:v>65</c:v>
                </c:pt>
                <c:pt idx="48">
                  <c:v>66</c:v>
                </c:pt>
                <c:pt idx="49">
                  <c:v>67</c:v>
                </c:pt>
                <c:pt idx="50">
                  <c:v>68</c:v>
                </c:pt>
                <c:pt idx="51">
                  <c:v>69</c:v>
                </c:pt>
                <c:pt idx="52">
                  <c:v>70</c:v>
                </c:pt>
                <c:pt idx="53">
                  <c:v>71</c:v>
                </c:pt>
                <c:pt idx="54">
                  <c:v>72</c:v>
                </c:pt>
                <c:pt idx="55">
                  <c:v>73</c:v>
                </c:pt>
                <c:pt idx="56">
                  <c:v>74</c:v>
                </c:pt>
                <c:pt idx="57">
                  <c:v>84</c:v>
                </c:pt>
              </c:numCache>
            </c:numRef>
          </c:xVal>
          <c:yVal>
            <c:numRef>
              <c:f>Analysis!$D$15:$D$72</c:f>
              <c:numCache>
                <c:formatCode>General</c:formatCode>
                <c:ptCount val="58"/>
                <c:pt idx="0">
                  <c:v>9.0909090909090912E-2</c:v>
                </c:pt>
                <c:pt idx="1">
                  <c:v>3.7037037037037035E-2</c:v>
                </c:pt>
                <c:pt idx="2">
                  <c:v>0.05</c:v>
                </c:pt>
                <c:pt idx="3">
                  <c:v>5.6603773584905662E-2</c:v>
                </c:pt>
                <c:pt idx="4">
                  <c:v>0.14285714285714285</c:v>
                </c:pt>
                <c:pt idx="5">
                  <c:v>6.0606060606060608E-2</c:v>
                </c:pt>
                <c:pt idx="6">
                  <c:v>0.10606060606060606</c:v>
                </c:pt>
                <c:pt idx="7">
                  <c:v>3.896103896103896E-2</c:v>
                </c:pt>
                <c:pt idx="8">
                  <c:v>7.0000000000000007E-2</c:v>
                </c:pt>
                <c:pt idx="9">
                  <c:v>6.2200956937799042E-2</c:v>
                </c:pt>
                <c:pt idx="10">
                  <c:v>8.4249084249084255E-2</c:v>
                </c:pt>
                <c:pt idx="11">
                  <c:v>8.0459770114942528E-2</c:v>
                </c:pt>
                <c:pt idx="12">
                  <c:v>7.3394495412844041E-2</c:v>
                </c:pt>
                <c:pt idx="13">
                  <c:v>8.1683168316831686E-2</c:v>
                </c:pt>
                <c:pt idx="14">
                  <c:v>7.6555023923444973E-2</c:v>
                </c:pt>
                <c:pt idx="15">
                  <c:v>9.9547511312217188E-2</c:v>
                </c:pt>
                <c:pt idx="16">
                  <c:v>7.3825503355704702E-2</c:v>
                </c:pt>
                <c:pt idx="17">
                  <c:v>0.12025316455696203</c:v>
                </c:pt>
                <c:pt idx="18">
                  <c:v>0.1162280701754386</c:v>
                </c:pt>
                <c:pt idx="19">
                  <c:v>0.1297071129707113</c:v>
                </c:pt>
                <c:pt idx="20">
                  <c:v>0.13207547169811321</c:v>
                </c:pt>
                <c:pt idx="21">
                  <c:v>0.1702127659574468</c:v>
                </c:pt>
                <c:pt idx="22">
                  <c:v>0.20833333333333334</c:v>
                </c:pt>
                <c:pt idx="23">
                  <c:v>0.18852459016393441</c:v>
                </c:pt>
                <c:pt idx="24">
                  <c:v>0.23987538940809969</c:v>
                </c:pt>
                <c:pt idx="25">
                  <c:v>0.29629629629629628</c:v>
                </c:pt>
                <c:pt idx="26">
                  <c:v>0.28404669260700388</c:v>
                </c:pt>
                <c:pt idx="27">
                  <c:v>0.37991266375545851</c:v>
                </c:pt>
                <c:pt idx="28">
                  <c:v>0.40265486725663718</c:v>
                </c:pt>
                <c:pt idx="29">
                  <c:v>0.44</c:v>
                </c:pt>
                <c:pt idx="30">
                  <c:v>0.47619047619047616</c:v>
                </c:pt>
                <c:pt idx="31">
                  <c:v>0.51020408163265307</c:v>
                </c:pt>
                <c:pt idx="32">
                  <c:v>0.52985074626865669</c:v>
                </c:pt>
                <c:pt idx="33">
                  <c:v>0.55462184873949583</c:v>
                </c:pt>
                <c:pt idx="34">
                  <c:v>0.62745098039215685</c:v>
                </c:pt>
                <c:pt idx="35">
                  <c:v>0.54054054054054057</c:v>
                </c:pt>
                <c:pt idx="36">
                  <c:v>0.6071428571428571</c:v>
                </c:pt>
                <c:pt idx="37">
                  <c:v>0.58536585365853655</c:v>
                </c:pt>
                <c:pt idx="38">
                  <c:v>0.7142857142857143</c:v>
                </c:pt>
                <c:pt idx="39">
                  <c:v>0.50666666666666671</c:v>
                </c:pt>
                <c:pt idx="40">
                  <c:v>0.43283582089552236</c:v>
                </c:pt>
                <c:pt idx="41">
                  <c:v>0.4838709677419355</c:v>
                </c:pt>
                <c:pt idx="42">
                  <c:v>0.5161290322580645</c:v>
                </c:pt>
                <c:pt idx="43">
                  <c:v>0.39622641509433965</c:v>
                </c:pt>
                <c:pt idx="44">
                  <c:v>0.40384615384615385</c:v>
                </c:pt>
                <c:pt idx="45">
                  <c:v>0.45</c:v>
                </c:pt>
                <c:pt idx="46">
                  <c:v>0.32432432432432434</c:v>
                </c:pt>
                <c:pt idx="47">
                  <c:v>0.44444444444444442</c:v>
                </c:pt>
                <c:pt idx="48">
                  <c:v>0.2</c:v>
                </c:pt>
                <c:pt idx="49">
                  <c:v>0.13513513513513514</c:v>
                </c:pt>
                <c:pt idx="50">
                  <c:v>0.31578947368421051</c:v>
                </c:pt>
                <c:pt idx="51">
                  <c:v>9.0909090909090912E-2</c:v>
                </c:pt>
                <c:pt idx="52">
                  <c:v>0.22222222222222221</c:v>
                </c:pt>
                <c:pt idx="53">
                  <c:v>0.25925925925925924</c:v>
                </c:pt>
                <c:pt idx="54">
                  <c:v>4.7619047619047616E-2</c:v>
                </c:pt>
                <c:pt idx="55">
                  <c:v>7.6923076923076927E-2</c:v>
                </c:pt>
                <c:pt idx="56">
                  <c:v>5.5555555555555552E-2</c:v>
                </c:pt>
                <c:pt idx="57">
                  <c:v>0.5</c:v>
                </c:pt>
              </c:numCache>
            </c:numRef>
          </c:yVal>
          <c:smooth val="0"/>
          <c:extLst>
            <c:ext xmlns:c16="http://schemas.microsoft.com/office/drawing/2014/chart" uri="{C3380CC4-5D6E-409C-BE32-E72D297353CC}">
              <c16:uniqueId val="{00000001-E250-4172-A552-206CD5AD4C44}"/>
            </c:ext>
          </c:extLst>
        </c:ser>
        <c:dLbls>
          <c:showLegendKey val="0"/>
          <c:showVal val="0"/>
          <c:showCatName val="0"/>
          <c:showSerName val="0"/>
          <c:showPercent val="0"/>
          <c:showBubbleSize val="0"/>
        </c:dLbls>
        <c:axId val="162232400"/>
        <c:axId val="162241520"/>
      </c:scatterChart>
      <c:valAx>
        <c:axId val="16223240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41520"/>
        <c:crosses val="autoZero"/>
        <c:crossBetween val="midCat"/>
      </c:valAx>
      <c:valAx>
        <c:axId val="16224152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32400"/>
        <c:crosses val="autoZero"/>
        <c:crossBetween val="midCat"/>
      </c:val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 churn Analysis project.xlsx]Analysis!PivotTable3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Churn</a:t>
            </a:r>
            <a:r>
              <a:rPr lang="en-US" sz="1200" b="1" baseline="0"/>
              <a:t> by Age Group</a:t>
            </a:r>
            <a:endParaRPr lang="en-US" sz="120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rgbClr val="E70F4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rgbClr val="E70F4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rgbClr val="E70F4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24954610085717832"/>
          <c:y val="0.19452635878466282"/>
          <c:w val="0.70254327560509022"/>
          <c:h val="0.77740345957252865"/>
        </c:manualLayout>
      </c:layout>
      <c:barChart>
        <c:barDir val="bar"/>
        <c:grouping val="clustered"/>
        <c:varyColors val="0"/>
        <c:ser>
          <c:idx val="0"/>
          <c:order val="0"/>
          <c:tx>
            <c:strRef>
              <c:f>Analysis!$F$14</c:f>
              <c:strCache>
                <c:ptCount val="1"/>
                <c:pt idx="0">
                  <c:v>Total</c:v>
                </c:pt>
              </c:strCache>
            </c:strRef>
          </c:tx>
          <c:spPr>
            <a:solidFill>
              <a:srgbClr val="E70F4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Analysis!$E$15:$E$18</c:f>
              <c:strCache>
                <c:ptCount val="4"/>
                <c:pt idx="0">
                  <c:v>Young</c:v>
                </c:pt>
                <c:pt idx="1">
                  <c:v>Very Old</c:v>
                </c:pt>
                <c:pt idx="2">
                  <c:v>Middle-Age</c:v>
                </c:pt>
                <c:pt idx="3">
                  <c:v>Old</c:v>
                </c:pt>
              </c:strCache>
            </c:strRef>
          </c:cat>
          <c:val>
            <c:numRef>
              <c:f>Analysis!$F$15:$F$18</c:f>
              <c:numCache>
                <c:formatCode>0.00%</c:formatCode>
                <c:ptCount val="4"/>
                <c:pt idx="0">
                  <c:v>7.8825767871704269E-2</c:v>
                </c:pt>
                <c:pt idx="1">
                  <c:v>9.9337748344370855E-2</c:v>
                </c:pt>
                <c:pt idx="2">
                  <c:v>0.22614697523345514</c:v>
                </c:pt>
                <c:pt idx="3">
                  <c:v>0.49758842443729906</c:v>
                </c:pt>
              </c:numCache>
            </c:numRef>
          </c:val>
          <c:extLst>
            <c:ext xmlns:c16="http://schemas.microsoft.com/office/drawing/2014/chart" uri="{C3380CC4-5D6E-409C-BE32-E72D297353CC}">
              <c16:uniqueId val="{00000000-0EE5-40A6-9C2C-40FA20BFE75A}"/>
            </c:ext>
          </c:extLst>
        </c:ser>
        <c:dLbls>
          <c:dLblPos val="outEnd"/>
          <c:showLegendKey val="0"/>
          <c:showVal val="1"/>
          <c:showCatName val="0"/>
          <c:showSerName val="0"/>
          <c:showPercent val="0"/>
          <c:showBubbleSize val="0"/>
        </c:dLbls>
        <c:gapWidth val="182"/>
        <c:axId val="193493904"/>
        <c:axId val="193498224"/>
      </c:barChart>
      <c:catAx>
        <c:axId val="193493904"/>
        <c:scaling>
          <c:orientation val="minMax"/>
        </c:scaling>
        <c:delete val="0"/>
        <c:axPos val="l"/>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8224"/>
        <c:crosses val="autoZero"/>
        <c:auto val="1"/>
        <c:lblAlgn val="ctr"/>
        <c:lblOffset val="100"/>
        <c:noMultiLvlLbl val="0"/>
      </c:catAx>
      <c:valAx>
        <c:axId val="193498224"/>
        <c:scaling>
          <c:orientation val="minMax"/>
        </c:scaling>
        <c:delete val="1"/>
        <c:axPos val="b"/>
        <c:numFmt formatCode="0.00%" sourceLinked="1"/>
        <c:majorTickMark val="out"/>
        <c:minorTickMark val="none"/>
        <c:tickLblPos val="nextTo"/>
        <c:crossAx val="19349390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 churn Analysis project.xlsx]Analysis!PivotTable4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Churn</a:t>
            </a:r>
            <a:r>
              <a:rPr lang="en-US" sz="1050" b="1" baseline="0"/>
              <a:t> Rate by Geography</a:t>
            </a:r>
            <a:endParaRPr lang="en-US" sz="1050"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E70F4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0"/>
        <c:spPr>
          <a:solidFill>
            <a:srgbClr val="E70F4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rgbClr val="E70F4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9163650326474774"/>
          <c:y val="0.18139302102311272"/>
          <c:w val="0.75448807292603537"/>
          <c:h val="0.7971879515440885"/>
        </c:manualLayout>
      </c:layout>
      <c:barChart>
        <c:barDir val="bar"/>
        <c:grouping val="clustered"/>
        <c:varyColors val="0"/>
        <c:ser>
          <c:idx val="0"/>
          <c:order val="0"/>
          <c:tx>
            <c:strRef>
              <c:f>Analysis!$K$13</c:f>
              <c:strCache>
                <c:ptCount val="1"/>
                <c:pt idx="0">
                  <c:v>Total Customers</c:v>
                </c:pt>
              </c:strCache>
            </c:strRef>
          </c:tx>
          <c:spPr>
            <a:solidFill>
              <a:srgbClr val="2F2E3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Analysis!$J$14:$J$16</c:f>
              <c:strCache>
                <c:ptCount val="3"/>
                <c:pt idx="0">
                  <c:v>Germany</c:v>
                </c:pt>
                <c:pt idx="1">
                  <c:v>Spain</c:v>
                </c:pt>
                <c:pt idx="2">
                  <c:v>France</c:v>
                </c:pt>
              </c:strCache>
            </c:strRef>
          </c:cat>
          <c:val>
            <c:numRef>
              <c:f>Analysis!$K$14:$K$16</c:f>
              <c:numCache>
                <c:formatCode>General</c:formatCode>
                <c:ptCount val="3"/>
                <c:pt idx="0">
                  <c:v>2509</c:v>
                </c:pt>
                <c:pt idx="1">
                  <c:v>2477</c:v>
                </c:pt>
                <c:pt idx="2">
                  <c:v>5014</c:v>
                </c:pt>
              </c:numCache>
            </c:numRef>
          </c:val>
          <c:extLst>
            <c:ext xmlns:c16="http://schemas.microsoft.com/office/drawing/2014/chart" uri="{C3380CC4-5D6E-409C-BE32-E72D297353CC}">
              <c16:uniqueId val="{00000000-A4E9-44F1-AAAE-5A631412D93B}"/>
            </c:ext>
          </c:extLst>
        </c:ser>
        <c:ser>
          <c:idx val="1"/>
          <c:order val="1"/>
          <c:tx>
            <c:strRef>
              <c:f>Analysis!$L$13</c:f>
              <c:strCache>
                <c:ptCount val="1"/>
                <c:pt idx="0">
                  <c:v>Churned Customers</c:v>
                </c:pt>
              </c:strCache>
            </c:strRef>
          </c:tx>
          <c:spPr>
            <a:solidFill>
              <a:srgbClr val="E70F4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Analysis!$J$14:$J$16</c:f>
              <c:strCache>
                <c:ptCount val="3"/>
                <c:pt idx="0">
                  <c:v>Germany</c:v>
                </c:pt>
                <c:pt idx="1">
                  <c:v>Spain</c:v>
                </c:pt>
                <c:pt idx="2">
                  <c:v>France</c:v>
                </c:pt>
              </c:strCache>
            </c:strRef>
          </c:cat>
          <c:val>
            <c:numRef>
              <c:f>Analysis!$L$14:$L$16</c:f>
              <c:numCache>
                <c:formatCode>General</c:formatCode>
                <c:ptCount val="3"/>
                <c:pt idx="0">
                  <c:v>814</c:v>
                </c:pt>
                <c:pt idx="1">
                  <c:v>413</c:v>
                </c:pt>
                <c:pt idx="2">
                  <c:v>811</c:v>
                </c:pt>
              </c:numCache>
            </c:numRef>
          </c:val>
          <c:extLst>
            <c:ext xmlns:c16="http://schemas.microsoft.com/office/drawing/2014/chart" uri="{C3380CC4-5D6E-409C-BE32-E72D297353CC}">
              <c16:uniqueId val="{00000001-A4E9-44F1-AAAE-5A631412D93B}"/>
            </c:ext>
          </c:extLst>
        </c:ser>
        <c:ser>
          <c:idx val="2"/>
          <c:order val="2"/>
          <c:tx>
            <c:strRef>
              <c:f>Analysis!$M$13</c:f>
              <c:strCache>
                <c:ptCount val="1"/>
                <c:pt idx="0">
                  <c:v>Churn Rate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Analysis!$J$14:$J$16</c:f>
              <c:strCache>
                <c:ptCount val="3"/>
                <c:pt idx="0">
                  <c:v>Germany</c:v>
                </c:pt>
                <c:pt idx="1">
                  <c:v>Spain</c:v>
                </c:pt>
                <c:pt idx="2">
                  <c:v>France</c:v>
                </c:pt>
              </c:strCache>
            </c:strRef>
          </c:cat>
          <c:val>
            <c:numRef>
              <c:f>Analysis!$M$14:$M$16</c:f>
              <c:numCache>
                <c:formatCode>0.00%</c:formatCode>
                <c:ptCount val="3"/>
                <c:pt idx="0">
                  <c:v>0.32443204463929853</c:v>
                </c:pt>
                <c:pt idx="1">
                  <c:v>0.16673395236172789</c:v>
                </c:pt>
                <c:pt idx="2">
                  <c:v>0.16174710809732748</c:v>
                </c:pt>
              </c:numCache>
            </c:numRef>
          </c:val>
          <c:extLst>
            <c:ext xmlns:c16="http://schemas.microsoft.com/office/drawing/2014/chart" uri="{C3380CC4-5D6E-409C-BE32-E72D297353CC}">
              <c16:uniqueId val="{00000002-A4E9-44F1-AAAE-5A631412D93B}"/>
            </c:ext>
          </c:extLst>
        </c:ser>
        <c:dLbls>
          <c:dLblPos val="outEnd"/>
          <c:showLegendKey val="0"/>
          <c:showVal val="1"/>
          <c:showCatName val="0"/>
          <c:showSerName val="0"/>
          <c:showPercent val="0"/>
          <c:showBubbleSize val="0"/>
        </c:dLbls>
        <c:gapWidth val="182"/>
        <c:axId val="2047099296"/>
        <c:axId val="2047082976"/>
      </c:barChart>
      <c:catAx>
        <c:axId val="2047099296"/>
        <c:scaling>
          <c:orientation val="minMax"/>
        </c:scaling>
        <c:delete val="0"/>
        <c:axPos val="l"/>
        <c:numFmt formatCode="General" sourceLinked="1"/>
        <c:majorTickMark val="out"/>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95000"/>
                    <a:lumOff val="5000"/>
                  </a:schemeClr>
                </a:solidFill>
                <a:latin typeface="+mn-lt"/>
                <a:ea typeface="+mn-ea"/>
                <a:cs typeface="+mn-cs"/>
              </a:defRPr>
            </a:pPr>
            <a:endParaRPr lang="en-US"/>
          </a:p>
        </c:txPr>
        <c:crossAx val="2047082976"/>
        <c:crosses val="autoZero"/>
        <c:auto val="1"/>
        <c:lblAlgn val="ctr"/>
        <c:lblOffset val="100"/>
        <c:noMultiLvlLbl val="0"/>
      </c:catAx>
      <c:valAx>
        <c:axId val="2047082976"/>
        <c:scaling>
          <c:orientation val="minMax"/>
        </c:scaling>
        <c:delete val="1"/>
        <c:axPos val="b"/>
        <c:numFmt formatCode="General" sourceLinked="1"/>
        <c:majorTickMark val="none"/>
        <c:minorTickMark val="none"/>
        <c:tickLblPos val="nextTo"/>
        <c:crossAx val="204709929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 churn Analysis project.xlsx]Analysis!PivotTable12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1"/>
              <a:t>Average</a:t>
            </a:r>
            <a:r>
              <a:rPr lang="en-US" sz="1050" b="1" baseline="0"/>
              <a:t> Bank Balance</a:t>
            </a:r>
          </a:p>
          <a:p>
            <a:pPr>
              <a:defRPr/>
            </a:pPr>
            <a:r>
              <a:rPr lang="en-US" sz="1050" b="1" baseline="0">
                <a:solidFill>
                  <a:srgbClr val="FF0000"/>
                </a:solidFill>
              </a:rPr>
              <a:t>Churned</a:t>
            </a:r>
            <a:r>
              <a:rPr lang="en-US" sz="1050" b="1" baseline="0"/>
              <a:t> Vs </a:t>
            </a:r>
            <a:r>
              <a:rPr lang="en-US" sz="1050" b="1" baseline="0">
                <a:solidFill>
                  <a:srgbClr val="2F2E3E"/>
                </a:solidFill>
              </a:rPr>
              <a:t>Retained</a:t>
            </a:r>
            <a:endParaRPr lang="en-US" sz="1050" b="1">
              <a:solidFill>
                <a:srgbClr val="2F2E3E"/>
              </a:solidFill>
            </a:endParaRPr>
          </a:p>
        </c:rich>
      </c:tx>
      <c:layout>
        <c:manualLayout>
          <c:xMode val="edge"/>
          <c:yMode val="edge"/>
          <c:x val="0.32635062380016955"/>
          <c:y val="2.792340150444054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E70F42"/>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rgbClr val="2F2E3E"/>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rgbClr val="E70F42"/>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rgbClr val="2F2E3E"/>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rgbClr val="E70F42"/>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2F2E3E"/>
          </a:solidFill>
          <a:ln>
            <a:noFill/>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Analysis!$J$33</c:f>
              <c:strCache>
                <c:ptCount val="1"/>
                <c:pt idx="0">
                  <c:v>Average Balance Churn</c:v>
                </c:pt>
              </c:strCache>
            </c:strRef>
          </c:tx>
          <c:spPr>
            <a:solidFill>
              <a:srgbClr val="E70F42"/>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Analysis!$J$34</c:f>
              <c:strCache>
                <c:ptCount val="1"/>
                <c:pt idx="0">
                  <c:v>Total</c:v>
                </c:pt>
              </c:strCache>
            </c:strRef>
          </c:cat>
          <c:val>
            <c:numRef>
              <c:f>Analysis!$J$34</c:f>
              <c:numCache>
                <c:formatCode>"$"#,##0.00</c:formatCode>
                <c:ptCount val="1"/>
                <c:pt idx="0">
                  <c:v>91109.476005888122</c:v>
                </c:pt>
              </c:numCache>
            </c:numRef>
          </c:val>
          <c:extLst>
            <c:ext xmlns:c16="http://schemas.microsoft.com/office/drawing/2014/chart" uri="{C3380CC4-5D6E-409C-BE32-E72D297353CC}">
              <c16:uniqueId val="{00000000-E4B4-4C43-AC52-9F547AF269E3}"/>
            </c:ext>
          </c:extLst>
        </c:ser>
        <c:ser>
          <c:idx val="1"/>
          <c:order val="1"/>
          <c:tx>
            <c:strRef>
              <c:f>Analysis!$K$33</c:f>
              <c:strCache>
                <c:ptCount val="1"/>
                <c:pt idx="0">
                  <c:v>Average Balance Retained</c:v>
                </c:pt>
              </c:strCache>
            </c:strRef>
          </c:tx>
          <c:spPr>
            <a:solidFill>
              <a:srgbClr val="2F2E3E"/>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Analysis!$J$34</c:f>
              <c:strCache>
                <c:ptCount val="1"/>
                <c:pt idx="0">
                  <c:v>Total</c:v>
                </c:pt>
              </c:strCache>
            </c:strRef>
          </c:cat>
          <c:val>
            <c:numRef>
              <c:f>Analysis!$K$34</c:f>
              <c:numCache>
                <c:formatCode>"$"#,##0.00</c:formatCode>
                <c:ptCount val="1"/>
                <c:pt idx="0">
                  <c:v>72742.750663149956</c:v>
                </c:pt>
              </c:numCache>
            </c:numRef>
          </c:val>
          <c:extLst>
            <c:ext xmlns:c16="http://schemas.microsoft.com/office/drawing/2014/chart" uri="{C3380CC4-5D6E-409C-BE32-E72D297353CC}">
              <c16:uniqueId val="{00000001-E4B4-4C43-AC52-9F547AF269E3}"/>
            </c:ext>
          </c:extLst>
        </c:ser>
        <c:dLbls>
          <c:dLblPos val="outEnd"/>
          <c:showLegendKey val="0"/>
          <c:showVal val="1"/>
          <c:showCatName val="0"/>
          <c:showSerName val="0"/>
          <c:showPercent val="0"/>
          <c:showBubbleSize val="0"/>
        </c:dLbls>
        <c:gapWidth val="379"/>
        <c:overlap val="-27"/>
        <c:axId val="838852448"/>
        <c:axId val="838855808"/>
      </c:barChart>
      <c:catAx>
        <c:axId val="838852448"/>
        <c:scaling>
          <c:orientation val="minMax"/>
        </c:scaling>
        <c:delete val="1"/>
        <c:axPos val="b"/>
        <c:numFmt formatCode="General" sourceLinked="1"/>
        <c:majorTickMark val="none"/>
        <c:minorTickMark val="none"/>
        <c:tickLblPos val="nextTo"/>
        <c:crossAx val="838855808"/>
        <c:crosses val="autoZero"/>
        <c:auto val="1"/>
        <c:lblAlgn val="ctr"/>
        <c:lblOffset val="100"/>
        <c:noMultiLvlLbl val="0"/>
      </c:catAx>
      <c:valAx>
        <c:axId val="838855808"/>
        <c:scaling>
          <c:orientation val="minMax"/>
        </c:scaling>
        <c:delete val="1"/>
        <c:axPos val="l"/>
        <c:numFmt formatCode="&quot;$&quot;#,##0.00" sourceLinked="1"/>
        <c:majorTickMark val="none"/>
        <c:minorTickMark val="none"/>
        <c:tickLblPos val="nextTo"/>
        <c:crossAx val="838852448"/>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rtl="0">
              <a:defRPr lang="en-US" sz="1200" b="1" i="0" u="none" strike="noStrike" baseline="0">
                <a:solidFill>
                  <a:sysClr val="windowText" lastClr="000000">
                    <a:lumMod val="65000"/>
                    <a:lumOff val="35000"/>
                  </a:sysClr>
                </a:solidFill>
                <a:latin typeface="Aptos Narrow" panose="02110004020202020204"/>
                <a:ea typeface="Calibri" panose="020F0502020204030204" pitchFamily="34" charset="0"/>
                <a:cs typeface="Calibri" panose="020F0502020204030204" pitchFamily="34" charset="0"/>
              </a:defRPr>
            </a:pPr>
            <a:r>
              <a:rPr lang="en-US" sz="1200" b="1" i="0" u="none" strike="noStrike" baseline="0" dirty="0">
                <a:solidFill>
                  <a:sysClr val="windowText" lastClr="000000">
                    <a:lumMod val="65000"/>
                    <a:lumOff val="35000"/>
                  </a:sysClr>
                </a:solidFill>
                <a:latin typeface="Aptos Narrow" panose="02110004020202020204"/>
                <a:ea typeface="Calibri" panose="020F0502020204030204" pitchFamily="34" charset="0"/>
                <a:cs typeface="Calibri" panose="020F0502020204030204" pitchFamily="34" charset="0"/>
              </a:rPr>
              <a:t>Churn by Credit Score</a:t>
            </a:r>
            <a:endParaRPr lang="en-US" sz="1200" b="0" i="0" u="none" strike="noStrike" baseline="0" dirty="0">
              <a:solidFill>
                <a:sysClr val="windowText" lastClr="000000">
                  <a:lumMod val="65000"/>
                  <a:lumOff val="35000"/>
                </a:sysClr>
              </a:solidFill>
              <a:latin typeface="Aptos Narrow" panose="02110004020202020204"/>
              <a:ea typeface="Calibri" panose="020F0502020204030204" pitchFamily="34" charset="0"/>
              <a:cs typeface="Calibri" panose="020F0502020204030204" pitchFamily="34" charset="0"/>
            </a:endParaRPr>
          </a:p>
          <a:p>
            <a:pPr algn="ctr" rtl="0">
              <a:defRPr lang="en-US" sz="1200" b="1" i="0" u="none" strike="noStrike" baseline="0">
                <a:solidFill>
                  <a:sysClr val="windowText" lastClr="000000">
                    <a:lumMod val="65000"/>
                    <a:lumOff val="35000"/>
                  </a:sysClr>
                </a:solidFill>
                <a:latin typeface="Aptos Narrow" panose="02110004020202020204"/>
                <a:ea typeface="Calibri" panose="020F0502020204030204" pitchFamily="34" charset="0"/>
                <a:cs typeface="Calibri" panose="020F0502020204030204" pitchFamily="34" charset="0"/>
              </a:defRPr>
            </a:pPr>
            <a:r>
              <a:rPr lang="en-US" sz="1050" b="0" i="0" u="none" strike="noStrike" baseline="0" dirty="0">
                <a:solidFill>
                  <a:sysClr val="windowText" lastClr="000000">
                    <a:lumMod val="65000"/>
                    <a:lumOff val="35000"/>
                  </a:sysClr>
                </a:solidFill>
                <a:latin typeface="Aptos Narrow" panose="02110004020202020204"/>
                <a:ea typeface="Calibri" panose="020F0502020204030204" pitchFamily="34" charset="0"/>
                <a:cs typeface="Calibri" panose="020F0502020204030204" pitchFamily="34" charset="0"/>
              </a:rPr>
              <a:t>How credit score affects churn</a:t>
            </a:r>
          </a:p>
        </c:rich>
      </c:tx>
      <c:layout>
        <c:manualLayout>
          <c:xMode val="edge"/>
          <c:yMode val="edge"/>
          <c:x val="0.22240915331503866"/>
          <c:y val="1.7797471252017555E-2"/>
        </c:manualLayout>
      </c:layout>
      <c:overlay val="0"/>
      <c:spPr>
        <a:noFill/>
        <a:ln>
          <a:noFill/>
        </a:ln>
        <a:effectLst/>
      </c:spPr>
    </c:title>
    <c:autoTitleDeleted val="0"/>
    <c:plotArea>
      <c:layout>
        <c:manualLayout>
          <c:layoutTarget val="inner"/>
          <c:xMode val="edge"/>
          <c:yMode val="edge"/>
          <c:x val="0.16428527184086503"/>
          <c:y val="0.2519538758703162"/>
          <c:w val="0.75518136664264801"/>
          <c:h val="0.64008464343020766"/>
        </c:manualLayout>
      </c:layout>
      <c:scatterChart>
        <c:scatterStyle val="lineMarker"/>
        <c:varyColors val="0"/>
        <c:ser>
          <c:idx val="0"/>
          <c:order val="0"/>
          <c:spPr>
            <a:ln w="38100" cap="rnd">
              <a:noFill/>
              <a:round/>
            </a:ln>
            <a:effectLst/>
          </c:spPr>
          <c:marker>
            <c:symbol val="circle"/>
            <c:size val="5"/>
            <c:spPr>
              <a:solidFill>
                <a:srgbClr val="E70F42"/>
              </a:solidFill>
              <a:ln w="9525">
                <a:solidFill>
                  <a:srgbClr val="E70F42"/>
                </a:solidFill>
              </a:ln>
              <a:effectLst/>
            </c:spPr>
          </c:marker>
          <c:trendline>
            <c:spPr>
              <a:ln>
                <a:solidFill>
                  <a:srgbClr val="2F2E3E"/>
                </a:solidFill>
              </a:ln>
            </c:spPr>
            <c:trendlineType val="linear"/>
            <c:dispRSqr val="0"/>
            <c:dispEq val="0"/>
          </c:trendline>
          <c:xVal>
            <c:numRef>
              <c:f>Analysis!$C$80:$C$499</c:f>
              <c:numCache>
                <c:formatCode>General</c:formatCode>
                <c:ptCount val="420"/>
                <c:pt idx="0">
                  <c:v>350</c:v>
                </c:pt>
                <c:pt idx="1">
                  <c:v>351</c:v>
                </c:pt>
                <c:pt idx="2">
                  <c:v>358</c:v>
                </c:pt>
                <c:pt idx="3">
                  <c:v>359</c:v>
                </c:pt>
                <c:pt idx="4">
                  <c:v>363</c:v>
                </c:pt>
                <c:pt idx="5">
                  <c:v>365</c:v>
                </c:pt>
                <c:pt idx="6">
                  <c:v>367</c:v>
                </c:pt>
                <c:pt idx="7">
                  <c:v>373</c:v>
                </c:pt>
                <c:pt idx="8">
                  <c:v>376</c:v>
                </c:pt>
                <c:pt idx="9">
                  <c:v>382</c:v>
                </c:pt>
                <c:pt idx="10">
                  <c:v>383</c:v>
                </c:pt>
                <c:pt idx="11">
                  <c:v>386</c:v>
                </c:pt>
                <c:pt idx="12">
                  <c:v>395</c:v>
                </c:pt>
                <c:pt idx="13">
                  <c:v>399</c:v>
                </c:pt>
                <c:pt idx="14">
                  <c:v>401</c:v>
                </c:pt>
                <c:pt idx="15">
                  <c:v>404</c:v>
                </c:pt>
                <c:pt idx="16">
                  <c:v>405</c:v>
                </c:pt>
                <c:pt idx="17">
                  <c:v>407</c:v>
                </c:pt>
                <c:pt idx="18">
                  <c:v>408</c:v>
                </c:pt>
                <c:pt idx="19">
                  <c:v>410</c:v>
                </c:pt>
                <c:pt idx="20">
                  <c:v>414</c:v>
                </c:pt>
                <c:pt idx="21">
                  <c:v>415</c:v>
                </c:pt>
                <c:pt idx="22">
                  <c:v>418</c:v>
                </c:pt>
                <c:pt idx="23">
                  <c:v>420</c:v>
                </c:pt>
                <c:pt idx="24">
                  <c:v>421</c:v>
                </c:pt>
                <c:pt idx="25">
                  <c:v>423</c:v>
                </c:pt>
                <c:pt idx="26">
                  <c:v>425</c:v>
                </c:pt>
                <c:pt idx="27">
                  <c:v>428</c:v>
                </c:pt>
                <c:pt idx="28">
                  <c:v>430</c:v>
                </c:pt>
                <c:pt idx="29">
                  <c:v>431</c:v>
                </c:pt>
                <c:pt idx="30">
                  <c:v>432</c:v>
                </c:pt>
                <c:pt idx="31">
                  <c:v>434</c:v>
                </c:pt>
                <c:pt idx="32">
                  <c:v>435</c:v>
                </c:pt>
                <c:pt idx="33">
                  <c:v>436</c:v>
                </c:pt>
                <c:pt idx="34">
                  <c:v>437</c:v>
                </c:pt>
                <c:pt idx="35">
                  <c:v>438</c:v>
                </c:pt>
                <c:pt idx="36">
                  <c:v>439</c:v>
                </c:pt>
                <c:pt idx="37">
                  <c:v>443</c:v>
                </c:pt>
                <c:pt idx="38">
                  <c:v>444</c:v>
                </c:pt>
                <c:pt idx="39">
                  <c:v>445</c:v>
                </c:pt>
                <c:pt idx="40">
                  <c:v>446</c:v>
                </c:pt>
                <c:pt idx="41">
                  <c:v>447</c:v>
                </c:pt>
                <c:pt idx="42">
                  <c:v>453</c:v>
                </c:pt>
                <c:pt idx="43">
                  <c:v>454</c:v>
                </c:pt>
                <c:pt idx="44">
                  <c:v>456</c:v>
                </c:pt>
                <c:pt idx="45">
                  <c:v>457</c:v>
                </c:pt>
                <c:pt idx="46">
                  <c:v>459</c:v>
                </c:pt>
                <c:pt idx="47">
                  <c:v>460</c:v>
                </c:pt>
                <c:pt idx="48">
                  <c:v>461</c:v>
                </c:pt>
                <c:pt idx="49">
                  <c:v>465</c:v>
                </c:pt>
                <c:pt idx="50">
                  <c:v>466</c:v>
                </c:pt>
                <c:pt idx="51">
                  <c:v>467</c:v>
                </c:pt>
                <c:pt idx="52">
                  <c:v>468</c:v>
                </c:pt>
                <c:pt idx="53">
                  <c:v>469</c:v>
                </c:pt>
                <c:pt idx="54">
                  <c:v>473</c:v>
                </c:pt>
                <c:pt idx="55">
                  <c:v>474</c:v>
                </c:pt>
                <c:pt idx="56">
                  <c:v>475</c:v>
                </c:pt>
                <c:pt idx="57">
                  <c:v>476</c:v>
                </c:pt>
                <c:pt idx="58">
                  <c:v>477</c:v>
                </c:pt>
                <c:pt idx="59">
                  <c:v>478</c:v>
                </c:pt>
                <c:pt idx="60">
                  <c:v>479</c:v>
                </c:pt>
                <c:pt idx="61">
                  <c:v>480</c:v>
                </c:pt>
                <c:pt idx="62">
                  <c:v>481</c:v>
                </c:pt>
                <c:pt idx="63">
                  <c:v>482</c:v>
                </c:pt>
                <c:pt idx="64">
                  <c:v>483</c:v>
                </c:pt>
                <c:pt idx="65">
                  <c:v>484</c:v>
                </c:pt>
                <c:pt idx="66">
                  <c:v>485</c:v>
                </c:pt>
                <c:pt idx="67">
                  <c:v>486</c:v>
                </c:pt>
                <c:pt idx="68">
                  <c:v>487</c:v>
                </c:pt>
                <c:pt idx="69">
                  <c:v>489</c:v>
                </c:pt>
                <c:pt idx="70">
                  <c:v>490</c:v>
                </c:pt>
                <c:pt idx="71">
                  <c:v>491</c:v>
                </c:pt>
                <c:pt idx="72">
                  <c:v>492</c:v>
                </c:pt>
                <c:pt idx="73">
                  <c:v>493</c:v>
                </c:pt>
                <c:pt idx="74">
                  <c:v>494</c:v>
                </c:pt>
                <c:pt idx="75">
                  <c:v>495</c:v>
                </c:pt>
                <c:pt idx="76">
                  <c:v>496</c:v>
                </c:pt>
                <c:pt idx="77">
                  <c:v>497</c:v>
                </c:pt>
                <c:pt idx="78">
                  <c:v>498</c:v>
                </c:pt>
                <c:pt idx="79">
                  <c:v>499</c:v>
                </c:pt>
                <c:pt idx="80">
                  <c:v>500</c:v>
                </c:pt>
                <c:pt idx="81">
                  <c:v>501</c:v>
                </c:pt>
                <c:pt idx="82">
                  <c:v>502</c:v>
                </c:pt>
                <c:pt idx="83">
                  <c:v>504</c:v>
                </c:pt>
                <c:pt idx="84">
                  <c:v>505</c:v>
                </c:pt>
                <c:pt idx="85">
                  <c:v>506</c:v>
                </c:pt>
                <c:pt idx="86">
                  <c:v>507</c:v>
                </c:pt>
                <c:pt idx="87">
                  <c:v>508</c:v>
                </c:pt>
                <c:pt idx="88">
                  <c:v>509</c:v>
                </c:pt>
                <c:pt idx="89">
                  <c:v>510</c:v>
                </c:pt>
                <c:pt idx="90">
                  <c:v>511</c:v>
                </c:pt>
                <c:pt idx="91">
                  <c:v>512</c:v>
                </c:pt>
                <c:pt idx="92">
                  <c:v>513</c:v>
                </c:pt>
                <c:pt idx="93">
                  <c:v>514</c:v>
                </c:pt>
                <c:pt idx="94">
                  <c:v>515</c:v>
                </c:pt>
                <c:pt idx="95">
                  <c:v>516</c:v>
                </c:pt>
                <c:pt idx="96">
                  <c:v>517</c:v>
                </c:pt>
                <c:pt idx="97">
                  <c:v>518</c:v>
                </c:pt>
                <c:pt idx="98">
                  <c:v>519</c:v>
                </c:pt>
                <c:pt idx="99">
                  <c:v>520</c:v>
                </c:pt>
                <c:pt idx="100">
                  <c:v>521</c:v>
                </c:pt>
                <c:pt idx="101">
                  <c:v>522</c:v>
                </c:pt>
                <c:pt idx="102">
                  <c:v>523</c:v>
                </c:pt>
                <c:pt idx="103">
                  <c:v>524</c:v>
                </c:pt>
                <c:pt idx="104">
                  <c:v>525</c:v>
                </c:pt>
                <c:pt idx="105">
                  <c:v>526</c:v>
                </c:pt>
                <c:pt idx="106">
                  <c:v>527</c:v>
                </c:pt>
                <c:pt idx="107">
                  <c:v>528</c:v>
                </c:pt>
                <c:pt idx="108">
                  <c:v>529</c:v>
                </c:pt>
                <c:pt idx="109">
                  <c:v>530</c:v>
                </c:pt>
                <c:pt idx="110">
                  <c:v>531</c:v>
                </c:pt>
                <c:pt idx="111">
                  <c:v>532</c:v>
                </c:pt>
                <c:pt idx="112">
                  <c:v>533</c:v>
                </c:pt>
                <c:pt idx="113">
                  <c:v>534</c:v>
                </c:pt>
                <c:pt idx="114">
                  <c:v>535</c:v>
                </c:pt>
                <c:pt idx="115">
                  <c:v>536</c:v>
                </c:pt>
                <c:pt idx="116">
                  <c:v>537</c:v>
                </c:pt>
                <c:pt idx="117">
                  <c:v>538</c:v>
                </c:pt>
                <c:pt idx="118">
                  <c:v>539</c:v>
                </c:pt>
                <c:pt idx="119">
                  <c:v>540</c:v>
                </c:pt>
                <c:pt idx="120">
                  <c:v>541</c:v>
                </c:pt>
                <c:pt idx="121">
                  <c:v>542</c:v>
                </c:pt>
                <c:pt idx="122">
                  <c:v>543</c:v>
                </c:pt>
                <c:pt idx="123">
                  <c:v>544</c:v>
                </c:pt>
                <c:pt idx="124">
                  <c:v>545</c:v>
                </c:pt>
                <c:pt idx="125">
                  <c:v>546</c:v>
                </c:pt>
                <c:pt idx="126">
                  <c:v>547</c:v>
                </c:pt>
                <c:pt idx="127">
                  <c:v>548</c:v>
                </c:pt>
                <c:pt idx="128">
                  <c:v>549</c:v>
                </c:pt>
                <c:pt idx="129">
                  <c:v>550</c:v>
                </c:pt>
                <c:pt idx="130">
                  <c:v>551</c:v>
                </c:pt>
                <c:pt idx="131">
                  <c:v>552</c:v>
                </c:pt>
                <c:pt idx="132">
                  <c:v>553</c:v>
                </c:pt>
                <c:pt idx="133">
                  <c:v>554</c:v>
                </c:pt>
                <c:pt idx="134">
                  <c:v>555</c:v>
                </c:pt>
                <c:pt idx="135">
                  <c:v>556</c:v>
                </c:pt>
                <c:pt idx="136">
                  <c:v>557</c:v>
                </c:pt>
                <c:pt idx="137">
                  <c:v>558</c:v>
                </c:pt>
                <c:pt idx="138">
                  <c:v>559</c:v>
                </c:pt>
                <c:pt idx="139">
                  <c:v>560</c:v>
                </c:pt>
                <c:pt idx="140">
                  <c:v>561</c:v>
                </c:pt>
                <c:pt idx="141">
                  <c:v>562</c:v>
                </c:pt>
                <c:pt idx="142">
                  <c:v>563</c:v>
                </c:pt>
                <c:pt idx="143">
                  <c:v>564</c:v>
                </c:pt>
                <c:pt idx="144">
                  <c:v>565</c:v>
                </c:pt>
                <c:pt idx="145">
                  <c:v>566</c:v>
                </c:pt>
                <c:pt idx="146">
                  <c:v>567</c:v>
                </c:pt>
                <c:pt idx="147">
                  <c:v>568</c:v>
                </c:pt>
                <c:pt idx="148">
                  <c:v>569</c:v>
                </c:pt>
                <c:pt idx="149">
                  <c:v>570</c:v>
                </c:pt>
                <c:pt idx="150">
                  <c:v>571</c:v>
                </c:pt>
                <c:pt idx="151">
                  <c:v>572</c:v>
                </c:pt>
                <c:pt idx="152">
                  <c:v>573</c:v>
                </c:pt>
                <c:pt idx="153">
                  <c:v>574</c:v>
                </c:pt>
                <c:pt idx="154">
                  <c:v>575</c:v>
                </c:pt>
                <c:pt idx="155">
                  <c:v>576</c:v>
                </c:pt>
                <c:pt idx="156">
                  <c:v>577</c:v>
                </c:pt>
                <c:pt idx="157">
                  <c:v>578</c:v>
                </c:pt>
                <c:pt idx="158">
                  <c:v>579</c:v>
                </c:pt>
                <c:pt idx="159">
                  <c:v>580</c:v>
                </c:pt>
                <c:pt idx="160">
                  <c:v>581</c:v>
                </c:pt>
                <c:pt idx="161">
                  <c:v>582</c:v>
                </c:pt>
                <c:pt idx="162">
                  <c:v>583</c:v>
                </c:pt>
                <c:pt idx="163">
                  <c:v>584</c:v>
                </c:pt>
                <c:pt idx="164">
                  <c:v>585</c:v>
                </c:pt>
                <c:pt idx="165">
                  <c:v>586</c:v>
                </c:pt>
                <c:pt idx="166">
                  <c:v>587</c:v>
                </c:pt>
                <c:pt idx="167">
                  <c:v>588</c:v>
                </c:pt>
                <c:pt idx="168">
                  <c:v>589</c:v>
                </c:pt>
                <c:pt idx="169">
                  <c:v>590</c:v>
                </c:pt>
                <c:pt idx="170">
                  <c:v>591</c:v>
                </c:pt>
                <c:pt idx="171">
                  <c:v>592</c:v>
                </c:pt>
                <c:pt idx="172">
                  <c:v>593</c:v>
                </c:pt>
                <c:pt idx="173">
                  <c:v>594</c:v>
                </c:pt>
                <c:pt idx="174">
                  <c:v>595</c:v>
                </c:pt>
                <c:pt idx="175">
                  <c:v>596</c:v>
                </c:pt>
                <c:pt idx="176">
                  <c:v>597</c:v>
                </c:pt>
                <c:pt idx="177">
                  <c:v>598</c:v>
                </c:pt>
                <c:pt idx="178">
                  <c:v>599</c:v>
                </c:pt>
                <c:pt idx="179">
                  <c:v>600</c:v>
                </c:pt>
                <c:pt idx="180">
                  <c:v>601</c:v>
                </c:pt>
                <c:pt idx="181">
                  <c:v>602</c:v>
                </c:pt>
                <c:pt idx="182">
                  <c:v>603</c:v>
                </c:pt>
                <c:pt idx="183">
                  <c:v>604</c:v>
                </c:pt>
                <c:pt idx="184">
                  <c:v>605</c:v>
                </c:pt>
                <c:pt idx="185">
                  <c:v>606</c:v>
                </c:pt>
                <c:pt idx="186">
                  <c:v>607</c:v>
                </c:pt>
                <c:pt idx="187">
                  <c:v>608</c:v>
                </c:pt>
                <c:pt idx="188">
                  <c:v>609</c:v>
                </c:pt>
                <c:pt idx="189">
                  <c:v>610</c:v>
                </c:pt>
                <c:pt idx="190">
                  <c:v>611</c:v>
                </c:pt>
                <c:pt idx="191">
                  <c:v>612</c:v>
                </c:pt>
                <c:pt idx="192">
                  <c:v>613</c:v>
                </c:pt>
                <c:pt idx="193">
                  <c:v>614</c:v>
                </c:pt>
                <c:pt idx="194">
                  <c:v>615</c:v>
                </c:pt>
                <c:pt idx="195">
                  <c:v>616</c:v>
                </c:pt>
                <c:pt idx="196">
                  <c:v>617</c:v>
                </c:pt>
                <c:pt idx="197">
                  <c:v>618</c:v>
                </c:pt>
                <c:pt idx="198">
                  <c:v>619</c:v>
                </c:pt>
                <c:pt idx="199">
                  <c:v>620</c:v>
                </c:pt>
                <c:pt idx="200">
                  <c:v>621</c:v>
                </c:pt>
                <c:pt idx="201">
                  <c:v>622</c:v>
                </c:pt>
                <c:pt idx="202">
                  <c:v>623</c:v>
                </c:pt>
                <c:pt idx="203">
                  <c:v>624</c:v>
                </c:pt>
                <c:pt idx="204">
                  <c:v>625</c:v>
                </c:pt>
                <c:pt idx="205">
                  <c:v>626</c:v>
                </c:pt>
                <c:pt idx="206">
                  <c:v>627</c:v>
                </c:pt>
                <c:pt idx="207">
                  <c:v>628</c:v>
                </c:pt>
                <c:pt idx="208">
                  <c:v>629</c:v>
                </c:pt>
                <c:pt idx="209">
                  <c:v>630</c:v>
                </c:pt>
                <c:pt idx="210">
                  <c:v>631</c:v>
                </c:pt>
                <c:pt idx="211">
                  <c:v>632</c:v>
                </c:pt>
                <c:pt idx="212">
                  <c:v>633</c:v>
                </c:pt>
                <c:pt idx="213">
                  <c:v>634</c:v>
                </c:pt>
                <c:pt idx="214">
                  <c:v>635</c:v>
                </c:pt>
                <c:pt idx="215">
                  <c:v>636</c:v>
                </c:pt>
                <c:pt idx="216">
                  <c:v>637</c:v>
                </c:pt>
                <c:pt idx="217">
                  <c:v>638</c:v>
                </c:pt>
                <c:pt idx="218">
                  <c:v>639</c:v>
                </c:pt>
                <c:pt idx="219">
                  <c:v>640</c:v>
                </c:pt>
                <c:pt idx="220">
                  <c:v>641</c:v>
                </c:pt>
                <c:pt idx="221">
                  <c:v>642</c:v>
                </c:pt>
                <c:pt idx="222">
                  <c:v>643</c:v>
                </c:pt>
                <c:pt idx="223">
                  <c:v>644</c:v>
                </c:pt>
                <c:pt idx="224">
                  <c:v>645</c:v>
                </c:pt>
                <c:pt idx="225">
                  <c:v>646</c:v>
                </c:pt>
                <c:pt idx="226">
                  <c:v>647</c:v>
                </c:pt>
                <c:pt idx="227">
                  <c:v>648</c:v>
                </c:pt>
                <c:pt idx="228">
                  <c:v>649</c:v>
                </c:pt>
                <c:pt idx="229">
                  <c:v>650</c:v>
                </c:pt>
                <c:pt idx="230">
                  <c:v>651</c:v>
                </c:pt>
                <c:pt idx="231">
                  <c:v>652</c:v>
                </c:pt>
                <c:pt idx="232">
                  <c:v>653</c:v>
                </c:pt>
                <c:pt idx="233">
                  <c:v>654</c:v>
                </c:pt>
                <c:pt idx="234">
                  <c:v>655</c:v>
                </c:pt>
                <c:pt idx="235">
                  <c:v>656</c:v>
                </c:pt>
                <c:pt idx="236">
                  <c:v>657</c:v>
                </c:pt>
                <c:pt idx="237">
                  <c:v>658</c:v>
                </c:pt>
                <c:pt idx="238">
                  <c:v>659</c:v>
                </c:pt>
                <c:pt idx="239">
                  <c:v>660</c:v>
                </c:pt>
                <c:pt idx="240">
                  <c:v>661</c:v>
                </c:pt>
                <c:pt idx="241">
                  <c:v>662</c:v>
                </c:pt>
                <c:pt idx="242">
                  <c:v>663</c:v>
                </c:pt>
                <c:pt idx="243">
                  <c:v>664</c:v>
                </c:pt>
                <c:pt idx="244">
                  <c:v>665</c:v>
                </c:pt>
                <c:pt idx="245">
                  <c:v>666</c:v>
                </c:pt>
                <c:pt idx="246">
                  <c:v>667</c:v>
                </c:pt>
                <c:pt idx="247">
                  <c:v>668</c:v>
                </c:pt>
                <c:pt idx="248">
                  <c:v>669</c:v>
                </c:pt>
                <c:pt idx="249">
                  <c:v>670</c:v>
                </c:pt>
                <c:pt idx="250">
                  <c:v>671</c:v>
                </c:pt>
                <c:pt idx="251">
                  <c:v>672</c:v>
                </c:pt>
                <c:pt idx="252">
                  <c:v>673</c:v>
                </c:pt>
                <c:pt idx="253">
                  <c:v>674</c:v>
                </c:pt>
                <c:pt idx="254">
                  <c:v>675</c:v>
                </c:pt>
                <c:pt idx="255">
                  <c:v>676</c:v>
                </c:pt>
                <c:pt idx="256">
                  <c:v>677</c:v>
                </c:pt>
                <c:pt idx="257">
                  <c:v>678</c:v>
                </c:pt>
                <c:pt idx="258">
                  <c:v>679</c:v>
                </c:pt>
                <c:pt idx="259">
                  <c:v>680</c:v>
                </c:pt>
                <c:pt idx="260">
                  <c:v>681</c:v>
                </c:pt>
                <c:pt idx="261">
                  <c:v>682</c:v>
                </c:pt>
                <c:pt idx="262">
                  <c:v>683</c:v>
                </c:pt>
                <c:pt idx="263">
                  <c:v>684</c:v>
                </c:pt>
                <c:pt idx="264">
                  <c:v>685</c:v>
                </c:pt>
                <c:pt idx="265">
                  <c:v>686</c:v>
                </c:pt>
                <c:pt idx="266">
                  <c:v>687</c:v>
                </c:pt>
                <c:pt idx="267">
                  <c:v>688</c:v>
                </c:pt>
                <c:pt idx="268">
                  <c:v>689</c:v>
                </c:pt>
                <c:pt idx="269">
                  <c:v>690</c:v>
                </c:pt>
                <c:pt idx="270">
                  <c:v>691</c:v>
                </c:pt>
                <c:pt idx="271">
                  <c:v>692</c:v>
                </c:pt>
                <c:pt idx="272">
                  <c:v>693</c:v>
                </c:pt>
                <c:pt idx="273">
                  <c:v>694</c:v>
                </c:pt>
                <c:pt idx="274">
                  <c:v>695</c:v>
                </c:pt>
                <c:pt idx="275">
                  <c:v>696</c:v>
                </c:pt>
                <c:pt idx="276">
                  <c:v>697</c:v>
                </c:pt>
                <c:pt idx="277">
                  <c:v>698</c:v>
                </c:pt>
                <c:pt idx="278">
                  <c:v>699</c:v>
                </c:pt>
                <c:pt idx="279">
                  <c:v>700</c:v>
                </c:pt>
                <c:pt idx="280">
                  <c:v>701</c:v>
                </c:pt>
                <c:pt idx="281">
                  <c:v>702</c:v>
                </c:pt>
                <c:pt idx="282">
                  <c:v>703</c:v>
                </c:pt>
                <c:pt idx="283">
                  <c:v>704</c:v>
                </c:pt>
                <c:pt idx="284">
                  <c:v>705</c:v>
                </c:pt>
                <c:pt idx="285">
                  <c:v>706</c:v>
                </c:pt>
                <c:pt idx="286">
                  <c:v>707</c:v>
                </c:pt>
                <c:pt idx="287">
                  <c:v>708</c:v>
                </c:pt>
                <c:pt idx="288">
                  <c:v>709</c:v>
                </c:pt>
                <c:pt idx="289">
                  <c:v>710</c:v>
                </c:pt>
                <c:pt idx="290">
                  <c:v>711</c:v>
                </c:pt>
                <c:pt idx="291">
                  <c:v>712</c:v>
                </c:pt>
                <c:pt idx="292">
                  <c:v>713</c:v>
                </c:pt>
                <c:pt idx="293">
                  <c:v>714</c:v>
                </c:pt>
                <c:pt idx="294">
                  <c:v>715</c:v>
                </c:pt>
                <c:pt idx="295">
                  <c:v>716</c:v>
                </c:pt>
                <c:pt idx="296">
                  <c:v>717</c:v>
                </c:pt>
                <c:pt idx="297">
                  <c:v>718</c:v>
                </c:pt>
                <c:pt idx="298">
                  <c:v>719</c:v>
                </c:pt>
                <c:pt idx="299">
                  <c:v>720</c:v>
                </c:pt>
                <c:pt idx="300">
                  <c:v>721</c:v>
                </c:pt>
                <c:pt idx="301">
                  <c:v>722</c:v>
                </c:pt>
                <c:pt idx="302">
                  <c:v>723</c:v>
                </c:pt>
                <c:pt idx="303">
                  <c:v>724</c:v>
                </c:pt>
                <c:pt idx="304">
                  <c:v>725</c:v>
                </c:pt>
                <c:pt idx="305">
                  <c:v>726</c:v>
                </c:pt>
                <c:pt idx="306">
                  <c:v>727</c:v>
                </c:pt>
                <c:pt idx="307">
                  <c:v>728</c:v>
                </c:pt>
                <c:pt idx="308">
                  <c:v>729</c:v>
                </c:pt>
                <c:pt idx="309">
                  <c:v>730</c:v>
                </c:pt>
                <c:pt idx="310">
                  <c:v>731</c:v>
                </c:pt>
                <c:pt idx="311">
                  <c:v>732</c:v>
                </c:pt>
                <c:pt idx="312">
                  <c:v>733</c:v>
                </c:pt>
                <c:pt idx="313">
                  <c:v>734</c:v>
                </c:pt>
                <c:pt idx="314">
                  <c:v>735</c:v>
                </c:pt>
                <c:pt idx="315">
                  <c:v>736</c:v>
                </c:pt>
                <c:pt idx="316">
                  <c:v>737</c:v>
                </c:pt>
                <c:pt idx="317">
                  <c:v>738</c:v>
                </c:pt>
                <c:pt idx="318">
                  <c:v>739</c:v>
                </c:pt>
                <c:pt idx="319">
                  <c:v>740</c:v>
                </c:pt>
                <c:pt idx="320">
                  <c:v>741</c:v>
                </c:pt>
                <c:pt idx="321">
                  <c:v>742</c:v>
                </c:pt>
                <c:pt idx="322">
                  <c:v>743</c:v>
                </c:pt>
                <c:pt idx="323">
                  <c:v>744</c:v>
                </c:pt>
                <c:pt idx="324">
                  <c:v>745</c:v>
                </c:pt>
                <c:pt idx="325">
                  <c:v>746</c:v>
                </c:pt>
                <c:pt idx="326">
                  <c:v>747</c:v>
                </c:pt>
                <c:pt idx="327">
                  <c:v>748</c:v>
                </c:pt>
                <c:pt idx="328">
                  <c:v>749</c:v>
                </c:pt>
                <c:pt idx="329">
                  <c:v>750</c:v>
                </c:pt>
                <c:pt idx="330">
                  <c:v>751</c:v>
                </c:pt>
                <c:pt idx="331">
                  <c:v>752</c:v>
                </c:pt>
                <c:pt idx="332">
                  <c:v>753</c:v>
                </c:pt>
                <c:pt idx="333">
                  <c:v>754</c:v>
                </c:pt>
                <c:pt idx="334">
                  <c:v>755</c:v>
                </c:pt>
                <c:pt idx="335">
                  <c:v>756</c:v>
                </c:pt>
                <c:pt idx="336">
                  <c:v>757</c:v>
                </c:pt>
                <c:pt idx="337">
                  <c:v>758</c:v>
                </c:pt>
                <c:pt idx="338">
                  <c:v>760</c:v>
                </c:pt>
                <c:pt idx="339">
                  <c:v>761</c:v>
                </c:pt>
                <c:pt idx="340">
                  <c:v>762</c:v>
                </c:pt>
                <c:pt idx="341">
                  <c:v>763</c:v>
                </c:pt>
                <c:pt idx="342">
                  <c:v>764</c:v>
                </c:pt>
                <c:pt idx="343">
                  <c:v>765</c:v>
                </c:pt>
                <c:pt idx="344">
                  <c:v>766</c:v>
                </c:pt>
                <c:pt idx="345">
                  <c:v>767</c:v>
                </c:pt>
                <c:pt idx="346">
                  <c:v>768</c:v>
                </c:pt>
                <c:pt idx="347">
                  <c:v>769</c:v>
                </c:pt>
                <c:pt idx="348">
                  <c:v>770</c:v>
                </c:pt>
                <c:pt idx="349">
                  <c:v>771</c:v>
                </c:pt>
                <c:pt idx="350">
                  <c:v>772</c:v>
                </c:pt>
                <c:pt idx="351">
                  <c:v>773</c:v>
                </c:pt>
                <c:pt idx="352">
                  <c:v>774</c:v>
                </c:pt>
                <c:pt idx="353">
                  <c:v>775</c:v>
                </c:pt>
                <c:pt idx="354">
                  <c:v>776</c:v>
                </c:pt>
                <c:pt idx="355">
                  <c:v>777</c:v>
                </c:pt>
                <c:pt idx="356">
                  <c:v>778</c:v>
                </c:pt>
                <c:pt idx="357">
                  <c:v>779</c:v>
                </c:pt>
                <c:pt idx="358">
                  <c:v>780</c:v>
                </c:pt>
                <c:pt idx="359">
                  <c:v>781</c:v>
                </c:pt>
                <c:pt idx="360">
                  <c:v>782</c:v>
                </c:pt>
                <c:pt idx="361">
                  <c:v>783</c:v>
                </c:pt>
                <c:pt idx="362">
                  <c:v>785</c:v>
                </c:pt>
                <c:pt idx="363">
                  <c:v>786</c:v>
                </c:pt>
                <c:pt idx="364">
                  <c:v>787</c:v>
                </c:pt>
                <c:pt idx="365">
                  <c:v>788</c:v>
                </c:pt>
                <c:pt idx="366">
                  <c:v>789</c:v>
                </c:pt>
                <c:pt idx="367">
                  <c:v>790</c:v>
                </c:pt>
                <c:pt idx="368">
                  <c:v>791</c:v>
                </c:pt>
                <c:pt idx="369">
                  <c:v>792</c:v>
                </c:pt>
                <c:pt idx="370">
                  <c:v>793</c:v>
                </c:pt>
                <c:pt idx="371">
                  <c:v>794</c:v>
                </c:pt>
                <c:pt idx="372">
                  <c:v>795</c:v>
                </c:pt>
                <c:pt idx="373">
                  <c:v>796</c:v>
                </c:pt>
                <c:pt idx="374">
                  <c:v>797</c:v>
                </c:pt>
                <c:pt idx="375">
                  <c:v>798</c:v>
                </c:pt>
                <c:pt idx="376">
                  <c:v>799</c:v>
                </c:pt>
                <c:pt idx="377">
                  <c:v>800</c:v>
                </c:pt>
                <c:pt idx="378">
                  <c:v>802</c:v>
                </c:pt>
                <c:pt idx="379">
                  <c:v>803</c:v>
                </c:pt>
                <c:pt idx="380">
                  <c:v>804</c:v>
                </c:pt>
                <c:pt idx="381">
                  <c:v>805</c:v>
                </c:pt>
                <c:pt idx="382">
                  <c:v>806</c:v>
                </c:pt>
                <c:pt idx="383">
                  <c:v>807</c:v>
                </c:pt>
                <c:pt idx="384">
                  <c:v>808</c:v>
                </c:pt>
                <c:pt idx="385">
                  <c:v>809</c:v>
                </c:pt>
                <c:pt idx="386">
                  <c:v>811</c:v>
                </c:pt>
                <c:pt idx="387">
                  <c:v>812</c:v>
                </c:pt>
                <c:pt idx="388">
                  <c:v>813</c:v>
                </c:pt>
                <c:pt idx="389">
                  <c:v>815</c:v>
                </c:pt>
                <c:pt idx="390">
                  <c:v>816</c:v>
                </c:pt>
                <c:pt idx="391">
                  <c:v>817</c:v>
                </c:pt>
                <c:pt idx="392">
                  <c:v>818</c:v>
                </c:pt>
                <c:pt idx="393">
                  <c:v>819</c:v>
                </c:pt>
                <c:pt idx="394">
                  <c:v>820</c:v>
                </c:pt>
                <c:pt idx="395">
                  <c:v>821</c:v>
                </c:pt>
                <c:pt idx="396">
                  <c:v>822</c:v>
                </c:pt>
                <c:pt idx="397">
                  <c:v>823</c:v>
                </c:pt>
                <c:pt idx="398">
                  <c:v>824</c:v>
                </c:pt>
                <c:pt idx="399">
                  <c:v>825</c:v>
                </c:pt>
                <c:pt idx="400">
                  <c:v>826</c:v>
                </c:pt>
                <c:pt idx="401">
                  <c:v>828</c:v>
                </c:pt>
                <c:pt idx="402">
                  <c:v>829</c:v>
                </c:pt>
                <c:pt idx="403">
                  <c:v>831</c:v>
                </c:pt>
                <c:pt idx="404">
                  <c:v>832</c:v>
                </c:pt>
                <c:pt idx="405">
                  <c:v>833</c:v>
                </c:pt>
                <c:pt idx="406">
                  <c:v>834</c:v>
                </c:pt>
                <c:pt idx="407">
                  <c:v>835</c:v>
                </c:pt>
                <c:pt idx="408">
                  <c:v>836</c:v>
                </c:pt>
                <c:pt idx="409">
                  <c:v>838</c:v>
                </c:pt>
                <c:pt idx="410">
                  <c:v>839</c:v>
                </c:pt>
                <c:pt idx="411">
                  <c:v>840</c:v>
                </c:pt>
                <c:pt idx="412">
                  <c:v>841</c:v>
                </c:pt>
                <c:pt idx="413">
                  <c:v>842</c:v>
                </c:pt>
                <c:pt idx="414">
                  <c:v>844</c:v>
                </c:pt>
                <c:pt idx="415">
                  <c:v>845</c:v>
                </c:pt>
                <c:pt idx="416">
                  <c:v>846</c:v>
                </c:pt>
                <c:pt idx="417">
                  <c:v>847</c:v>
                </c:pt>
                <c:pt idx="418">
                  <c:v>849</c:v>
                </c:pt>
                <c:pt idx="419">
                  <c:v>850</c:v>
                </c:pt>
              </c:numCache>
            </c:numRef>
          </c:xVal>
          <c:yVal>
            <c:numRef>
              <c:f>Analysis!$D$80:$D$499</c:f>
              <c:numCache>
                <c:formatCode>General</c:formatCode>
                <c:ptCount val="420"/>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0.5</c:v>
                </c:pt>
                <c:pt idx="17">
                  <c:v>1</c:v>
                </c:pt>
                <c:pt idx="18">
                  <c:v>0.5</c:v>
                </c:pt>
                <c:pt idx="19">
                  <c:v>0.33333333333333331</c:v>
                </c:pt>
                <c:pt idx="20">
                  <c:v>0.5</c:v>
                </c:pt>
                <c:pt idx="21">
                  <c:v>0.33333333333333331</c:v>
                </c:pt>
                <c:pt idx="22">
                  <c:v>0.16666666666666666</c:v>
                </c:pt>
                <c:pt idx="23">
                  <c:v>0.66666666666666663</c:v>
                </c:pt>
                <c:pt idx="24">
                  <c:v>0.33333333333333331</c:v>
                </c:pt>
                <c:pt idx="25">
                  <c:v>1</c:v>
                </c:pt>
                <c:pt idx="26">
                  <c:v>0.25</c:v>
                </c:pt>
                <c:pt idx="27">
                  <c:v>0.33333333333333331</c:v>
                </c:pt>
                <c:pt idx="28">
                  <c:v>0.33333333333333331</c:v>
                </c:pt>
                <c:pt idx="29">
                  <c:v>0.2</c:v>
                </c:pt>
                <c:pt idx="30">
                  <c:v>0.4</c:v>
                </c:pt>
                <c:pt idx="31">
                  <c:v>0.5</c:v>
                </c:pt>
                <c:pt idx="32">
                  <c:v>0.4</c:v>
                </c:pt>
                <c:pt idx="33">
                  <c:v>0.5</c:v>
                </c:pt>
                <c:pt idx="34">
                  <c:v>0.16666666666666666</c:v>
                </c:pt>
                <c:pt idx="35">
                  <c:v>0.33333333333333331</c:v>
                </c:pt>
                <c:pt idx="36">
                  <c:v>0.14285714285714285</c:v>
                </c:pt>
                <c:pt idx="37">
                  <c:v>0.5</c:v>
                </c:pt>
                <c:pt idx="38">
                  <c:v>0.33333333333333331</c:v>
                </c:pt>
                <c:pt idx="39">
                  <c:v>0.16666666666666666</c:v>
                </c:pt>
                <c:pt idx="40">
                  <c:v>0.2</c:v>
                </c:pt>
                <c:pt idx="41">
                  <c:v>0.5</c:v>
                </c:pt>
                <c:pt idx="42">
                  <c:v>0.5</c:v>
                </c:pt>
                <c:pt idx="43">
                  <c:v>0.25</c:v>
                </c:pt>
                <c:pt idx="44">
                  <c:v>0.2</c:v>
                </c:pt>
                <c:pt idx="45">
                  <c:v>0.14285714285714285</c:v>
                </c:pt>
                <c:pt idx="46">
                  <c:v>0.6</c:v>
                </c:pt>
                <c:pt idx="47">
                  <c:v>0.5</c:v>
                </c:pt>
                <c:pt idx="48">
                  <c:v>0.125</c:v>
                </c:pt>
                <c:pt idx="49">
                  <c:v>0.22222222222222221</c:v>
                </c:pt>
                <c:pt idx="50">
                  <c:v>0.4</c:v>
                </c:pt>
                <c:pt idx="51">
                  <c:v>0.5</c:v>
                </c:pt>
                <c:pt idx="52">
                  <c:v>9.0909090909090912E-2</c:v>
                </c:pt>
                <c:pt idx="53">
                  <c:v>0.42857142857142855</c:v>
                </c:pt>
                <c:pt idx="54">
                  <c:v>0.125</c:v>
                </c:pt>
                <c:pt idx="55">
                  <c:v>0.22222222222222221</c:v>
                </c:pt>
                <c:pt idx="56">
                  <c:v>0.66666666666666663</c:v>
                </c:pt>
                <c:pt idx="57">
                  <c:v>0.25</c:v>
                </c:pt>
                <c:pt idx="58">
                  <c:v>0.30769230769230771</c:v>
                </c:pt>
                <c:pt idx="59">
                  <c:v>0.42857142857142855</c:v>
                </c:pt>
                <c:pt idx="60">
                  <c:v>0.29411764705882354</c:v>
                </c:pt>
                <c:pt idx="61">
                  <c:v>0.33333333333333331</c:v>
                </c:pt>
                <c:pt idx="62">
                  <c:v>0.2</c:v>
                </c:pt>
                <c:pt idx="63">
                  <c:v>0.33333333333333331</c:v>
                </c:pt>
                <c:pt idx="64">
                  <c:v>0.2857142857142857</c:v>
                </c:pt>
                <c:pt idx="65">
                  <c:v>0.18181818181818182</c:v>
                </c:pt>
                <c:pt idx="66">
                  <c:v>8.3333333333333329E-2</c:v>
                </c:pt>
                <c:pt idx="67">
                  <c:v>0.1111111111111111</c:v>
                </c:pt>
                <c:pt idx="68">
                  <c:v>0.21428571428571427</c:v>
                </c:pt>
                <c:pt idx="69">
                  <c:v>0.25</c:v>
                </c:pt>
                <c:pt idx="70">
                  <c:v>0.15384615384615385</c:v>
                </c:pt>
                <c:pt idx="71">
                  <c:v>0.2</c:v>
                </c:pt>
                <c:pt idx="72">
                  <c:v>0.2</c:v>
                </c:pt>
                <c:pt idx="73">
                  <c:v>0.16666666666666666</c:v>
                </c:pt>
                <c:pt idx="74">
                  <c:v>7.6923076923076927E-2</c:v>
                </c:pt>
                <c:pt idx="75">
                  <c:v>0.25</c:v>
                </c:pt>
                <c:pt idx="76">
                  <c:v>0.25</c:v>
                </c:pt>
                <c:pt idx="77">
                  <c:v>0.2</c:v>
                </c:pt>
                <c:pt idx="78">
                  <c:v>0.23529411764705882</c:v>
                </c:pt>
                <c:pt idx="79">
                  <c:v>0.2</c:v>
                </c:pt>
                <c:pt idx="80">
                  <c:v>0.18181818181818182</c:v>
                </c:pt>
                <c:pt idx="81">
                  <c:v>5.2631578947368418E-2</c:v>
                </c:pt>
                <c:pt idx="82">
                  <c:v>0.21428571428571427</c:v>
                </c:pt>
                <c:pt idx="83">
                  <c:v>0.35714285714285715</c:v>
                </c:pt>
                <c:pt idx="84">
                  <c:v>0.2</c:v>
                </c:pt>
                <c:pt idx="85">
                  <c:v>6.25E-2</c:v>
                </c:pt>
                <c:pt idx="86">
                  <c:v>0.16666666666666666</c:v>
                </c:pt>
                <c:pt idx="87">
                  <c:v>6.25E-2</c:v>
                </c:pt>
                <c:pt idx="88">
                  <c:v>7.6923076923076927E-2</c:v>
                </c:pt>
                <c:pt idx="89">
                  <c:v>0.2857142857142857</c:v>
                </c:pt>
                <c:pt idx="90">
                  <c:v>0.3125</c:v>
                </c:pt>
                <c:pt idx="91">
                  <c:v>0.16666666666666666</c:v>
                </c:pt>
                <c:pt idx="92">
                  <c:v>0.23529411764705882</c:v>
                </c:pt>
                <c:pt idx="93">
                  <c:v>0.27272727272727271</c:v>
                </c:pt>
                <c:pt idx="94">
                  <c:v>0.3125</c:v>
                </c:pt>
                <c:pt idx="95">
                  <c:v>0.23333333333333334</c:v>
                </c:pt>
                <c:pt idx="96">
                  <c:v>0.45454545454545453</c:v>
                </c:pt>
                <c:pt idx="97">
                  <c:v>0.2</c:v>
                </c:pt>
                <c:pt idx="98">
                  <c:v>0.21428571428571427</c:v>
                </c:pt>
                <c:pt idx="99">
                  <c:v>0.22222222222222221</c:v>
                </c:pt>
                <c:pt idx="100">
                  <c:v>0.19230769230769232</c:v>
                </c:pt>
                <c:pt idx="101">
                  <c:v>0.1111111111111111</c:v>
                </c:pt>
                <c:pt idx="102">
                  <c:v>0.19047619047619047</c:v>
                </c:pt>
                <c:pt idx="103">
                  <c:v>0.31578947368421051</c:v>
                </c:pt>
                <c:pt idx="104">
                  <c:v>0.21052631578947367</c:v>
                </c:pt>
                <c:pt idx="105">
                  <c:v>0.21739130434782608</c:v>
                </c:pt>
                <c:pt idx="106">
                  <c:v>0.2</c:v>
                </c:pt>
                <c:pt idx="107">
                  <c:v>0.18181818181818182</c:v>
                </c:pt>
                <c:pt idx="108">
                  <c:v>0.23333333333333334</c:v>
                </c:pt>
                <c:pt idx="109">
                  <c:v>0.15789473684210525</c:v>
                </c:pt>
                <c:pt idx="110">
                  <c:v>0.19047619047619047</c:v>
                </c:pt>
                <c:pt idx="111">
                  <c:v>0.38461538461538464</c:v>
                </c:pt>
                <c:pt idx="112">
                  <c:v>0.36363636363636365</c:v>
                </c:pt>
                <c:pt idx="113">
                  <c:v>0.26315789473684209</c:v>
                </c:pt>
                <c:pt idx="114">
                  <c:v>0.34482758620689657</c:v>
                </c:pt>
                <c:pt idx="115">
                  <c:v>0.21428571428571427</c:v>
                </c:pt>
                <c:pt idx="116">
                  <c:v>0.2857142857142857</c:v>
                </c:pt>
                <c:pt idx="117">
                  <c:v>0.2</c:v>
                </c:pt>
                <c:pt idx="118">
                  <c:v>0.16</c:v>
                </c:pt>
                <c:pt idx="119">
                  <c:v>0.125</c:v>
                </c:pt>
                <c:pt idx="120">
                  <c:v>7.1428571428571425E-2</c:v>
                </c:pt>
                <c:pt idx="121">
                  <c:v>0.2608695652173913</c:v>
                </c:pt>
                <c:pt idx="122">
                  <c:v>0.12903225806451613</c:v>
                </c:pt>
                <c:pt idx="123">
                  <c:v>0.24</c:v>
                </c:pt>
                <c:pt idx="124">
                  <c:v>0.29166666666666669</c:v>
                </c:pt>
                <c:pt idx="125">
                  <c:v>0.3888888888888889</c:v>
                </c:pt>
                <c:pt idx="126">
                  <c:v>0.36363636363636365</c:v>
                </c:pt>
                <c:pt idx="127">
                  <c:v>0.19047619047619047</c:v>
                </c:pt>
                <c:pt idx="128">
                  <c:v>0.25</c:v>
                </c:pt>
                <c:pt idx="129">
                  <c:v>0.22580645161290322</c:v>
                </c:pt>
                <c:pt idx="130">
                  <c:v>0.2857142857142857</c:v>
                </c:pt>
                <c:pt idx="131">
                  <c:v>0.29411764705882354</c:v>
                </c:pt>
                <c:pt idx="132">
                  <c:v>0.16666666666666666</c:v>
                </c:pt>
                <c:pt idx="133">
                  <c:v>0.1951219512195122</c:v>
                </c:pt>
                <c:pt idx="134">
                  <c:v>0.20689655172413793</c:v>
                </c:pt>
                <c:pt idx="135">
                  <c:v>0.29629629629629628</c:v>
                </c:pt>
                <c:pt idx="136">
                  <c:v>0.14285714285714285</c:v>
                </c:pt>
                <c:pt idx="137">
                  <c:v>0.17391304347826086</c:v>
                </c:pt>
                <c:pt idx="138">
                  <c:v>0.24242424242424243</c:v>
                </c:pt>
                <c:pt idx="139">
                  <c:v>0.15789473684210525</c:v>
                </c:pt>
                <c:pt idx="140">
                  <c:v>0.16</c:v>
                </c:pt>
                <c:pt idx="141">
                  <c:v>0.14814814814814814</c:v>
                </c:pt>
                <c:pt idx="142">
                  <c:v>0.31578947368421051</c:v>
                </c:pt>
                <c:pt idx="143">
                  <c:v>0.28000000000000003</c:v>
                </c:pt>
                <c:pt idx="144">
                  <c:v>0.17391304347826086</c:v>
                </c:pt>
                <c:pt idx="145">
                  <c:v>0.26666666666666666</c:v>
                </c:pt>
                <c:pt idx="146">
                  <c:v>0.1875</c:v>
                </c:pt>
                <c:pt idx="147">
                  <c:v>0.2608695652173913</c:v>
                </c:pt>
                <c:pt idx="148">
                  <c:v>0.27586206896551724</c:v>
                </c:pt>
                <c:pt idx="149">
                  <c:v>0.21739130434782608</c:v>
                </c:pt>
                <c:pt idx="150">
                  <c:v>7.6923076923076927E-2</c:v>
                </c:pt>
                <c:pt idx="151">
                  <c:v>0.21739130434782608</c:v>
                </c:pt>
                <c:pt idx="152">
                  <c:v>0.16129032258064516</c:v>
                </c:pt>
                <c:pt idx="153">
                  <c:v>9.5238095238095233E-2</c:v>
                </c:pt>
                <c:pt idx="154">
                  <c:v>0.16666666666666666</c:v>
                </c:pt>
                <c:pt idx="155">
                  <c:v>0.33333333333333331</c:v>
                </c:pt>
                <c:pt idx="156">
                  <c:v>0.11764705882352941</c:v>
                </c:pt>
                <c:pt idx="157">
                  <c:v>0.22727272727272727</c:v>
                </c:pt>
                <c:pt idx="158">
                  <c:v>0.1891891891891892</c:v>
                </c:pt>
                <c:pt idx="159">
                  <c:v>0.32258064516129031</c:v>
                </c:pt>
                <c:pt idx="160">
                  <c:v>0.28947368421052633</c:v>
                </c:pt>
                <c:pt idx="161">
                  <c:v>0.1111111111111111</c:v>
                </c:pt>
                <c:pt idx="162">
                  <c:v>0.12121212121212122</c:v>
                </c:pt>
                <c:pt idx="163">
                  <c:v>0.18604651162790697</c:v>
                </c:pt>
                <c:pt idx="164">
                  <c:v>0.14285714285714285</c:v>
                </c:pt>
                <c:pt idx="165">
                  <c:v>0.23529411764705882</c:v>
                </c:pt>
                <c:pt idx="166">
                  <c:v>0.19354838709677419</c:v>
                </c:pt>
                <c:pt idx="167">
                  <c:v>0.23529411764705882</c:v>
                </c:pt>
                <c:pt idx="168">
                  <c:v>0.23333333333333334</c:v>
                </c:pt>
                <c:pt idx="169">
                  <c:v>0.16666666666666666</c:v>
                </c:pt>
                <c:pt idx="170">
                  <c:v>0.16129032258064516</c:v>
                </c:pt>
                <c:pt idx="171">
                  <c:v>0.15789473684210525</c:v>
                </c:pt>
                <c:pt idx="172">
                  <c:v>0.13157894736842105</c:v>
                </c:pt>
                <c:pt idx="173">
                  <c:v>0.12121212121212122</c:v>
                </c:pt>
                <c:pt idx="174">
                  <c:v>0.27586206896551724</c:v>
                </c:pt>
                <c:pt idx="175">
                  <c:v>0.23333333333333334</c:v>
                </c:pt>
                <c:pt idx="176">
                  <c:v>0.2</c:v>
                </c:pt>
                <c:pt idx="177">
                  <c:v>0.35294117647058826</c:v>
                </c:pt>
                <c:pt idx="178">
                  <c:v>0.29411764705882354</c:v>
                </c:pt>
                <c:pt idx="179">
                  <c:v>0.15625</c:v>
                </c:pt>
                <c:pt idx="180">
                  <c:v>0.2</c:v>
                </c:pt>
                <c:pt idx="181">
                  <c:v>0.20588235294117646</c:v>
                </c:pt>
                <c:pt idx="182">
                  <c:v>0.30303030303030304</c:v>
                </c:pt>
                <c:pt idx="183">
                  <c:v>0.14705882352941177</c:v>
                </c:pt>
                <c:pt idx="184">
                  <c:v>0.10810810810810811</c:v>
                </c:pt>
                <c:pt idx="185">
                  <c:v>0.22500000000000001</c:v>
                </c:pt>
                <c:pt idx="186">
                  <c:v>0.1388888888888889</c:v>
                </c:pt>
                <c:pt idx="187">
                  <c:v>0.2558139534883721</c:v>
                </c:pt>
                <c:pt idx="188">
                  <c:v>0.16666666666666666</c:v>
                </c:pt>
                <c:pt idx="189">
                  <c:v>0.27586206896551724</c:v>
                </c:pt>
                <c:pt idx="190">
                  <c:v>0.21052631578947367</c:v>
                </c:pt>
                <c:pt idx="191">
                  <c:v>0.33333333333333331</c:v>
                </c:pt>
                <c:pt idx="192">
                  <c:v>0.14285714285714285</c:v>
                </c:pt>
                <c:pt idx="193">
                  <c:v>0.24324324324324326</c:v>
                </c:pt>
                <c:pt idx="194">
                  <c:v>0.17142857142857143</c:v>
                </c:pt>
                <c:pt idx="195">
                  <c:v>0.27027027027027029</c:v>
                </c:pt>
                <c:pt idx="196">
                  <c:v>0.19354838709677419</c:v>
                </c:pt>
                <c:pt idx="197">
                  <c:v>0.32142857142857145</c:v>
                </c:pt>
                <c:pt idx="198">
                  <c:v>0.27272727272727271</c:v>
                </c:pt>
                <c:pt idx="199">
                  <c:v>0.12121212121212122</c:v>
                </c:pt>
                <c:pt idx="200">
                  <c:v>0.24242424242424243</c:v>
                </c:pt>
                <c:pt idx="201">
                  <c:v>0.22222222222222221</c:v>
                </c:pt>
                <c:pt idx="202">
                  <c:v>0.125</c:v>
                </c:pt>
                <c:pt idx="203">
                  <c:v>0.1891891891891892</c:v>
                </c:pt>
                <c:pt idx="204">
                  <c:v>0.30232558139534882</c:v>
                </c:pt>
                <c:pt idx="205">
                  <c:v>0.2857142857142857</c:v>
                </c:pt>
                <c:pt idx="206">
                  <c:v>0.18181818181818182</c:v>
                </c:pt>
                <c:pt idx="207">
                  <c:v>0.2558139534883721</c:v>
                </c:pt>
                <c:pt idx="208">
                  <c:v>0.24324324324324326</c:v>
                </c:pt>
                <c:pt idx="209">
                  <c:v>0.21052631578947367</c:v>
                </c:pt>
                <c:pt idx="210">
                  <c:v>0.12121212121212122</c:v>
                </c:pt>
                <c:pt idx="211">
                  <c:v>0.21428571428571427</c:v>
                </c:pt>
                <c:pt idx="212">
                  <c:v>8.8888888888888892E-2</c:v>
                </c:pt>
                <c:pt idx="213">
                  <c:v>0.2</c:v>
                </c:pt>
                <c:pt idx="214">
                  <c:v>0.21428571428571427</c:v>
                </c:pt>
                <c:pt idx="215">
                  <c:v>0.22222222222222221</c:v>
                </c:pt>
                <c:pt idx="216">
                  <c:v>0.30434782608695654</c:v>
                </c:pt>
                <c:pt idx="217">
                  <c:v>0.29411764705882354</c:v>
                </c:pt>
                <c:pt idx="218">
                  <c:v>2.7027027027027029E-2</c:v>
                </c:pt>
                <c:pt idx="219">
                  <c:v>0.14893617021276595</c:v>
                </c:pt>
                <c:pt idx="220">
                  <c:v>0.18421052631578946</c:v>
                </c:pt>
                <c:pt idx="221">
                  <c:v>0.16216216216216217</c:v>
                </c:pt>
                <c:pt idx="222">
                  <c:v>0.125</c:v>
                </c:pt>
                <c:pt idx="223">
                  <c:v>0.28205128205128205</c:v>
                </c:pt>
                <c:pt idx="224">
                  <c:v>0.24444444444444444</c:v>
                </c:pt>
                <c:pt idx="225">
                  <c:v>0.22727272727272727</c:v>
                </c:pt>
                <c:pt idx="226">
                  <c:v>0.22580645161290322</c:v>
                </c:pt>
                <c:pt idx="227">
                  <c:v>0.25</c:v>
                </c:pt>
                <c:pt idx="228">
                  <c:v>0.16666666666666666</c:v>
                </c:pt>
                <c:pt idx="229">
                  <c:v>0.21621621621621623</c:v>
                </c:pt>
                <c:pt idx="230">
                  <c:v>0.34</c:v>
                </c:pt>
                <c:pt idx="231">
                  <c:v>0.16666666666666666</c:v>
                </c:pt>
                <c:pt idx="232">
                  <c:v>0.1891891891891892</c:v>
                </c:pt>
                <c:pt idx="233">
                  <c:v>0.1</c:v>
                </c:pt>
                <c:pt idx="234">
                  <c:v>0.20370370370370369</c:v>
                </c:pt>
                <c:pt idx="235">
                  <c:v>0.10256410256410256</c:v>
                </c:pt>
                <c:pt idx="236">
                  <c:v>0.21875</c:v>
                </c:pt>
                <c:pt idx="237">
                  <c:v>0.14705882352941177</c:v>
                </c:pt>
                <c:pt idx="238">
                  <c:v>0.23684210526315788</c:v>
                </c:pt>
                <c:pt idx="239">
                  <c:v>0.14583333333333334</c:v>
                </c:pt>
                <c:pt idx="240">
                  <c:v>0.22857142857142856</c:v>
                </c:pt>
                <c:pt idx="241">
                  <c:v>0.16216216216216217</c:v>
                </c:pt>
                <c:pt idx="242">
                  <c:v>0.1702127659574468</c:v>
                </c:pt>
                <c:pt idx="243">
                  <c:v>0.21875</c:v>
                </c:pt>
                <c:pt idx="244">
                  <c:v>0.24242424242424243</c:v>
                </c:pt>
                <c:pt idx="245">
                  <c:v>0.18421052631578946</c:v>
                </c:pt>
                <c:pt idx="246">
                  <c:v>0.20754716981132076</c:v>
                </c:pt>
                <c:pt idx="247">
                  <c:v>0.22857142857142856</c:v>
                </c:pt>
                <c:pt idx="248">
                  <c:v>0.19444444444444445</c:v>
                </c:pt>
                <c:pt idx="249">
                  <c:v>0.16</c:v>
                </c:pt>
                <c:pt idx="250">
                  <c:v>0.11764705882352941</c:v>
                </c:pt>
                <c:pt idx="251">
                  <c:v>0.25925925925925924</c:v>
                </c:pt>
                <c:pt idx="252">
                  <c:v>0.14285714285714285</c:v>
                </c:pt>
                <c:pt idx="253">
                  <c:v>0.2</c:v>
                </c:pt>
                <c:pt idx="254">
                  <c:v>0.24324324324324326</c:v>
                </c:pt>
                <c:pt idx="255">
                  <c:v>0.16666666666666666</c:v>
                </c:pt>
                <c:pt idx="256">
                  <c:v>0.14285714285714285</c:v>
                </c:pt>
                <c:pt idx="257">
                  <c:v>0.20634920634920634</c:v>
                </c:pt>
                <c:pt idx="258">
                  <c:v>8.8888888888888892E-2</c:v>
                </c:pt>
                <c:pt idx="259">
                  <c:v>0.17499999999999999</c:v>
                </c:pt>
                <c:pt idx="260">
                  <c:v>0.10256410256410256</c:v>
                </c:pt>
                <c:pt idx="261">
                  <c:v>0.1702127659574468</c:v>
                </c:pt>
                <c:pt idx="262">
                  <c:v>0.14583333333333334</c:v>
                </c:pt>
                <c:pt idx="263">
                  <c:v>0.17307692307692307</c:v>
                </c:pt>
                <c:pt idx="264">
                  <c:v>0.14285714285714285</c:v>
                </c:pt>
                <c:pt idx="265">
                  <c:v>0.15555555555555556</c:v>
                </c:pt>
                <c:pt idx="266">
                  <c:v>0.17777777777777778</c:v>
                </c:pt>
                <c:pt idx="267">
                  <c:v>0.26666666666666666</c:v>
                </c:pt>
                <c:pt idx="268">
                  <c:v>0.27272727272727271</c:v>
                </c:pt>
                <c:pt idx="269">
                  <c:v>0.13793103448275862</c:v>
                </c:pt>
                <c:pt idx="270">
                  <c:v>0.23529411764705882</c:v>
                </c:pt>
                <c:pt idx="271">
                  <c:v>0.3125</c:v>
                </c:pt>
                <c:pt idx="272">
                  <c:v>0.24242424242424243</c:v>
                </c:pt>
                <c:pt idx="273">
                  <c:v>0.12121212121212122</c:v>
                </c:pt>
                <c:pt idx="274">
                  <c:v>0.13513513513513514</c:v>
                </c:pt>
                <c:pt idx="275">
                  <c:v>7.8947368421052627E-2</c:v>
                </c:pt>
                <c:pt idx="276">
                  <c:v>0.25</c:v>
                </c:pt>
                <c:pt idx="277">
                  <c:v>0.29268292682926828</c:v>
                </c:pt>
                <c:pt idx="278">
                  <c:v>0.15</c:v>
                </c:pt>
                <c:pt idx="279">
                  <c:v>0.15625</c:v>
                </c:pt>
                <c:pt idx="280">
                  <c:v>4.878048780487805E-2</c:v>
                </c:pt>
                <c:pt idx="281">
                  <c:v>0.18518518518518517</c:v>
                </c:pt>
                <c:pt idx="282">
                  <c:v>0.15625</c:v>
                </c:pt>
                <c:pt idx="283">
                  <c:v>0.26470588235294118</c:v>
                </c:pt>
                <c:pt idx="284">
                  <c:v>0.30188679245283018</c:v>
                </c:pt>
                <c:pt idx="285">
                  <c:v>0.25</c:v>
                </c:pt>
                <c:pt idx="286">
                  <c:v>0.22222222222222221</c:v>
                </c:pt>
                <c:pt idx="287">
                  <c:v>0.2857142857142857</c:v>
                </c:pt>
                <c:pt idx="288">
                  <c:v>8.3333333333333329E-2</c:v>
                </c:pt>
                <c:pt idx="289">
                  <c:v>0.22222222222222221</c:v>
                </c:pt>
                <c:pt idx="290">
                  <c:v>0.12820512820512819</c:v>
                </c:pt>
                <c:pt idx="291">
                  <c:v>9.7560975609756101E-2</c:v>
                </c:pt>
                <c:pt idx="292">
                  <c:v>0.34615384615384615</c:v>
                </c:pt>
                <c:pt idx="293">
                  <c:v>0.13333333333333333</c:v>
                </c:pt>
                <c:pt idx="294">
                  <c:v>0.18518518518518517</c:v>
                </c:pt>
                <c:pt idx="295">
                  <c:v>0.18518518518518517</c:v>
                </c:pt>
                <c:pt idx="296">
                  <c:v>0.14705882352941177</c:v>
                </c:pt>
                <c:pt idx="297">
                  <c:v>7.8947368421052627E-2</c:v>
                </c:pt>
                <c:pt idx="298">
                  <c:v>0.18518518518518517</c:v>
                </c:pt>
                <c:pt idx="299">
                  <c:v>0.32142857142857145</c:v>
                </c:pt>
                <c:pt idx="300">
                  <c:v>0.1875</c:v>
                </c:pt>
                <c:pt idx="301">
                  <c:v>0.22727272727272727</c:v>
                </c:pt>
                <c:pt idx="302">
                  <c:v>0.25</c:v>
                </c:pt>
                <c:pt idx="303">
                  <c:v>0.13513513513513514</c:v>
                </c:pt>
                <c:pt idx="304">
                  <c:v>0.1111111111111111</c:v>
                </c:pt>
                <c:pt idx="305">
                  <c:v>0.13793103448275862</c:v>
                </c:pt>
                <c:pt idx="306">
                  <c:v>0.3611111111111111</c:v>
                </c:pt>
                <c:pt idx="307">
                  <c:v>0.21739130434782608</c:v>
                </c:pt>
                <c:pt idx="308">
                  <c:v>0.16129032258064516</c:v>
                </c:pt>
                <c:pt idx="309">
                  <c:v>9.0909090909090912E-2</c:v>
                </c:pt>
                <c:pt idx="310">
                  <c:v>0.26470588235294118</c:v>
                </c:pt>
                <c:pt idx="311">
                  <c:v>0.2413793103448276</c:v>
                </c:pt>
                <c:pt idx="312">
                  <c:v>3.3333333333333333E-2</c:v>
                </c:pt>
                <c:pt idx="313">
                  <c:v>0.15</c:v>
                </c:pt>
                <c:pt idx="314">
                  <c:v>0.23076923076923078</c:v>
                </c:pt>
                <c:pt idx="315">
                  <c:v>0.3</c:v>
                </c:pt>
                <c:pt idx="316">
                  <c:v>0.22727272727272727</c:v>
                </c:pt>
                <c:pt idx="317">
                  <c:v>0.25806451612903225</c:v>
                </c:pt>
                <c:pt idx="318">
                  <c:v>0.25925925925925924</c:v>
                </c:pt>
                <c:pt idx="319">
                  <c:v>0.36842105263157893</c:v>
                </c:pt>
                <c:pt idx="320">
                  <c:v>0.14814814814814814</c:v>
                </c:pt>
                <c:pt idx="321">
                  <c:v>0.33333333333333331</c:v>
                </c:pt>
                <c:pt idx="322">
                  <c:v>0.27586206896551724</c:v>
                </c:pt>
                <c:pt idx="323">
                  <c:v>7.1428571428571425E-2</c:v>
                </c:pt>
                <c:pt idx="324">
                  <c:v>0.2413793103448276</c:v>
                </c:pt>
                <c:pt idx="325">
                  <c:v>0.13043478260869565</c:v>
                </c:pt>
                <c:pt idx="326">
                  <c:v>0.40909090909090912</c:v>
                </c:pt>
                <c:pt idx="327">
                  <c:v>0.14285714285714285</c:v>
                </c:pt>
                <c:pt idx="328">
                  <c:v>0.26666666666666666</c:v>
                </c:pt>
                <c:pt idx="329">
                  <c:v>0.32</c:v>
                </c:pt>
                <c:pt idx="330">
                  <c:v>0.14814814814814814</c:v>
                </c:pt>
                <c:pt idx="331">
                  <c:v>0.125</c:v>
                </c:pt>
                <c:pt idx="332">
                  <c:v>0.34615384615384615</c:v>
                </c:pt>
                <c:pt idx="333">
                  <c:v>0.22222222222222221</c:v>
                </c:pt>
                <c:pt idx="334">
                  <c:v>0.125</c:v>
                </c:pt>
                <c:pt idx="335">
                  <c:v>0.23333333333333334</c:v>
                </c:pt>
                <c:pt idx="336">
                  <c:v>0.16666666666666666</c:v>
                </c:pt>
                <c:pt idx="337">
                  <c:v>0.18518518518518517</c:v>
                </c:pt>
                <c:pt idx="338">
                  <c:v>0.26315789473684209</c:v>
                </c:pt>
                <c:pt idx="339">
                  <c:v>9.0909090909090912E-2</c:v>
                </c:pt>
                <c:pt idx="340">
                  <c:v>0.26923076923076922</c:v>
                </c:pt>
                <c:pt idx="341">
                  <c:v>0.2</c:v>
                </c:pt>
                <c:pt idx="342">
                  <c:v>0.17647058823529413</c:v>
                </c:pt>
                <c:pt idx="343">
                  <c:v>0.21052631578947367</c:v>
                </c:pt>
                <c:pt idx="344">
                  <c:v>0.2</c:v>
                </c:pt>
                <c:pt idx="345">
                  <c:v>0.19047619047619047</c:v>
                </c:pt>
                <c:pt idx="346">
                  <c:v>0.33333333333333331</c:v>
                </c:pt>
                <c:pt idx="347">
                  <c:v>0.16666666666666666</c:v>
                </c:pt>
                <c:pt idx="348">
                  <c:v>0.33333333333333331</c:v>
                </c:pt>
                <c:pt idx="349">
                  <c:v>0.31578947368421051</c:v>
                </c:pt>
                <c:pt idx="350">
                  <c:v>0.1875</c:v>
                </c:pt>
                <c:pt idx="351">
                  <c:v>0.11538461538461539</c:v>
                </c:pt>
                <c:pt idx="352">
                  <c:v>0.16666666666666666</c:v>
                </c:pt>
                <c:pt idx="353">
                  <c:v>0.14285714285714285</c:v>
                </c:pt>
                <c:pt idx="354">
                  <c:v>5.5555555555555552E-2</c:v>
                </c:pt>
                <c:pt idx="355">
                  <c:v>0.2</c:v>
                </c:pt>
                <c:pt idx="356">
                  <c:v>0.18181818181818182</c:v>
                </c:pt>
                <c:pt idx="357">
                  <c:v>0.3</c:v>
                </c:pt>
                <c:pt idx="358">
                  <c:v>0.27272727272727271</c:v>
                </c:pt>
                <c:pt idx="359">
                  <c:v>0.21052631578947367</c:v>
                </c:pt>
                <c:pt idx="360">
                  <c:v>0.22222222222222221</c:v>
                </c:pt>
                <c:pt idx="361">
                  <c:v>0.27272727272727271</c:v>
                </c:pt>
                <c:pt idx="362">
                  <c:v>0.33333333333333331</c:v>
                </c:pt>
                <c:pt idx="363">
                  <c:v>0.1111111111111111</c:v>
                </c:pt>
                <c:pt idx="364">
                  <c:v>7.1428571428571425E-2</c:v>
                </c:pt>
                <c:pt idx="365">
                  <c:v>0.23076923076923078</c:v>
                </c:pt>
                <c:pt idx="366">
                  <c:v>0.30769230769230771</c:v>
                </c:pt>
                <c:pt idx="367">
                  <c:v>0.17391304347826086</c:v>
                </c:pt>
                <c:pt idx="368">
                  <c:v>0.35714285714285715</c:v>
                </c:pt>
                <c:pt idx="369">
                  <c:v>0.27777777777777779</c:v>
                </c:pt>
                <c:pt idx="370">
                  <c:v>0.16666666666666666</c:v>
                </c:pt>
                <c:pt idx="371">
                  <c:v>0.19047619047619047</c:v>
                </c:pt>
                <c:pt idx="372">
                  <c:v>0.27272727272727271</c:v>
                </c:pt>
                <c:pt idx="373">
                  <c:v>0.13333333333333333</c:v>
                </c:pt>
                <c:pt idx="374">
                  <c:v>7.1428571428571425E-2</c:v>
                </c:pt>
                <c:pt idx="375">
                  <c:v>0.23076923076923078</c:v>
                </c:pt>
                <c:pt idx="376">
                  <c:v>0.16666666666666666</c:v>
                </c:pt>
                <c:pt idx="377">
                  <c:v>0.1</c:v>
                </c:pt>
                <c:pt idx="378">
                  <c:v>0.14285714285714285</c:v>
                </c:pt>
                <c:pt idx="379">
                  <c:v>0.2</c:v>
                </c:pt>
                <c:pt idx="380">
                  <c:v>0.125</c:v>
                </c:pt>
                <c:pt idx="381">
                  <c:v>0.41666666666666669</c:v>
                </c:pt>
                <c:pt idx="382">
                  <c:v>6.6666666666666666E-2</c:v>
                </c:pt>
                <c:pt idx="383">
                  <c:v>0.21052631578947367</c:v>
                </c:pt>
                <c:pt idx="384">
                  <c:v>0.1</c:v>
                </c:pt>
                <c:pt idx="385">
                  <c:v>0.2</c:v>
                </c:pt>
                <c:pt idx="386">
                  <c:v>0.15384615384615385</c:v>
                </c:pt>
                <c:pt idx="387">
                  <c:v>0.25</c:v>
                </c:pt>
                <c:pt idx="388">
                  <c:v>0.27272727272727271</c:v>
                </c:pt>
                <c:pt idx="389">
                  <c:v>0.27272727272727271</c:v>
                </c:pt>
                <c:pt idx="390">
                  <c:v>0.16666666666666666</c:v>
                </c:pt>
                <c:pt idx="391">
                  <c:v>0.44444444444444442</c:v>
                </c:pt>
                <c:pt idx="392">
                  <c:v>0.16666666666666666</c:v>
                </c:pt>
                <c:pt idx="393">
                  <c:v>0.33333333333333331</c:v>
                </c:pt>
                <c:pt idx="394">
                  <c:v>0.25</c:v>
                </c:pt>
                <c:pt idx="395">
                  <c:v>0.125</c:v>
                </c:pt>
                <c:pt idx="396">
                  <c:v>0.2</c:v>
                </c:pt>
                <c:pt idx="397">
                  <c:v>0.2857142857142857</c:v>
                </c:pt>
                <c:pt idx="398">
                  <c:v>0.2857142857142857</c:v>
                </c:pt>
                <c:pt idx="399">
                  <c:v>0.125</c:v>
                </c:pt>
                <c:pt idx="400">
                  <c:v>0.2857142857142857</c:v>
                </c:pt>
                <c:pt idx="401">
                  <c:v>0.1</c:v>
                </c:pt>
                <c:pt idx="402">
                  <c:v>0.375</c:v>
                </c:pt>
                <c:pt idx="403">
                  <c:v>0.16666666666666666</c:v>
                </c:pt>
                <c:pt idx="404">
                  <c:v>0.16666666666666666</c:v>
                </c:pt>
                <c:pt idx="405">
                  <c:v>0.22222222222222221</c:v>
                </c:pt>
                <c:pt idx="406">
                  <c:v>0.27272727272727271</c:v>
                </c:pt>
                <c:pt idx="407">
                  <c:v>0.25</c:v>
                </c:pt>
                <c:pt idx="408">
                  <c:v>0.2</c:v>
                </c:pt>
                <c:pt idx="409">
                  <c:v>0.125</c:v>
                </c:pt>
                <c:pt idx="410">
                  <c:v>0.66666666666666663</c:v>
                </c:pt>
                <c:pt idx="411">
                  <c:v>0.2</c:v>
                </c:pt>
                <c:pt idx="412">
                  <c:v>0.16666666666666666</c:v>
                </c:pt>
                <c:pt idx="413">
                  <c:v>0.42857142857142855</c:v>
                </c:pt>
                <c:pt idx="414">
                  <c:v>0.42857142857142855</c:v>
                </c:pt>
                <c:pt idx="415">
                  <c:v>0.16666666666666666</c:v>
                </c:pt>
                <c:pt idx="416">
                  <c:v>0.4</c:v>
                </c:pt>
                <c:pt idx="417">
                  <c:v>0.33333333333333331</c:v>
                </c:pt>
                <c:pt idx="418">
                  <c:v>0.25</c:v>
                </c:pt>
                <c:pt idx="419">
                  <c:v>0.18454935622317598</c:v>
                </c:pt>
              </c:numCache>
            </c:numRef>
          </c:yVal>
          <c:smooth val="0"/>
          <c:extLst>
            <c:ext xmlns:c16="http://schemas.microsoft.com/office/drawing/2014/chart" uri="{C3380CC4-5D6E-409C-BE32-E72D297353CC}">
              <c16:uniqueId val="{00000001-BC6D-4C46-B55C-36CEB0964979}"/>
            </c:ext>
          </c:extLst>
        </c:ser>
        <c:dLbls>
          <c:showLegendKey val="0"/>
          <c:showVal val="0"/>
          <c:showCatName val="0"/>
          <c:showSerName val="0"/>
          <c:showPercent val="0"/>
          <c:showBubbleSize val="0"/>
        </c:dLbls>
        <c:axId val="162225200"/>
        <c:axId val="162248240"/>
      </c:scatterChart>
      <c:valAx>
        <c:axId val="16222520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48240"/>
        <c:crosses val="autoZero"/>
        <c:crossBetween val="midCat"/>
      </c:valAx>
      <c:valAx>
        <c:axId val="162248240"/>
        <c:scaling>
          <c:orientation val="minMax"/>
        </c:scaling>
        <c:delete val="0"/>
        <c:axPos val="l"/>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25200"/>
        <c:crosses val="autoZero"/>
        <c:crossBetween val="midCat"/>
      </c:valAx>
    </c:plotArea>
    <c:plotVisOnly val="1"/>
    <c:dispBlanksAs val="gap"/>
    <c:showDLblsOverMax val="0"/>
  </c:chart>
  <c:spPr>
    <a:noFill/>
    <a:ln>
      <a:noFill/>
    </a:ln>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[bank churn Analysis project.xlsx]Analysis!PivotTable17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50" b="0" i="0" u="none" strike="noStrike" kern="1200" spc="0" baseline="0">
                <a:solidFill>
                  <a:sysClr val="windowText" lastClr="000000">
                    <a:lumMod val="65000"/>
                    <a:lumOff val="35000"/>
                  </a:sysClr>
                </a:solidFill>
              </a:rPr>
              <a:t># of Customers Vs </a:t>
            </a:r>
            <a:r>
              <a:rPr lang="en-US" sz="1050" b="1" i="0" u="none" strike="noStrike" kern="1200" spc="0" baseline="0">
                <a:solidFill>
                  <a:srgbClr val="E70F42"/>
                </a:solidFill>
              </a:rPr>
              <a:t>Churn Rate</a:t>
            </a:r>
            <a:r>
              <a:rPr lang="en-US" sz="1050" b="0" i="0" u="none" strike="noStrike" kern="1200" spc="0" baseline="0">
                <a:solidFill>
                  <a:srgbClr val="E70F42"/>
                </a:solidFill>
              </a:rPr>
              <a:t> </a:t>
            </a:r>
          </a:p>
          <a:p>
            <a:pPr>
              <a:defRPr/>
            </a:pPr>
            <a:r>
              <a:rPr lang="en-US" sz="1050" b="1" i="0" u="none" strike="noStrike" kern="1200" spc="0" baseline="0">
                <a:solidFill>
                  <a:srgbClr val="2F2E3E"/>
                </a:solidFill>
              </a:rPr>
              <a:t>by  Card Type </a:t>
            </a:r>
          </a:p>
        </c:rich>
      </c:tx>
      <c:layout>
        <c:manualLayout>
          <c:xMode val="edge"/>
          <c:yMode val="edge"/>
          <c:x val="0.3201145114294634"/>
          <c:y val="2.744269776985333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E70F42"/>
            </a:solidFill>
            <a:round/>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E70F42"/>
            </a:solidFill>
            <a:round/>
          </a:ln>
          <a:effectLst/>
        </c:spPr>
        <c:marker>
          <c:symbol val="none"/>
        </c:marker>
        <c:dLbl>
          <c:idx val="0"/>
          <c:layout>
            <c:manualLayout>
              <c:x val="2.5196846227813829E-2"/>
              <c:y val="-4.6296296296297994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E70F42"/>
            </a:solidFill>
            <a:round/>
          </a:ln>
          <a:effectLst/>
        </c:spPr>
        <c:marker>
          <c:symbol val="none"/>
        </c:marker>
        <c:dLbl>
          <c:idx val="0"/>
          <c:layout>
            <c:manualLayout>
              <c:x val="3.6395444551286661E-2"/>
              <c:y val="-9.2592592592594287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E70F42"/>
            </a:solidFill>
            <a:round/>
          </a:ln>
          <a:effectLst/>
        </c:spPr>
        <c:marker>
          <c:symbol val="none"/>
        </c:marker>
        <c:dLbl>
          <c:idx val="0"/>
          <c:layout>
            <c:manualLayout>
              <c:x val="-2.799649580868209E-3"/>
              <c:y val="1.3888888888888888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E70F42"/>
            </a:solidFill>
            <a:round/>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E70F42"/>
            </a:solidFill>
            <a:round/>
          </a:ln>
          <a:effectLst/>
        </c:spPr>
        <c:marker>
          <c:symbol val="none"/>
        </c:marker>
        <c:dLbl>
          <c:idx val="0"/>
          <c:layout>
            <c:manualLayout>
              <c:x val="2.5196846227813829E-2"/>
              <c:y val="-4.6296296296297994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E70F42"/>
            </a:solidFill>
            <a:round/>
          </a:ln>
          <a:effectLst/>
        </c:spPr>
        <c:marker>
          <c:symbol val="none"/>
        </c:marker>
        <c:dLbl>
          <c:idx val="0"/>
          <c:layout>
            <c:manualLayout>
              <c:x val="3.6395444551286661E-2"/>
              <c:y val="-9.2592592592594287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E70F42"/>
            </a:solidFill>
            <a:round/>
          </a:ln>
          <a:effectLst/>
        </c:spPr>
        <c:marker>
          <c:symbol val="none"/>
        </c:marker>
        <c:dLbl>
          <c:idx val="0"/>
          <c:layout>
            <c:manualLayout>
              <c:x val="-2.799649580868209E-3"/>
              <c:y val="1.3888888888888888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rgbClr val="E70F42"/>
            </a:solidFill>
            <a:round/>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rgbClr val="E70F42"/>
            </a:solidFill>
            <a:round/>
          </a:ln>
          <a:effectLst/>
        </c:spPr>
        <c:marker>
          <c:symbol val="none"/>
        </c:marker>
        <c:dLbl>
          <c:idx val="0"/>
          <c:layout>
            <c:manualLayout>
              <c:x val="2.5196846227813829E-2"/>
              <c:y val="-4.6296296296297994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rgbClr val="E70F42"/>
            </a:solidFill>
            <a:round/>
          </a:ln>
          <a:effectLst/>
        </c:spPr>
        <c:marker>
          <c:symbol val="none"/>
        </c:marker>
        <c:dLbl>
          <c:idx val="0"/>
          <c:layout>
            <c:manualLayout>
              <c:x val="3.6395444551286661E-2"/>
              <c:y val="-9.2592592592594287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rgbClr val="E70F42"/>
            </a:solidFill>
            <a:round/>
          </a:ln>
          <a:effectLst/>
        </c:spPr>
        <c:marker>
          <c:symbol val="none"/>
        </c:marker>
        <c:dLbl>
          <c:idx val="0"/>
          <c:layout>
            <c:manualLayout>
              <c:x val="-2.799649580868209E-3"/>
              <c:y val="1.3888888888888888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layout>
            <c:manualLayout>
              <c:x val="2.5196846227813829E-2"/>
              <c:y val="-4.6296296296297994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layout>
            <c:manualLayout>
              <c:x val="3.6395444551286661E-2"/>
              <c:y val="-9.2592592592594287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layout>
            <c:manualLayout>
              <c:x val="-2.799649580868209E-3"/>
              <c:y val="1.3888888888888888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layout>
            <c:manualLayout>
              <c:x val="2.5196846227813829E-2"/>
              <c:y val="-4.6296296296297994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layout>
            <c:manualLayout>
              <c:x val="3.6395444551286661E-2"/>
              <c:y val="-9.2592592592594287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layout>
            <c:manualLayout>
              <c:x val="-2.799649580868209E-3"/>
              <c:y val="1.3888888888888888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9"/>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layout>
            <c:manualLayout>
              <c:x val="2.5196846227813829E-2"/>
              <c:y val="-4.6296296296297994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layout>
            <c:manualLayout>
              <c:x val="3.6395444551286661E-2"/>
              <c:y val="-9.2592592592594287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noFill/>
            <a:round/>
          </a:ln>
          <a:effectLst/>
        </c:spPr>
        <c:marker>
          <c:symbol val="dash"/>
          <c:size val="30"/>
          <c:spPr>
            <a:solidFill>
              <a:srgbClr val="E70F42"/>
            </a:solidFill>
            <a:ln w="9525">
              <a:solidFill>
                <a:srgbClr val="E70F42"/>
              </a:solidFill>
            </a:ln>
            <a:effectLst/>
          </c:spPr>
        </c:marker>
        <c:dLbl>
          <c:idx val="0"/>
          <c:layout>
            <c:manualLayout>
              <c:x val="-2.799649580868209E-3"/>
              <c:y val="1.3888888888888888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2637979737591275E-2"/>
          <c:y val="0.20612209007909518"/>
          <c:w val="0.80947458733826516"/>
          <c:h val="0.69593887656447651"/>
        </c:manualLayout>
      </c:layout>
      <c:barChart>
        <c:barDir val="col"/>
        <c:grouping val="clustered"/>
        <c:varyColors val="0"/>
        <c:ser>
          <c:idx val="0"/>
          <c:order val="0"/>
          <c:tx>
            <c:strRef>
              <c:f>Analysis!$O$62</c:f>
              <c:strCache>
                <c:ptCount val="1"/>
                <c:pt idx="0">
                  <c:v>Total Customers</c:v>
                </c:pt>
              </c:strCache>
            </c:strRef>
          </c:tx>
          <c:spPr>
            <a:solidFill>
              <a:srgbClr val="2F2E3E"/>
            </a:solidFill>
            <a:ln>
              <a:noFill/>
            </a:ln>
            <a:effectLst/>
          </c:spPr>
          <c:invertIfNegative val="0"/>
          <c:cat>
            <c:strRef>
              <c:f>Analysis!$N$63:$N$66</c:f>
              <c:strCache>
                <c:ptCount val="4"/>
                <c:pt idx="0">
                  <c:v>Diamond</c:v>
                </c:pt>
                <c:pt idx="1">
                  <c:v>Gold</c:v>
                </c:pt>
                <c:pt idx="2">
                  <c:v>Platinum</c:v>
                </c:pt>
                <c:pt idx="3">
                  <c:v>Silver</c:v>
                </c:pt>
              </c:strCache>
            </c:strRef>
          </c:cat>
          <c:val>
            <c:numRef>
              <c:f>Analysis!$O$63:$O$66</c:f>
              <c:numCache>
                <c:formatCode>General</c:formatCode>
                <c:ptCount val="4"/>
                <c:pt idx="0">
                  <c:v>2507</c:v>
                </c:pt>
                <c:pt idx="1">
                  <c:v>2502</c:v>
                </c:pt>
                <c:pt idx="2">
                  <c:v>2495</c:v>
                </c:pt>
                <c:pt idx="3">
                  <c:v>2496</c:v>
                </c:pt>
              </c:numCache>
            </c:numRef>
          </c:val>
          <c:extLst>
            <c:ext xmlns:c16="http://schemas.microsoft.com/office/drawing/2014/chart" uri="{C3380CC4-5D6E-409C-BE32-E72D297353CC}">
              <c16:uniqueId val="{00000000-7CBD-4D2C-9BB6-DF852CF91BBB}"/>
            </c:ext>
          </c:extLst>
        </c:ser>
        <c:dLbls>
          <c:showLegendKey val="0"/>
          <c:showVal val="0"/>
          <c:showCatName val="0"/>
          <c:showSerName val="0"/>
          <c:showPercent val="0"/>
          <c:showBubbleSize val="0"/>
        </c:dLbls>
        <c:gapWidth val="219"/>
        <c:overlap val="-27"/>
        <c:axId val="193497744"/>
        <c:axId val="193487184"/>
      </c:barChart>
      <c:lineChart>
        <c:grouping val="standard"/>
        <c:varyColors val="0"/>
        <c:ser>
          <c:idx val="1"/>
          <c:order val="1"/>
          <c:tx>
            <c:strRef>
              <c:f>Analysis!$P$62</c:f>
              <c:strCache>
                <c:ptCount val="1"/>
                <c:pt idx="0">
                  <c:v>Churn Rate</c:v>
                </c:pt>
              </c:strCache>
            </c:strRef>
          </c:tx>
          <c:spPr>
            <a:ln w="28575" cap="rnd">
              <a:noFill/>
              <a:round/>
            </a:ln>
            <a:effectLst/>
          </c:spPr>
          <c:marker>
            <c:symbol val="dash"/>
            <c:size val="30"/>
            <c:spPr>
              <a:solidFill>
                <a:srgbClr val="E70F42"/>
              </a:solidFill>
              <a:ln w="9525">
                <a:solidFill>
                  <a:srgbClr val="E70F42"/>
                </a:solidFill>
              </a:ln>
              <a:effectLst/>
            </c:spPr>
          </c:marker>
          <c:dPt>
            <c:idx val="0"/>
            <c:marker>
              <c:symbol val="dash"/>
              <c:size val="30"/>
              <c:spPr>
                <a:solidFill>
                  <a:srgbClr val="E70F42"/>
                </a:solidFill>
                <a:ln w="9525">
                  <a:solidFill>
                    <a:srgbClr val="E70F42"/>
                  </a:solidFill>
                </a:ln>
                <a:effectLst/>
              </c:spPr>
            </c:marker>
            <c:bubble3D val="0"/>
            <c:extLst>
              <c:ext xmlns:c16="http://schemas.microsoft.com/office/drawing/2014/chart" uri="{C3380CC4-5D6E-409C-BE32-E72D297353CC}">
                <c16:uniqueId val="{00000001-7CBD-4D2C-9BB6-DF852CF91BBB}"/>
              </c:ext>
            </c:extLst>
          </c:dPt>
          <c:dPt>
            <c:idx val="1"/>
            <c:marker>
              <c:symbol val="dash"/>
              <c:size val="30"/>
              <c:spPr>
                <a:solidFill>
                  <a:srgbClr val="E70F42"/>
                </a:solidFill>
                <a:ln w="9525">
                  <a:solidFill>
                    <a:srgbClr val="E70F42"/>
                  </a:solidFill>
                </a:ln>
                <a:effectLst/>
              </c:spPr>
            </c:marker>
            <c:bubble3D val="0"/>
            <c:extLst>
              <c:ext xmlns:c16="http://schemas.microsoft.com/office/drawing/2014/chart" uri="{C3380CC4-5D6E-409C-BE32-E72D297353CC}">
                <c16:uniqueId val="{00000002-7CBD-4D2C-9BB6-DF852CF91BBB}"/>
              </c:ext>
            </c:extLst>
          </c:dPt>
          <c:dPt>
            <c:idx val="3"/>
            <c:marker>
              <c:symbol val="dash"/>
              <c:size val="30"/>
              <c:spPr>
                <a:solidFill>
                  <a:srgbClr val="E70F42"/>
                </a:solidFill>
                <a:ln w="9525">
                  <a:solidFill>
                    <a:srgbClr val="E70F42"/>
                  </a:solidFill>
                </a:ln>
                <a:effectLst/>
              </c:spPr>
            </c:marker>
            <c:bubble3D val="0"/>
            <c:extLst>
              <c:ext xmlns:c16="http://schemas.microsoft.com/office/drawing/2014/chart" uri="{C3380CC4-5D6E-409C-BE32-E72D297353CC}">
                <c16:uniqueId val="{00000003-7CBD-4D2C-9BB6-DF852CF91BBB}"/>
              </c:ext>
            </c:extLst>
          </c:dPt>
          <c:dLbls>
            <c:dLbl>
              <c:idx val="0"/>
              <c:layout>
                <c:manualLayout>
                  <c:x val="2.5196846227813829E-2"/>
                  <c:y val="-4.62962962962979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7CBD-4D2C-9BB6-DF852CF91BBB}"/>
                </c:ext>
              </c:extLst>
            </c:dLbl>
            <c:dLbl>
              <c:idx val="1"/>
              <c:layout>
                <c:manualLayout>
                  <c:x val="3.6395444551286661E-2"/>
                  <c:y val="-9.25925925925942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7CBD-4D2C-9BB6-DF852CF91BBB}"/>
                </c:ext>
              </c:extLst>
            </c:dLbl>
            <c:dLbl>
              <c:idx val="3"/>
              <c:layout>
                <c:manualLayout>
                  <c:x val="-2.799649580868209E-3"/>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7CBD-4D2C-9BB6-DF852CF91BBB}"/>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Analysis!$N$63:$N$66</c:f>
              <c:strCache>
                <c:ptCount val="4"/>
                <c:pt idx="0">
                  <c:v>Diamond</c:v>
                </c:pt>
                <c:pt idx="1">
                  <c:v>Gold</c:v>
                </c:pt>
                <c:pt idx="2">
                  <c:v>Platinum</c:v>
                </c:pt>
                <c:pt idx="3">
                  <c:v>Silver</c:v>
                </c:pt>
              </c:strCache>
            </c:strRef>
          </c:cat>
          <c:val>
            <c:numRef>
              <c:f>Analysis!$P$63:$P$66</c:f>
              <c:numCache>
                <c:formatCode>0.00%</c:formatCode>
                <c:ptCount val="4"/>
                <c:pt idx="0">
                  <c:v>0.21779018747506981</c:v>
                </c:pt>
                <c:pt idx="1">
                  <c:v>0.19264588329336529</c:v>
                </c:pt>
                <c:pt idx="2">
                  <c:v>0.20360721442885771</c:v>
                </c:pt>
                <c:pt idx="3">
                  <c:v>0.20112179487179488</c:v>
                </c:pt>
              </c:numCache>
            </c:numRef>
          </c:val>
          <c:smooth val="1"/>
          <c:extLst>
            <c:ext xmlns:c16="http://schemas.microsoft.com/office/drawing/2014/chart" uri="{C3380CC4-5D6E-409C-BE32-E72D297353CC}">
              <c16:uniqueId val="{00000004-7CBD-4D2C-9BB6-DF852CF91BBB}"/>
            </c:ext>
          </c:extLst>
        </c:ser>
        <c:dLbls>
          <c:showLegendKey val="0"/>
          <c:showVal val="0"/>
          <c:showCatName val="0"/>
          <c:showSerName val="0"/>
          <c:showPercent val="0"/>
          <c:showBubbleSize val="0"/>
        </c:dLbls>
        <c:marker val="1"/>
        <c:smooth val="0"/>
        <c:axId val="138246016"/>
        <c:axId val="138248896"/>
      </c:lineChart>
      <c:catAx>
        <c:axId val="193497744"/>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87184"/>
        <c:crosses val="autoZero"/>
        <c:auto val="1"/>
        <c:lblAlgn val="ctr"/>
        <c:lblOffset val="100"/>
        <c:noMultiLvlLbl val="0"/>
      </c:catAx>
      <c:valAx>
        <c:axId val="1934871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7744"/>
        <c:crosses val="autoZero"/>
        <c:crossBetween val="between"/>
      </c:valAx>
      <c:valAx>
        <c:axId val="138248896"/>
        <c:scaling>
          <c:orientation val="minMax"/>
          <c:max val="0.5"/>
          <c:min val="0"/>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46016"/>
        <c:crosses val="max"/>
        <c:crossBetween val="between"/>
      </c:valAx>
      <c:catAx>
        <c:axId val="138246016"/>
        <c:scaling>
          <c:orientation val="minMax"/>
        </c:scaling>
        <c:delete val="1"/>
        <c:axPos val="b"/>
        <c:numFmt formatCode="General" sourceLinked="1"/>
        <c:majorTickMark val="out"/>
        <c:minorTickMark val="none"/>
        <c:tickLblPos val="nextTo"/>
        <c:crossAx val="138248896"/>
        <c:crosses val="autoZero"/>
        <c:auto val="1"/>
        <c:lblAlgn val="ctr"/>
        <c:lblOffset val="100"/>
        <c:noMultiLvlLbl val="0"/>
      </c:catAx>
      <c:spPr>
        <a:noFill/>
        <a:ln>
          <a:noFill/>
        </a:ln>
        <a:effectLst/>
      </c:spPr>
    </c:plotArea>
    <c:plotVisOnly val="1"/>
    <c:dispBlanksAs val="gap"/>
    <c:showDLblsOverMax val="0"/>
    <c:extLst/>
  </c:chart>
  <c:spPr>
    <a:noFill/>
    <a:ln w="9525" cap="flat" cmpd="sng" algn="ctr">
      <a:no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[bank churn Analysis project.xlsx]Analysis!PivotTable13</c:name>
    <c:fmtId val="-1"/>
  </c:pivotSource>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050" baseline="0"/>
              <a:t>Number of Customers Vs </a:t>
            </a:r>
            <a:r>
              <a:rPr lang="en-US" sz="1050" b="1" baseline="0">
                <a:solidFill>
                  <a:srgbClr val="E70F42"/>
                </a:solidFill>
              </a:rPr>
              <a:t>Churn Rate</a:t>
            </a:r>
            <a:r>
              <a:rPr lang="en-US" sz="1050" baseline="0">
                <a:solidFill>
                  <a:srgbClr val="E70F42"/>
                </a:solidFill>
              </a:rPr>
              <a:t> </a:t>
            </a:r>
          </a:p>
          <a:p>
            <a:pPr algn="ctr">
              <a:defRPr/>
            </a:pPr>
            <a:r>
              <a:rPr lang="en-US" sz="1050" b="1" baseline="0">
                <a:solidFill>
                  <a:srgbClr val="2F2E3E"/>
                </a:solidFill>
              </a:rPr>
              <a:t>by # of Products  </a:t>
            </a:r>
            <a:endParaRPr lang="en-US" sz="1050" b="1">
              <a:solidFill>
                <a:srgbClr val="2F2E3E"/>
              </a:solidFill>
            </a:endParaRPr>
          </a:p>
        </c:rich>
      </c:tx>
      <c:layout>
        <c:manualLayout>
          <c:xMode val="edge"/>
          <c:yMode val="edge"/>
          <c:x val="0.30855108497120437"/>
          <c:y val="7.8857367709419101E-3"/>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rgbClr val="E70F42"/>
            </a:solidFill>
            <a:round/>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rgbClr val="E70F42"/>
            </a:solidFill>
            <a:round/>
          </a:ln>
          <a:effectLst/>
        </c:spPr>
        <c:marker>
          <c:symbol val="none"/>
        </c:marker>
        <c:dLbl>
          <c:idx val="0"/>
          <c:layout>
            <c:manualLayout>
              <c:x val="2.5196846227813829E-2"/>
              <c:y val="-4.6296296296297994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rgbClr val="E70F42"/>
            </a:solidFill>
            <a:round/>
          </a:ln>
          <a:effectLst/>
        </c:spPr>
        <c:marker>
          <c:symbol val="none"/>
        </c:marker>
        <c:dLbl>
          <c:idx val="0"/>
          <c:layout>
            <c:manualLayout>
              <c:x val="3.6395444551286661E-2"/>
              <c:y val="-9.2592592592594287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rgbClr val="E70F42"/>
            </a:solidFill>
            <a:round/>
          </a:ln>
          <a:effectLst/>
        </c:spPr>
        <c:marker>
          <c:symbol val="none"/>
        </c:marker>
        <c:dLbl>
          <c:idx val="0"/>
          <c:layout>
            <c:manualLayout>
              <c:x val="-2.799649580868209E-3"/>
              <c:y val="1.3888888888888888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rgbClr val="E70F42"/>
            </a:solidFill>
            <a:round/>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rgbClr val="E70F42"/>
            </a:solidFill>
            <a:round/>
          </a:ln>
          <a:effectLst/>
        </c:spPr>
        <c:marker>
          <c:symbol val="none"/>
        </c:marker>
        <c:dLbl>
          <c:idx val="0"/>
          <c:layout>
            <c:manualLayout>
              <c:x val="2.5196846227813829E-2"/>
              <c:y val="-4.6296296296297994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rgbClr val="E70F42"/>
            </a:solidFill>
            <a:round/>
          </a:ln>
          <a:effectLst/>
        </c:spPr>
        <c:marker>
          <c:symbol val="none"/>
        </c:marker>
        <c:dLbl>
          <c:idx val="0"/>
          <c:layout>
            <c:manualLayout>
              <c:x val="3.6395444551286661E-2"/>
              <c:y val="-9.2592592592594287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rgbClr val="E70F42"/>
            </a:solidFill>
            <a:round/>
          </a:ln>
          <a:effectLst/>
        </c:spPr>
        <c:marker>
          <c:symbol val="none"/>
        </c:marker>
        <c:dLbl>
          <c:idx val="0"/>
          <c:layout>
            <c:manualLayout>
              <c:x val="-2.799649580868209E-3"/>
              <c:y val="1.3888888888888888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solidFill>
            <a:srgbClr val="2F2E3E"/>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rgbClr val="E70F42"/>
            </a:solidFill>
            <a:round/>
          </a:ln>
          <a:effectLst/>
        </c:spPr>
        <c:marker>
          <c:symbol val="none"/>
        </c:marker>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rgbClr val="E70F42"/>
            </a:solidFill>
            <a:round/>
          </a:ln>
          <a:effectLst/>
        </c:spPr>
        <c:marker>
          <c:symbol val="none"/>
        </c:marker>
        <c:dLbl>
          <c:idx val="0"/>
          <c:layout>
            <c:manualLayout>
              <c:x val="2.5196846227813829E-2"/>
              <c:y val="-4.6296296296297994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rgbClr val="E70F42"/>
            </a:solidFill>
            <a:round/>
          </a:ln>
          <a:effectLst/>
        </c:spPr>
        <c:marker>
          <c:symbol val="none"/>
        </c:marker>
        <c:dLbl>
          <c:idx val="0"/>
          <c:layout>
            <c:manualLayout>
              <c:x val="3.6395444551286661E-2"/>
              <c:y val="-9.2592592592594287E-3"/>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rgbClr val="E70F42"/>
            </a:solidFill>
            <a:round/>
          </a:ln>
          <a:effectLst/>
        </c:spPr>
        <c:marker>
          <c:symbol val="none"/>
        </c:marker>
        <c:dLbl>
          <c:idx val="0"/>
          <c:layout>
            <c:manualLayout>
              <c:x val="-2.799649580868209E-3"/>
              <c:y val="1.3888888888888888E-2"/>
            </c:manualLayout>
          </c:layout>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9.2637979737591275E-2"/>
          <c:y val="0.20612209007909518"/>
          <c:w val="0.80947458733826516"/>
          <c:h val="0.69593887656447651"/>
        </c:manualLayout>
      </c:layout>
      <c:barChart>
        <c:barDir val="col"/>
        <c:grouping val="clustered"/>
        <c:varyColors val="0"/>
        <c:ser>
          <c:idx val="0"/>
          <c:order val="0"/>
          <c:tx>
            <c:strRef>
              <c:f>Analysis!$K$38</c:f>
              <c:strCache>
                <c:ptCount val="1"/>
                <c:pt idx="0">
                  <c:v>Total Customers</c:v>
                </c:pt>
              </c:strCache>
            </c:strRef>
          </c:tx>
          <c:spPr>
            <a:solidFill>
              <a:srgbClr val="2F2E3E"/>
            </a:solidFill>
            <a:ln>
              <a:noFill/>
            </a:ln>
            <a:effectLst/>
          </c:spPr>
          <c:invertIfNegative val="0"/>
          <c:cat>
            <c:strRef>
              <c:f>Analysis!$J$39:$J$42</c:f>
              <c:strCache>
                <c:ptCount val="4"/>
                <c:pt idx="0">
                  <c:v>1</c:v>
                </c:pt>
                <c:pt idx="1">
                  <c:v>2</c:v>
                </c:pt>
                <c:pt idx="2">
                  <c:v>3</c:v>
                </c:pt>
                <c:pt idx="3">
                  <c:v>4</c:v>
                </c:pt>
              </c:strCache>
            </c:strRef>
          </c:cat>
          <c:val>
            <c:numRef>
              <c:f>Analysis!$K$39:$K$42</c:f>
              <c:numCache>
                <c:formatCode>General</c:formatCode>
                <c:ptCount val="4"/>
                <c:pt idx="0">
                  <c:v>5084</c:v>
                </c:pt>
                <c:pt idx="1">
                  <c:v>4590</c:v>
                </c:pt>
                <c:pt idx="2">
                  <c:v>266</c:v>
                </c:pt>
                <c:pt idx="3">
                  <c:v>60</c:v>
                </c:pt>
              </c:numCache>
            </c:numRef>
          </c:val>
          <c:extLst>
            <c:ext xmlns:c16="http://schemas.microsoft.com/office/drawing/2014/chart" uri="{C3380CC4-5D6E-409C-BE32-E72D297353CC}">
              <c16:uniqueId val="{00000000-4B62-4FA0-8926-A1631425AE24}"/>
            </c:ext>
          </c:extLst>
        </c:ser>
        <c:dLbls>
          <c:showLegendKey val="0"/>
          <c:showVal val="0"/>
          <c:showCatName val="0"/>
          <c:showSerName val="0"/>
          <c:showPercent val="0"/>
          <c:showBubbleSize val="0"/>
        </c:dLbls>
        <c:gapWidth val="219"/>
        <c:overlap val="-27"/>
        <c:axId val="193497744"/>
        <c:axId val="193487184"/>
      </c:barChart>
      <c:lineChart>
        <c:grouping val="standard"/>
        <c:varyColors val="0"/>
        <c:ser>
          <c:idx val="1"/>
          <c:order val="1"/>
          <c:tx>
            <c:strRef>
              <c:f>Analysis!$L$38</c:f>
              <c:strCache>
                <c:ptCount val="1"/>
                <c:pt idx="0">
                  <c:v>Churn Rate</c:v>
                </c:pt>
              </c:strCache>
            </c:strRef>
          </c:tx>
          <c:spPr>
            <a:ln w="28575" cap="rnd">
              <a:solidFill>
                <a:srgbClr val="E70F42"/>
              </a:solidFill>
              <a:round/>
            </a:ln>
            <a:effectLst/>
          </c:spPr>
          <c:marker>
            <c:symbol val="none"/>
          </c:marker>
          <c:dPt>
            <c:idx val="0"/>
            <c:marker>
              <c:symbol val="none"/>
            </c:marker>
            <c:bubble3D val="0"/>
            <c:extLst>
              <c:ext xmlns:c16="http://schemas.microsoft.com/office/drawing/2014/chart" uri="{C3380CC4-5D6E-409C-BE32-E72D297353CC}">
                <c16:uniqueId val="{00000001-4B62-4FA0-8926-A1631425AE24}"/>
              </c:ext>
            </c:extLst>
          </c:dPt>
          <c:dPt>
            <c:idx val="1"/>
            <c:marker>
              <c:symbol val="none"/>
            </c:marker>
            <c:bubble3D val="0"/>
            <c:extLst>
              <c:ext xmlns:c16="http://schemas.microsoft.com/office/drawing/2014/chart" uri="{C3380CC4-5D6E-409C-BE32-E72D297353CC}">
                <c16:uniqueId val="{00000002-4B62-4FA0-8926-A1631425AE24}"/>
              </c:ext>
            </c:extLst>
          </c:dPt>
          <c:dPt>
            <c:idx val="3"/>
            <c:marker>
              <c:symbol val="none"/>
            </c:marker>
            <c:bubble3D val="0"/>
            <c:extLst>
              <c:ext xmlns:c16="http://schemas.microsoft.com/office/drawing/2014/chart" uri="{C3380CC4-5D6E-409C-BE32-E72D297353CC}">
                <c16:uniqueId val="{00000003-4B62-4FA0-8926-A1631425AE24}"/>
              </c:ext>
            </c:extLst>
          </c:dPt>
          <c:dLbls>
            <c:dLbl>
              <c:idx val="0"/>
              <c:layout>
                <c:manualLayout>
                  <c:x val="2.5196846227813829E-2"/>
                  <c:y val="-4.62962962962979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62-4FA0-8926-A1631425AE24}"/>
                </c:ext>
              </c:extLst>
            </c:dLbl>
            <c:dLbl>
              <c:idx val="1"/>
              <c:layout>
                <c:manualLayout>
                  <c:x val="3.6395444551286661E-2"/>
                  <c:y val="-9.25925925925942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B62-4FA0-8926-A1631425AE24}"/>
                </c:ext>
              </c:extLst>
            </c:dLbl>
            <c:dLbl>
              <c:idx val="3"/>
              <c:layout>
                <c:manualLayout>
                  <c:x val="-2.799649580868209E-3"/>
                  <c:y val="1.388888888888888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B62-4FA0-8926-A1631425AE24}"/>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Analysis!$J$39:$J$42</c:f>
              <c:strCache>
                <c:ptCount val="4"/>
                <c:pt idx="0">
                  <c:v>1</c:v>
                </c:pt>
                <c:pt idx="1">
                  <c:v>2</c:v>
                </c:pt>
                <c:pt idx="2">
                  <c:v>3</c:v>
                </c:pt>
                <c:pt idx="3">
                  <c:v>4</c:v>
                </c:pt>
              </c:strCache>
            </c:strRef>
          </c:cat>
          <c:val>
            <c:numRef>
              <c:f>Analysis!$L$39:$L$42</c:f>
              <c:numCache>
                <c:formatCode>0.00%</c:formatCode>
                <c:ptCount val="4"/>
                <c:pt idx="0">
                  <c:v>0.27714398111723054</c:v>
                </c:pt>
                <c:pt idx="1">
                  <c:v>7.6034858387799567E-2</c:v>
                </c:pt>
                <c:pt idx="2">
                  <c:v>0.82706766917293228</c:v>
                </c:pt>
                <c:pt idx="3">
                  <c:v>1</c:v>
                </c:pt>
              </c:numCache>
            </c:numRef>
          </c:val>
          <c:smooth val="1"/>
          <c:extLst>
            <c:ext xmlns:c16="http://schemas.microsoft.com/office/drawing/2014/chart" uri="{C3380CC4-5D6E-409C-BE32-E72D297353CC}">
              <c16:uniqueId val="{00000004-4B62-4FA0-8926-A1631425AE24}"/>
            </c:ext>
          </c:extLst>
        </c:ser>
        <c:dLbls>
          <c:showLegendKey val="0"/>
          <c:showVal val="0"/>
          <c:showCatName val="0"/>
          <c:showSerName val="0"/>
          <c:showPercent val="0"/>
          <c:showBubbleSize val="0"/>
        </c:dLbls>
        <c:marker val="1"/>
        <c:smooth val="0"/>
        <c:axId val="138246016"/>
        <c:axId val="138248896"/>
      </c:lineChart>
      <c:catAx>
        <c:axId val="193497744"/>
        <c:scaling>
          <c:orientation val="minMax"/>
        </c:scaling>
        <c:delete val="0"/>
        <c:axPos val="b"/>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87184"/>
        <c:crosses val="autoZero"/>
        <c:auto val="1"/>
        <c:lblAlgn val="ctr"/>
        <c:lblOffset val="100"/>
        <c:noMultiLvlLbl val="0"/>
      </c:catAx>
      <c:valAx>
        <c:axId val="19348718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497744"/>
        <c:crosses val="autoZero"/>
        <c:crossBetween val="between"/>
      </c:valAx>
      <c:valAx>
        <c:axId val="138248896"/>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246016"/>
        <c:crosses val="max"/>
        <c:crossBetween val="between"/>
      </c:valAx>
      <c:catAx>
        <c:axId val="138246016"/>
        <c:scaling>
          <c:orientation val="minMax"/>
        </c:scaling>
        <c:delete val="1"/>
        <c:axPos val="b"/>
        <c:numFmt formatCode="General" sourceLinked="1"/>
        <c:majorTickMark val="out"/>
        <c:minorTickMark val="none"/>
        <c:tickLblPos val="nextTo"/>
        <c:crossAx val="138248896"/>
        <c:crosses val="autoZero"/>
        <c:auto val="1"/>
        <c:lblAlgn val="ctr"/>
        <c:lblOffset val="100"/>
        <c:noMultiLvlLbl val="0"/>
      </c:cat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noFill/>
    <a:ln w="9525" cap="flat" cmpd="sng" algn="ctr">
      <a:no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050" baseline="0"/>
              <a:t>Number of Customers Vs </a:t>
            </a:r>
            <a:r>
              <a:rPr lang="en-US" sz="1050" baseline="0">
                <a:solidFill>
                  <a:srgbClr val="FF0000"/>
                </a:solidFill>
              </a:rPr>
              <a:t>Churn</a:t>
            </a:r>
            <a:r>
              <a:rPr lang="en-US" sz="1050" baseline="0"/>
              <a:t> </a:t>
            </a:r>
          </a:p>
          <a:p>
            <a:pPr algn="ctr">
              <a:defRPr/>
            </a:pPr>
            <a:r>
              <a:rPr lang="en-US" sz="1050" b="1" baseline="0"/>
              <a:t>By Complaints</a:t>
            </a:r>
            <a:endParaRPr lang="en-US" sz="1050" b="1"/>
          </a:p>
        </c:rich>
      </c:tx>
      <c:layout>
        <c:manualLayout>
          <c:xMode val="edge"/>
          <c:yMode val="edge"/>
          <c:x val="0.23741996786055233"/>
          <c:y val="1.049730952179153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15986301965534"/>
          <c:y val="0.22094497321386869"/>
          <c:w val="0.74258792540539831"/>
          <c:h val="0.68352602290946862"/>
        </c:manualLayout>
      </c:layout>
      <c:barChart>
        <c:barDir val="col"/>
        <c:grouping val="clustered"/>
        <c:varyColors val="0"/>
        <c:ser>
          <c:idx val="0"/>
          <c:order val="0"/>
          <c:spPr>
            <a:solidFill>
              <a:schemeClr val="accent1"/>
            </a:solidFill>
            <a:ln>
              <a:noFill/>
            </a:ln>
            <a:effectLst/>
          </c:spPr>
          <c:invertIfNegative val="0"/>
          <c:dPt>
            <c:idx val="0"/>
            <c:invertIfNegative val="0"/>
            <c:bubble3D val="0"/>
            <c:spPr>
              <a:solidFill>
                <a:srgbClr val="2F2E3E"/>
              </a:solidFill>
              <a:ln>
                <a:noFill/>
              </a:ln>
              <a:effectLst/>
            </c:spPr>
            <c:extLst>
              <c:ext xmlns:c16="http://schemas.microsoft.com/office/drawing/2014/chart" uri="{C3380CC4-5D6E-409C-BE32-E72D297353CC}">
                <c16:uniqueId val="{00000001-4FEE-43C0-9BEE-71815C45A1E2}"/>
              </c:ext>
            </c:extLst>
          </c:dPt>
          <c:dPt>
            <c:idx val="1"/>
            <c:invertIfNegative val="0"/>
            <c:bubble3D val="0"/>
            <c:spPr>
              <a:solidFill>
                <a:srgbClr val="2F2E3E"/>
              </a:solidFill>
              <a:ln>
                <a:noFill/>
              </a:ln>
              <a:effectLst/>
            </c:spPr>
            <c:extLst>
              <c:ext xmlns:c16="http://schemas.microsoft.com/office/drawing/2014/chart" uri="{C3380CC4-5D6E-409C-BE32-E72D297353CC}">
                <c16:uniqueId val="{00000003-4FEE-43C0-9BEE-71815C45A1E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Analysis!$J$84:$J$85</c:f>
              <c:strCache>
                <c:ptCount val="2"/>
                <c:pt idx="0">
                  <c:v>No</c:v>
                </c:pt>
                <c:pt idx="1">
                  <c:v>Yes</c:v>
                </c:pt>
              </c:strCache>
            </c:strRef>
          </c:cat>
          <c:val>
            <c:numRef>
              <c:f>Analysis!$K$84:$K$85</c:f>
              <c:numCache>
                <c:formatCode>General</c:formatCode>
                <c:ptCount val="2"/>
                <c:pt idx="0">
                  <c:v>7962</c:v>
                </c:pt>
                <c:pt idx="1">
                  <c:v>2038</c:v>
                </c:pt>
              </c:numCache>
            </c:numRef>
          </c:val>
          <c:extLst>
            <c:ext xmlns:c16="http://schemas.microsoft.com/office/drawing/2014/chart" uri="{C3380CC4-5D6E-409C-BE32-E72D297353CC}">
              <c16:uniqueId val="{00000004-4FEE-43C0-9BEE-71815C45A1E2}"/>
            </c:ext>
          </c:extLst>
        </c:ser>
        <c:dLbls>
          <c:showLegendKey val="0"/>
          <c:showVal val="0"/>
          <c:showCatName val="0"/>
          <c:showSerName val="0"/>
          <c:showPercent val="0"/>
          <c:showBubbleSize val="0"/>
        </c:dLbls>
        <c:gapWidth val="450"/>
        <c:overlap val="-27"/>
        <c:axId val="162247760"/>
        <c:axId val="162230480"/>
      </c:barChart>
      <c:lineChart>
        <c:grouping val="standard"/>
        <c:varyColors val="0"/>
        <c:ser>
          <c:idx val="1"/>
          <c:order val="1"/>
          <c:spPr>
            <a:ln w="28575" cap="rnd">
              <a:solidFill>
                <a:srgbClr val="E70F42"/>
              </a:solidFill>
              <a:round/>
            </a:ln>
            <a:effectLst/>
          </c:spPr>
          <c:marker>
            <c:symbol val="none"/>
          </c:marker>
          <c:dLbls>
            <c:dLbl>
              <c:idx val="0"/>
              <c:layout>
                <c:manualLayout>
                  <c:x val="8.3333333333333329E-2"/>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FEE-43C0-9BEE-71815C45A1E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Analysis!$J$84:$J$85</c:f>
              <c:strCache>
                <c:ptCount val="2"/>
                <c:pt idx="0">
                  <c:v>No</c:v>
                </c:pt>
                <c:pt idx="1">
                  <c:v>Yes</c:v>
                </c:pt>
              </c:strCache>
            </c:strRef>
          </c:cat>
          <c:val>
            <c:numRef>
              <c:f>Analysis!$L$84:$L$85</c:f>
              <c:numCache>
                <c:formatCode>0.00%</c:formatCode>
                <c:ptCount val="2"/>
                <c:pt idx="0">
                  <c:v>0.25596583772921377</c:v>
                </c:pt>
                <c:pt idx="1">
                  <c:v>1</c:v>
                </c:pt>
              </c:numCache>
            </c:numRef>
          </c:val>
          <c:smooth val="0"/>
          <c:extLst>
            <c:ext xmlns:c16="http://schemas.microsoft.com/office/drawing/2014/chart" uri="{C3380CC4-5D6E-409C-BE32-E72D297353CC}">
              <c16:uniqueId val="{00000006-4FEE-43C0-9BEE-71815C45A1E2}"/>
            </c:ext>
          </c:extLst>
        </c:ser>
        <c:dLbls>
          <c:showLegendKey val="0"/>
          <c:showVal val="0"/>
          <c:showCatName val="0"/>
          <c:showSerName val="0"/>
          <c:showPercent val="0"/>
          <c:showBubbleSize val="0"/>
        </c:dLbls>
        <c:marker val="1"/>
        <c:smooth val="0"/>
        <c:axId val="162234800"/>
        <c:axId val="162243920"/>
      </c:lineChart>
      <c:catAx>
        <c:axId val="16224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30480"/>
        <c:crosses val="autoZero"/>
        <c:auto val="1"/>
        <c:lblAlgn val="ctr"/>
        <c:lblOffset val="100"/>
        <c:noMultiLvlLbl val="0"/>
      </c:catAx>
      <c:valAx>
        <c:axId val="162230480"/>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47760"/>
        <c:crosses val="autoZero"/>
        <c:crossBetween val="between"/>
      </c:valAx>
      <c:valAx>
        <c:axId val="162243920"/>
        <c:scaling>
          <c:orientation val="minMax"/>
        </c:scaling>
        <c:delete val="0"/>
        <c:axPos val="r"/>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34800"/>
        <c:crosses val="max"/>
        <c:crossBetween val="between"/>
      </c:valAx>
      <c:catAx>
        <c:axId val="162234800"/>
        <c:scaling>
          <c:orientation val="minMax"/>
        </c:scaling>
        <c:delete val="1"/>
        <c:axPos val="b"/>
        <c:numFmt formatCode="General" sourceLinked="1"/>
        <c:majorTickMark val="none"/>
        <c:minorTickMark val="none"/>
        <c:tickLblPos val="nextTo"/>
        <c:crossAx val="162243920"/>
        <c:crosses val="autoZero"/>
        <c:auto val="1"/>
        <c:lblAlgn val="ctr"/>
        <c:lblOffset val="100"/>
        <c:noMultiLvlLbl val="0"/>
      </c:catAx>
      <c:spPr>
        <a:noFill/>
        <a:ln>
          <a:noFill/>
        </a:ln>
        <a:effectLst/>
      </c:spPr>
    </c:plotArea>
    <c:plotVisOnly val="1"/>
    <c:dispBlanksAs val="gap"/>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1374</TotalTime>
  <Pages>10</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Abdulrazak Jubril</dc:creator>
  <cp:keywords/>
  <dc:description/>
  <cp:lastModifiedBy>Abdulrazak Jubril</cp:lastModifiedBy>
  <cp:revision>4</cp:revision>
  <cp:lastPrinted>2025-09-16T22:04:00Z</cp:lastPrinted>
  <dcterms:created xsi:type="dcterms:W3CDTF">2025-09-16T22:04:00Z</dcterms:created>
  <dcterms:modified xsi:type="dcterms:W3CDTF">2025-09-18T15:41:00Z</dcterms:modified>
</cp:coreProperties>
</file>