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3at68ea28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MARKETING (V2)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zubtb2ot8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zi1vk8i8g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MARKETING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vv0gcidy4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Click Should Create Value.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isn't about spending more.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about investing smarter.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performance marketing strategies combine audience research, creative execution, and continuous optimisation to generate measurable business growth.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campaign is designed around one objective—delivering results that matter.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Your Campaign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Strategy Session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3mb2bg6uq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jyic3sksw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Deliver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service cards.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lxgfsb98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Ads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actively searching for your products and services.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wmtjtjegx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Advertising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awareness, generate leads, and increase sales across Facebook and Instagram.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a1sjp4ey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LinkedIn Campaigns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decision-makers through B2B advertising.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niais5cwv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Advertising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brand visibility through strategic display campaigns.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pvzkux7ji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Optimisation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landing pages and user journeys to maximise campaign performance.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xx0vtbdz2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&amp; Reporting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performance through transparent reporting and actionable insights.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08kuni1zp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qw93uunl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That Improves Over Time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campaign follows a continuous optimisation cycle.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Optimise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Animated dashboard with KPIs.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pks5vkh7s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xgu79ixve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Growth Stories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Aurora Kratom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Thread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Growth Stories →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rg10xx6d5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bi2lw2du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advertise on?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Ads, Meta, LinkedIn, and other platforms depending on your audience.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manage existing campaigns?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optimise existing campaigns as well as build new ones.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success?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conversions, leads, sales, ROAS, and business KPIs—not vanity metrics.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reports?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You'll receive clear, transparent reporting with actionable insights.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aq8yjbgth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CTA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8ng4d5pmj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 Should Generate Growth—Not Guesswork.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campaigns that deliver measurable business results.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Advertising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Call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skmdcyb3p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paragraphs with: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dashboard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 charts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mockups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icons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