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240" w:lineRule="auto"/>
        <w:jc w:val="center"/>
      </w:pPr>
      <w:r>
        <w:rPr>
          <w:rFonts w:ascii="Times New Roman" w:hAnsi="Times New Roman"/>
          <w:b/>
          <w:color w:val="1F4E79"/>
          <w:sz w:val="32"/>
        </w:rPr>
        <w:t>Chapter 2 Draft Sections</w:t>
      </w:r>
    </w:p>
    <w:p>
      <w:pPr>
        <w:spacing w:before="0" w:after="200" w:line="240" w:lineRule="auto"/>
        <w:jc w:val="center"/>
      </w:pPr>
      <w:r>
        <w:rPr>
          <w:rFonts w:ascii="Times New Roman" w:hAnsi="Times New Roman"/>
          <w:sz w:val="24"/>
        </w:rPr>
        <w:t>Literature Review, Summary Table of Related Work, and Research Gap Identification</w:t>
      </w:r>
    </w:p>
    <w:p>
      <w:pPr>
        <w:spacing w:before="0" w:after="240" w:line="240" w:lineRule="auto"/>
        <w:jc w:val="center"/>
      </w:pPr>
      <w:r>
        <w:rPr>
          <w:rFonts w:ascii="Times New Roman" w:hAnsi="Times New Roman"/>
          <w:i/>
          <w:sz w:val="20"/>
        </w:rPr>
        <w:t>Project base: HIPAA-Compliant Home Health and Hospice AI Platform. Source context: existing FYP proposal, FYP-I R&amp;D report template, and report guidelines. Prepared: April 29, 2026.</w:t>
      </w:r>
    </w:p>
    <w:p>
      <w:pPr>
        <w:pStyle w:val="Heading2"/>
        <w:keepNext/>
        <w:spacing w:before="240" w:after="120"/>
      </w:pPr>
      <w:r>
        <w:rPr>
          <w:rFonts w:ascii="Times New Roman" w:hAnsi="Times New Roman"/>
          <w:b/>
          <w:i w:val="0"/>
          <w:color w:val="000000"/>
          <w:sz w:val="28"/>
        </w:rPr>
        <w:t>2.1 Literature Review</w:t>
      </w:r>
    </w:p>
    <w:p>
      <w:pPr>
        <w:spacing w:before="0" w:after="120" w:line="240" w:lineRule="auto"/>
      </w:pPr>
      <w:r>
        <w:rPr>
          <w:rFonts w:ascii="Times New Roman" w:hAnsi="Times New Roman"/>
          <w:sz w:val="22"/>
        </w:rPr>
        <w:t>This section reviews literature and technical work relevant to the proposed platform: secure document upload, OCR and key information extraction from OASIS/POC forms, human review, source-cited Plan of Care drafting, 30-day readmission risk prediction, and audit-ready security controls.</w:t>
      </w:r>
    </w:p>
    <w:p>
      <w:pPr>
        <w:pStyle w:val="Heading3"/>
        <w:keepNext/>
        <w:spacing w:before="240" w:after="120"/>
      </w:pPr>
      <w:r>
        <w:rPr>
          <w:rFonts w:ascii="Times New Roman" w:hAnsi="Times New Roman"/>
          <w:b/>
          <w:i/>
          <w:color w:val="000000"/>
          <w:sz w:val="24"/>
        </w:rPr>
        <w:t>Clinical Documentation and Home Health Context</w:t>
      </w:r>
    </w:p>
    <w:p>
      <w:pPr>
        <w:spacing w:before="0" w:after="120" w:line="240" w:lineRule="auto"/>
      </w:pPr>
      <w:r>
        <w:rPr>
          <w:rFonts w:ascii="Times New Roman" w:hAnsi="Times New Roman"/>
          <w:sz w:val="22"/>
        </w:rPr>
        <w:t>Home health and hospice agencies depend on accurate documentation because assessment records affect patient evaluation, care coordination, quality reporting, and reimbursement. CMS identifies the Outcome and Assessment Information Set (OASIS) as the data collection instrument used by home health agencies, and the current OASIS-E2 data submission specifications are scheduled for implementation on April 1, 2026 [1]. For the proposed project, this means the system cannot treat OASIS and Plan of Care (POC) forms as ordinary text documents; it must preserve field meaning, assessment timing, clinical context, and review traceability.</w:t>
      </w:r>
    </w:p>
    <w:p>
      <w:pPr>
        <w:spacing w:before="0" w:after="120" w:line="240" w:lineRule="auto"/>
      </w:pPr>
      <w:r>
        <w:rPr>
          <w:rFonts w:ascii="Times New Roman" w:hAnsi="Times New Roman"/>
          <w:sz w:val="22"/>
        </w:rPr>
        <w:t>The proposal identifies a practical operational problem: clinicians and administrators repeatedly read scanned or semi-structured forms, re-enter patient information, validate codes and dates, and prepare care-plan content manually. This aligns with broader evidence that clinical documentation burden is a measurable health informatics problem. AHRQ's 2024 technical brief reports that documentation burden is commonly measured through EHR time, clinical documentation activity, after-hours work, administrative tasks, workflow fragmentation, and usability measures, with limited evidence that current measures generalize cleanly across settings [2]. Therefore, the proposed FYP should evaluate not only model accuracy but also reviewer time, correction workload, and workflow usability.</w:t>
      </w:r>
    </w:p>
    <w:p>
      <w:pPr>
        <w:spacing w:before="0" w:after="120" w:line="240" w:lineRule="auto"/>
      </w:pPr>
      <w:r>
        <w:rPr>
          <w:rFonts w:ascii="Times New Roman" w:hAnsi="Times New Roman"/>
          <w:sz w:val="22"/>
        </w:rPr>
        <w:t>Because the project handles protected health information, security cannot be added after model development. The HIPAA Security Rule requires administrative, physical, and technical safeguards for electronic protected health information [3]. In system terms, this supports role-based access control, encryption at rest and in transit, secure secret management, audit logging, and strict control over where patient documents and model outputs are stored.</w:t>
      </w:r>
    </w:p>
    <w:p>
      <w:pPr>
        <w:pStyle w:val="Heading3"/>
        <w:keepNext/>
        <w:spacing w:before="240" w:after="120"/>
      </w:pPr>
      <w:r>
        <w:rPr>
          <w:rFonts w:ascii="Times New Roman" w:hAnsi="Times New Roman"/>
          <w:b/>
          <w:i/>
          <w:color w:val="000000"/>
          <w:sz w:val="24"/>
        </w:rPr>
        <w:t>OCR and Key Information Extraction</w:t>
      </w:r>
    </w:p>
    <w:p>
      <w:pPr>
        <w:spacing w:before="0" w:after="120" w:line="240" w:lineRule="auto"/>
      </w:pPr>
      <w:r>
        <w:rPr>
          <w:rFonts w:ascii="Times New Roman" w:hAnsi="Times New Roman"/>
          <w:sz w:val="22"/>
        </w:rPr>
        <w:t>Traditional OCR converts document images into machine-readable text. Tesseract remains a widely cited open-source OCR baseline and is useful for printed text experiments and cost-controlled local processing [4]. For a student FYP, this is the most practical primary OCR engine because it can be installed locally, tested without cloud fees, and integrated with Python. However, OCR alone does not solve the FYP problem because OASIS and POC documents contain field labels, checkboxes, tables, signatures, dates, diagnosis codes, and spatial relationships. A raw text stream may lose the association between a label and its value, so post-processing is needed to produce structured JSON outputs.</w:t>
      </w:r>
    </w:p>
    <w:p>
      <w:pPr>
        <w:spacing w:before="0" w:after="120" w:line="240" w:lineRule="auto"/>
      </w:pPr>
      <w:r>
        <w:rPr>
          <w:rFonts w:ascii="Times New Roman" w:hAnsi="Times New Roman"/>
          <w:sz w:val="22"/>
        </w:rPr>
        <w:t>Image preprocessing is therefore important before OCR. OpenCV provides practical computer-vision operations such as grayscale conversion, denoising, thresholding, deskewing, contour detection, and cropping [10]. In this project, OpenCV can improve low-quality scanned OASIS-E2 and POC forms before Tesseract reads them. The output can then be parsed with field dictionaries, regular expressions, and validation rules.</w:t>
      </w:r>
    </w:p>
    <w:p>
      <w:pPr>
        <w:spacing w:before="0" w:after="120" w:line="240" w:lineRule="auto"/>
      </w:pPr>
      <w:r>
        <w:rPr>
          <w:rFonts w:ascii="Times New Roman" w:hAnsi="Times New Roman"/>
          <w:sz w:val="22"/>
        </w:rPr>
        <w:t>Early layout-aware approaches address this limitation by preserving document geometry. Chargrid represents each document page as a two-dimensional character grid and uses visual document structure for information extraction [5]. This is important for scanned healthcare forms because fields are often defined by location and neighboring labels. However, such methods still require domain adaptation and annotated data to perform reliably on clinical forms with variable scan quality, handwriting, and local template changes.</w:t>
      </w:r>
    </w:p>
    <w:p>
      <w:pPr>
        <w:pStyle w:val="Heading3"/>
        <w:keepNext/>
        <w:spacing w:before="240" w:after="120"/>
      </w:pPr>
      <w:r>
        <w:rPr>
          <w:rFonts w:ascii="Times New Roman" w:hAnsi="Times New Roman"/>
          <w:b/>
          <w:i/>
          <w:color w:val="000000"/>
          <w:sz w:val="24"/>
        </w:rPr>
        <w:t>Layout-Aware and Multimodal Document AI</w:t>
      </w:r>
    </w:p>
    <w:p>
      <w:pPr>
        <w:spacing w:before="0" w:after="120" w:line="240" w:lineRule="auto"/>
      </w:pPr>
      <w:r>
        <w:rPr>
          <w:rFonts w:ascii="Times New Roman" w:hAnsi="Times New Roman"/>
          <w:sz w:val="22"/>
        </w:rPr>
        <w:t>Transformer-based document models extend OCR pipelines by learning relationships among text tokens, bounding boxes, and visual layout. LayoutLM jointly models text and layout for scanned document understanding and demonstrated that layout information improves information extraction from forms [6]. LayoutLMv3 further unifies text and image masking, making document pre-training more general across text-centric and image-centric document tasks [7]. DocFormer similarly combines text, vision, and spatial features through multimodal self-attention for visual document understanding [8].</w:t>
      </w:r>
    </w:p>
    <w:p>
      <w:pPr>
        <w:spacing w:before="0" w:after="120" w:line="240" w:lineRule="auto"/>
      </w:pPr>
      <w:r>
        <w:rPr>
          <w:rFonts w:ascii="Times New Roman" w:hAnsi="Times New Roman"/>
          <w:sz w:val="22"/>
        </w:rPr>
        <w:t>OCR-free models such as Donut move in a different direction by mapping document images directly to structured outputs and reducing dependence on external OCR systems [9]. This is relevant to low-quality scans and multilingual environments, but it also raises deployment questions: domain-specific fine-tuning, ground-truth annotation, compute cost, and quality assurance are still required. For a final year project MVP, these models should be treated as future research extensions rather than the primary implementation path.</w:t>
      </w:r>
    </w:p>
    <w:p>
      <w:pPr>
        <w:spacing w:before="0" w:after="120" w:line="240" w:lineRule="auto"/>
      </w:pPr>
      <w:r>
        <w:rPr>
          <w:rFonts w:ascii="Times New Roman" w:hAnsi="Times New Roman"/>
          <w:sz w:val="22"/>
        </w:rPr>
        <w:t>Commercial document AI services can be useful benchmarks, but they are not the preferred student implementation route because cloud usage may create cost, account, and data-handling constraints. The practical MVP should therefore use Tesseract OCR, OpenCV preprocessing, rule-based extraction, and schema validation first, while leaving managed cloud document AI as an optional future extension.</w:t>
      </w:r>
    </w:p>
    <w:p>
      <w:pPr>
        <w:pStyle w:val="Heading3"/>
        <w:keepNext/>
        <w:spacing w:before="240" w:after="120"/>
      </w:pPr>
      <w:r>
        <w:rPr>
          <w:rFonts w:ascii="Times New Roman" w:hAnsi="Times New Roman"/>
          <w:b/>
          <w:i/>
          <w:color w:val="000000"/>
          <w:sz w:val="24"/>
        </w:rPr>
        <w:t>RAG-Based Plan of Care Drafting</w:t>
      </w:r>
    </w:p>
    <w:p>
      <w:pPr>
        <w:spacing w:before="0" w:after="120" w:line="240" w:lineRule="auto"/>
      </w:pPr>
      <w:r>
        <w:rPr>
          <w:rFonts w:ascii="Times New Roman" w:hAnsi="Times New Roman"/>
          <w:sz w:val="22"/>
        </w:rPr>
        <w:t>The proposed POC module should not generate unsupported clinical statements. Retrieval-Augmented Generation (RAG) is therefore a core implementation component, not a future enhancement. RAG conditions generation on retrieved evidence [11], so the MVP will index reviewer-approved OASIS-E2 fields, extracted POC snippets, diagnosis codes, medication notes, care-plan templates, and source snippets. The generator will then draft POC sections only from retrieved evidence and approved structured fields.</w:t>
      </w:r>
    </w:p>
    <w:p>
      <w:pPr>
        <w:spacing w:before="0" w:after="120" w:line="240" w:lineRule="auto"/>
      </w:pPr>
      <w:r>
        <w:rPr>
          <w:rFonts w:ascii="Times New Roman" w:hAnsi="Times New Roman"/>
          <w:sz w:val="22"/>
        </w:rPr>
        <w:t>For a student-friendly implementation, the retrieval layer can start with a local vector index such as FAISS or Chroma, or a TF-IDF/BM25 fallback if embeddings are difficult to run. Embeddings can use open-source sentence-transformer models where hardware allows. The generation layer can use a constrained local model, an approved API model, or a structured prompt/template wrapper, but the project requirement is that every generated section must include citations to retrieved snippets, missing-evidence warnings, and mandatory clinician approval.</w:t>
      </w:r>
    </w:p>
    <w:p>
      <w:pPr>
        <w:spacing w:before="0" w:after="120" w:line="240" w:lineRule="auto"/>
      </w:pPr>
      <w:r>
        <w:rPr>
          <w:rFonts w:ascii="Times New Roman" w:hAnsi="Times New Roman"/>
          <w:sz w:val="22"/>
        </w:rPr>
        <w:t>Recent clinical summarization research shows why uncontrolled LLM generation is unsafe. LLM-generated clinical text must be evaluated for hallucinations and omissions because unsupported or missing information can affect patient safety [12]. Therefore, this project treats RAG as a controlled drafting assistant: retrieval, citations, validation rules, unsupported-statement checks, and human review are all part of the core MVP.</w:t>
      </w:r>
    </w:p>
    <w:p>
      <w:pPr>
        <w:pStyle w:val="Heading3"/>
        <w:keepNext/>
        <w:spacing w:before="240" w:after="120"/>
      </w:pPr>
      <w:r>
        <w:rPr>
          <w:rFonts w:ascii="Times New Roman" w:hAnsi="Times New Roman"/>
          <w:b/>
          <w:i/>
          <w:color w:val="000000"/>
          <w:sz w:val="24"/>
        </w:rPr>
        <w:t>Readmission Risk Prediction and Explainability</w:t>
      </w:r>
    </w:p>
    <w:p>
      <w:pPr>
        <w:spacing w:before="0" w:after="120" w:line="240" w:lineRule="auto"/>
      </w:pPr>
      <w:r>
        <w:rPr>
          <w:rFonts w:ascii="Times New Roman" w:hAnsi="Times New Roman"/>
          <w:sz w:val="22"/>
        </w:rPr>
        <w:t>Hospital readmission risk prediction is a mature but difficult area. Bowles and Cater studied rehospitalization risk in home care using OASIS and the Probability of Readmission instrument, showing that OASIS-derived function scores can help identify at-risk home care patients but may not be sufficient alone [13]. A later systematic review of readmission prediction models found that many models had only moderate discrimination and that preventable readmission was rarely addressed directly [14]. These findings support the proposal's decision to start with a baseline, calibrated 30-day readmission model rather than presenting risk prediction as a solved problem.</w:t>
      </w:r>
    </w:p>
    <w:p>
      <w:pPr>
        <w:spacing w:before="0" w:after="120" w:line="240" w:lineRule="auto"/>
      </w:pPr>
      <w:r>
        <w:rPr>
          <w:rFonts w:ascii="Times New Roman" w:hAnsi="Times New Roman"/>
          <w:sz w:val="22"/>
        </w:rPr>
        <w:t>Machine-learning reviews show that EHR, claims, and population data are frequently used for readmission prediction, with tree-based methods, neural networks, regularized logistic regression, and support vector machines appearing commonly in the literature [15]. In home healthcare specifically, Hobensack et al. found that many studies used standardized assessments such as OASIS, hospitalization was the most common outcome, tree-based algorithms were frequent, and many studies had high or unclear risk of bias [16]. This indicates that the FYP should report AUROC together with calibration metrics such as Brier score, use a held-out test split, and document data limitations.</w:t>
      </w:r>
    </w:p>
    <w:p>
      <w:pPr>
        <w:spacing w:before="0" w:after="120" w:line="240" w:lineRule="auto"/>
      </w:pPr>
      <w:r>
        <w:rPr>
          <w:rFonts w:ascii="Times New Roman" w:hAnsi="Times New Roman"/>
          <w:sz w:val="22"/>
        </w:rPr>
        <w:t>Public clinical datasets such as MIMIC-III are valuable for experimentation because they provide de-identified EHR data, notes, medications, procedures, and outcomes for a large critical-care population [17]. However, MIMIC-III is not a home health dataset, so any model trained or tested on it must be described as a baseline or methodological prototype, not as a validated home health deployment model. For student implementation, scikit-learn Logistic Regression and Random Forest should be used first because they are free, well documented, and easy to evaluate [18]. XGBoost and LightGBM can be added as optional stronger tabular baselines if time allows [19], [20]. SHAP can then provide local feature-attribution explanations so reviewers can see which features contributed to a risk score [21].</w:t>
      </w:r>
    </w:p>
    <w:p>
      <w:pPr>
        <w:pStyle w:val="Heading3"/>
        <w:keepNext/>
        <w:spacing w:before="240" w:after="120"/>
      </w:pPr>
      <w:r>
        <w:rPr>
          <w:rFonts w:ascii="Times New Roman" w:hAnsi="Times New Roman"/>
          <w:b/>
          <w:i/>
          <w:color w:val="000000"/>
          <w:sz w:val="24"/>
        </w:rPr>
        <w:t>Human-in-the-Loop Governance</w:t>
      </w:r>
    </w:p>
    <w:p>
      <w:pPr>
        <w:spacing w:before="0" w:after="120" w:line="240" w:lineRule="auto"/>
      </w:pPr>
      <w:r>
        <w:rPr>
          <w:rFonts w:ascii="Times New Roman" w:hAnsi="Times New Roman"/>
          <w:sz w:val="22"/>
        </w:rPr>
        <w:t>The literature supports a human-in-the-loop design for this project. OCR can pre-fill fields, RAG can draft source-cited care-plan sections, and machine-learning models can estimate readmission risk, but clinicians must remain responsible for final approval. NIST's AI Risk Management Framework emphasizes trustworthiness considerations during AI design, development, use, and evaluation [22]. For the proposed system, this means model outputs should be visible, editable, logged, and measurable. The MVP should therefore focus on a safe clinician workflow: upload, preprocess, extract, review, approve, generate, and predict.</w:t>
      </w:r>
    </w:p>
    <w:p>
      <w:r>
        <w:br w:type="page"/>
      </w:r>
    </w:p>
    <w:p>
      <w:pPr>
        <w:pStyle w:val="Heading2"/>
        <w:keepNext/>
        <w:spacing w:before="240" w:after="120"/>
      </w:pPr>
      <w:r>
        <w:rPr>
          <w:rFonts w:ascii="Times New Roman" w:hAnsi="Times New Roman"/>
          <w:b/>
          <w:i w:val="0"/>
          <w:color w:val="000000"/>
          <w:sz w:val="28"/>
        </w:rPr>
        <w:t>2.2 Summary Table of Related Work</w:t>
      </w:r>
    </w:p>
    <w:p>
      <w:pPr>
        <w:spacing w:before="0" w:after="120" w:line="240" w:lineRule="auto"/>
      </w:pPr>
      <w:r>
        <w:rPr>
          <w:rFonts w:ascii="Times New Roman" w:hAnsi="Times New Roman"/>
          <w:sz w:val="20"/>
        </w:rPr>
        <w:t>Table 2.1 summarizes the most relevant prior work and explains how each source informs the proposed FYP system.</w:t>
      </w:r>
    </w:p>
    <w:p>
      <w:pPr>
        <w:pStyle w:val="Caption"/>
        <w:spacing w:before="0" w:after="80" w:line="240" w:lineRule="auto"/>
        <w:jc w:val="center"/>
      </w:pPr>
      <w:r>
        <w:rPr>
          <w:rFonts w:ascii="Times New Roman" w:hAnsi="Times New Roman"/>
          <w:b/>
          <w:sz w:val="20"/>
        </w:rPr>
        <w:t>Table 2.1. Summary of related work for AI-assisted home health and hospice documentation.</w:t>
      </w:r>
    </w:p>
    <w:p>
      <w:pPr>
        <w:jc w:val="center"/>
      </w:pPr>
      <w:r>
        <w:drawing>
          <wp:inline xmlns:a="http://schemas.openxmlformats.org/drawingml/2006/main" xmlns:pic="http://schemas.openxmlformats.org/drawingml/2006/picture">
            <wp:extent cx="5897880" cy="3638424"/>
            <wp:docPr id="1" name="Picture 1"/>
            <wp:cNvGraphicFramePr>
              <a:graphicFrameLocks noChangeAspect="1"/>
            </wp:cNvGraphicFramePr>
            <a:graphic>
              <a:graphicData uri="http://schemas.openxmlformats.org/drawingml/2006/picture">
                <pic:pic>
                  <pic:nvPicPr>
                    <pic:cNvPr id="0" name="table_2_1_part_1.png"/>
                    <pic:cNvPicPr/>
                  </pic:nvPicPr>
                  <pic:blipFill>
                    <a:blip r:embed="rId14"/>
                    <a:stretch>
                      <a:fillRect/>
                    </a:stretch>
                  </pic:blipFill>
                  <pic:spPr>
                    <a:xfrm>
                      <a:off x="0" y="0"/>
                      <a:ext cx="5897880" cy="3638424"/>
                    </a:xfrm>
                    <a:prstGeom prst="rect"/>
                  </pic:spPr>
                </pic:pic>
              </a:graphicData>
            </a:graphic>
          </wp:inline>
        </w:drawing>
      </w:r>
    </w:p>
    <w:p>
      <w:pPr>
        <w:spacing w:before="0" w:after="40" w:line="240" w:lineRule="auto"/>
        <w:jc w:val="right"/>
      </w:pPr>
      <w:r>
        <w:rPr>
          <w:rFonts w:ascii="Times New Roman" w:hAnsi="Times New Roman"/>
          <w:i/>
          <w:sz w:val="18"/>
        </w:rPr>
        <w:t>Table 2.1 continued on next page (part 2).</w:t>
      </w:r>
    </w:p>
    <w:p>
      <w:r>
        <w:br w:type="page"/>
      </w:r>
    </w:p>
    <w:p>
      <w:pPr>
        <w:jc w:val="center"/>
      </w:pPr>
      <w:r>
        <w:drawing>
          <wp:inline xmlns:a="http://schemas.openxmlformats.org/drawingml/2006/main" xmlns:pic="http://schemas.openxmlformats.org/drawingml/2006/picture">
            <wp:extent cx="5897880" cy="3764208"/>
            <wp:docPr id="2" name="Picture 2"/>
            <wp:cNvGraphicFramePr>
              <a:graphicFrameLocks noChangeAspect="1"/>
            </wp:cNvGraphicFramePr>
            <a:graphic>
              <a:graphicData uri="http://schemas.openxmlformats.org/drawingml/2006/picture">
                <pic:pic>
                  <pic:nvPicPr>
                    <pic:cNvPr id="0" name="table_2_1_part_2.png"/>
                    <pic:cNvPicPr/>
                  </pic:nvPicPr>
                  <pic:blipFill>
                    <a:blip r:embed="rId15"/>
                    <a:stretch>
                      <a:fillRect/>
                    </a:stretch>
                  </pic:blipFill>
                  <pic:spPr>
                    <a:xfrm>
                      <a:off x="0" y="0"/>
                      <a:ext cx="5897880" cy="3764208"/>
                    </a:xfrm>
                    <a:prstGeom prst="rect"/>
                  </pic:spPr>
                </pic:pic>
              </a:graphicData>
            </a:graphic>
          </wp:inline>
        </w:drawing>
      </w:r>
    </w:p>
    <w:p>
      <w:pPr>
        <w:spacing w:before="0" w:after="40" w:line="240" w:lineRule="auto"/>
        <w:jc w:val="right"/>
      </w:pPr>
      <w:r>
        <w:rPr>
          <w:rFonts w:ascii="Times New Roman" w:hAnsi="Times New Roman"/>
          <w:i/>
          <w:sz w:val="18"/>
        </w:rPr>
        <w:t>Table 2.1 continued on next page (part 3).</w:t>
      </w:r>
    </w:p>
    <w:p>
      <w:r>
        <w:br w:type="page"/>
      </w:r>
    </w:p>
    <w:p>
      <w:pPr>
        <w:jc w:val="center"/>
      </w:pPr>
      <w:r>
        <w:drawing>
          <wp:inline xmlns:a="http://schemas.openxmlformats.org/drawingml/2006/main" xmlns:pic="http://schemas.openxmlformats.org/drawingml/2006/picture">
            <wp:extent cx="5897880" cy="3638424"/>
            <wp:docPr id="3" name="Picture 3"/>
            <wp:cNvGraphicFramePr>
              <a:graphicFrameLocks noChangeAspect="1"/>
            </wp:cNvGraphicFramePr>
            <a:graphic>
              <a:graphicData uri="http://schemas.openxmlformats.org/drawingml/2006/picture">
                <pic:pic>
                  <pic:nvPicPr>
                    <pic:cNvPr id="0" name="table_2_1_part_3.png"/>
                    <pic:cNvPicPr/>
                  </pic:nvPicPr>
                  <pic:blipFill>
                    <a:blip r:embed="rId16"/>
                    <a:stretch>
                      <a:fillRect/>
                    </a:stretch>
                  </pic:blipFill>
                  <pic:spPr>
                    <a:xfrm>
                      <a:off x="0" y="0"/>
                      <a:ext cx="5897880" cy="3638424"/>
                    </a:xfrm>
                    <a:prstGeom prst="rect"/>
                  </pic:spPr>
                </pic:pic>
              </a:graphicData>
            </a:graphic>
          </wp:inline>
        </w:drawing>
      </w:r>
    </w:p>
    <w:p>
      <w:pPr>
        <w:spacing w:before="160" w:after="0" w:line="240" w:lineRule="auto"/>
      </w:pPr>
      <w:r>
        <w:rPr>
          <w:rFonts w:ascii="Times New Roman" w:hAnsi="Times New Roman"/>
          <w:i/>
          <w:sz w:val="20"/>
        </w:rPr>
        <w:t>The table shows that individual research streams are mature, but the FYP contribution is their controlled integration into a secure, reviewable workflow for home health and hospice documentation.</w:t>
      </w:r>
    </w:p>
    <w:p>
      <w:r>
        <w:br w:type="page"/>
      </w:r>
    </w:p>
    <w:p>
      <w:pPr>
        <w:pStyle w:val="Heading2"/>
        <w:keepNext/>
        <w:spacing w:before="240" w:after="120"/>
      </w:pPr>
      <w:r>
        <w:rPr>
          <w:rFonts w:ascii="Times New Roman" w:hAnsi="Times New Roman"/>
          <w:b/>
          <w:i w:val="0"/>
          <w:color w:val="000000"/>
          <w:sz w:val="28"/>
        </w:rPr>
        <w:t>2.3 Research Gap Identification</w:t>
      </w:r>
    </w:p>
    <w:p>
      <w:pPr>
        <w:spacing w:before="0" w:after="120" w:line="240" w:lineRule="auto"/>
      </w:pPr>
      <w:r>
        <w:rPr>
          <w:rFonts w:ascii="Times New Roman" w:hAnsi="Times New Roman"/>
          <w:sz w:val="22"/>
        </w:rPr>
        <w:t>The reviewed work supports the feasibility of each technical component, but it also exposes gaps that justify the proposed FYP. The main gap is not the absence of OCR, image preprocessing, rule-based extraction, RAG-based generation, or readmission models individually; it is the absence of a secure, domain-specific, human-reviewed, end-to-end workflow for OASIS and Plan of Care documentation in home health and hospice settings.</w:t>
      </w:r>
    </w:p>
    <w:p>
      <w:pPr>
        <w:spacing w:before="80" w:after="40" w:line="240" w:lineRule="auto"/>
      </w:pPr>
      <w:r>
        <w:rPr>
          <w:rFonts w:ascii="Times New Roman" w:hAnsi="Times New Roman"/>
          <w:b/>
          <w:sz w:val="22"/>
        </w:rPr>
        <w:t>Gap 1: Generic document AI is not enough for OASIS and POC workflows.</w:t>
      </w:r>
    </w:p>
    <w:p>
      <w:pPr>
        <w:spacing w:before="0" w:after="120" w:line="240" w:lineRule="auto"/>
      </w:pPr>
      <w:r>
        <w:rPr>
          <w:rFonts w:ascii="Times New Roman" w:hAnsi="Times New Roman"/>
          <w:sz w:val="22"/>
        </w:rPr>
        <w:t>Existing OCR, KIE, and document transformer research performs well on general forms, receipts, and benchmark document tasks, but it does not directly solve OASIS/POC field semantics, healthcare-specific validation rules, clinical coding consistency, or Plan of Care traceability. The FYP addresses this by defining a project-specific extraction schema, field dictionary, validation rules, and reviewer workflow for home health and hospice documentation.</w:t>
      </w:r>
    </w:p>
    <w:p>
      <w:pPr>
        <w:spacing w:before="80" w:after="40" w:line="240" w:lineRule="auto"/>
      </w:pPr>
      <w:r>
        <w:rPr>
          <w:rFonts w:ascii="Times New Roman" w:hAnsi="Times New Roman"/>
          <w:b/>
          <w:sz w:val="22"/>
        </w:rPr>
        <w:t>Gap 2: Prior work often optimizes model accuracy without closing the review loop.</w:t>
      </w:r>
    </w:p>
    <w:p>
      <w:pPr>
        <w:spacing w:before="0" w:after="120" w:line="240" w:lineRule="auto"/>
      </w:pPr>
      <w:r>
        <w:rPr>
          <w:rFonts w:ascii="Times New Roman" w:hAnsi="Times New Roman"/>
          <w:sz w:val="22"/>
        </w:rPr>
        <w:t>Many document-understanding systems stop at extraction results. In healthcare documentation, an extracted value is not final until a clinician reviews and approves it. The proposed system fills this gap by keeping a human-in-the-loop interface with accept, edit, reject, confidence display, source snippets, and audit logs.</w:t>
      </w:r>
    </w:p>
    <w:p>
      <w:pPr>
        <w:spacing w:before="80" w:after="40" w:line="240" w:lineRule="auto"/>
      </w:pPr>
      <w:r>
        <w:rPr>
          <w:rFonts w:ascii="Times New Roman" w:hAnsi="Times New Roman"/>
          <w:b/>
          <w:sz w:val="22"/>
        </w:rPr>
        <w:t>Gap 3: Care-plan generation requires controlled RAG, not free-form generation.</w:t>
      </w:r>
    </w:p>
    <w:p>
      <w:pPr>
        <w:spacing w:before="0" w:after="120" w:line="240" w:lineRule="auto"/>
      </w:pPr>
      <w:r>
        <w:rPr>
          <w:rFonts w:ascii="Times New Roman" w:hAnsi="Times New Roman"/>
          <w:sz w:val="22"/>
        </w:rPr>
        <w:t>RAG improves factual grounding, but clinical LLM outputs can still contain hallucinations or omissions if retrieval and citations are weak. A safe student MVP should implement RAG with approved OASIS-E2 fields, source snippets, local retrieval, section-level citations, missing-evidence warnings, and clinician approval. The FYP contributes a source-grounded POC draft workflow rather than an autonomous care-plan generator.</w:t>
      </w:r>
    </w:p>
    <w:p>
      <w:pPr>
        <w:spacing w:before="80" w:after="40" w:line="240" w:lineRule="auto"/>
      </w:pPr>
      <w:r>
        <w:rPr>
          <w:rFonts w:ascii="Times New Roman" w:hAnsi="Times New Roman"/>
          <w:b/>
          <w:sz w:val="22"/>
        </w:rPr>
        <w:t>Gap 4: Readmission models are not automatically transferable to home healthcare.</w:t>
      </w:r>
    </w:p>
    <w:p>
      <w:pPr>
        <w:spacing w:before="0" w:after="120" w:line="240" w:lineRule="auto"/>
      </w:pPr>
      <w:r>
        <w:rPr>
          <w:rFonts w:ascii="Times New Roman" w:hAnsi="Times New Roman"/>
          <w:sz w:val="22"/>
        </w:rPr>
        <w:t>General readmission studies frequently use hospital EHR, claims, or critical-care data. Home health populations have different documentation patterns, assessment timings, functional measures, caregiver context, and post-discharge risks. The FYP should therefore treat MIMIC-style datasets and generic readmission studies as methodological baselines while building a home-health feature set around OASIS fields, ADL/mobility indicators, diagnosis codes, prior utilization, medication burden, and clinician-reviewed data.</w:t>
      </w:r>
    </w:p>
    <w:p>
      <w:pPr>
        <w:spacing w:before="80" w:after="40" w:line="240" w:lineRule="auto"/>
      </w:pPr>
      <w:r>
        <w:rPr>
          <w:rFonts w:ascii="Times New Roman" w:hAnsi="Times New Roman"/>
          <w:b/>
          <w:sz w:val="22"/>
        </w:rPr>
        <w:t>Gap 5: Calibration and explainability are under-addressed in student prototypes.</w:t>
      </w:r>
    </w:p>
    <w:p>
      <w:pPr>
        <w:spacing w:before="0" w:after="120" w:line="240" w:lineRule="auto"/>
      </w:pPr>
      <w:r>
        <w:rPr>
          <w:rFonts w:ascii="Times New Roman" w:hAnsi="Times New Roman"/>
          <w:sz w:val="22"/>
        </w:rPr>
        <w:t>A high AUROC is insufficient for clinical workflow. A risk score must be calibrated, explainable, and monitored for error patterns. The proposed project addresses this by targeting AUROC, Brier score, confidence intervals, error distributions, and SHAP-style explanations for individual scores.</w:t>
      </w:r>
    </w:p>
    <w:p>
      <w:pPr>
        <w:spacing w:before="80" w:after="40" w:line="240" w:lineRule="auto"/>
      </w:pPr>
      <w:r>
        <w:rPr>
          <w:rFonts w:ascii="Times New Roman" w:hAnsi="Times New Roman"/>
          <w:b/>
          <w:sz w:val="22"/>
        </w:rPr>
        <w:t>Gap 6: Security and auditability must be part of the system architecture.</w:t>
      </w:r>
    </w:p>
    <w:p>
      <w:pPr>
        <w:spacing w:before="0" w:after="120" w:line="240" w:lineRule="auto"/>
      </w:pPr>
      <w:r>
        <w:rPr>
          <w:rFonts w:ascii="Times New Roman" w:hAnsi="Times New Roman"/>
          <w:sz w:val="22"/>
        </w:rPr>
        <w:t>Healthcare AI prototypes often demonstrate extraction or prediction but leave PHI controls, role separation, secret handling, and audit logs vague. This project addresses that gap by making RBAC, encryption, private storage, audit logging, and no-hardcoded-secret rules part of the MVP definition rather than final-stage polish.</w:t>
      </w:r>
    </w:p>
    <w:p>
      <w:pPr>
        <w:spacing w:before="80" w:after="40" w:line="240" w:lineRule="auto"/>
      </w:pPr>
      <w:r>
        <w:rPr>
          <w:rFonts w:ascii="Times New Roman" w:hAnsi="Times New Roman"/>
          <w:b/>
          <w:sz w:val="22"/>
        </w:rPr>
        <w:t>Gap 7: End-to-end evaluation is missing from isolated research components.</w:t>
      </w:r>
    </w:p>
    <w:p>
      <w:pPr>
        <w:spacing w:before="0" w:after="120" w:line="240" w:lineRule="auto"/>
      </w:pPr>
      <w:r>
        <w:rPr>
          <w:rFonts w:ascii="Times New Roman" w:hAnsi="Times New Roman"/>
          <w:sz w:val="22"/>
        </w:rPr>
        <w:t>The related work contains strong individual components: OCR, image preprocessing, layout-aware extraction, RAG-based generation, risk models, and explainability. The research gap is the absence of an integrated, measurable workflow for home health documentation. The FYP fills this by evaluating the complete chain: upload -&gt; preprocessing -&gt; OCR -&gt; extraction -&gt; review -&gt; approval -&gt; retrieval -&gt; cited POC generation -&gt; readmission score, using KPIs such as field-level F1, reviewer time reduction, citation coverage, section-level POC approval, risk calibration, latency, and audit completeness.</w:t>
      </w:r>
    </w:p>
    <w:p>
      <w:pPr>
        <w:spacing w:before="120" w:after="200" w:line="240" w:lineRule="auto"/>
      </w:pPr>
      <w:r>
        <w:rPr>
          <w:rFonts w:ascii="Times New Roman" w:hAnsi="Times New Roman"/>
          <w:sz w:val="22"/>
        </w:rPr>
        <w:t>Overall research gap statement: Existing work provides strong building blocks for OCR, image preprocessing, layout-aware extraction, RAG-based generation, risk modeling, explainability, and AI governance. However, current literature does not provide a complete, HIPAA-aware and student-implementable workflow that converts OASIS/POC document images into reviewed structured data, source-cited RAG care-plan drafts, and calibrated readmission-risk outputs while preserving auditability. This FYP addresses that gap by designing and evaluating an integrated clinician-centered platform with measurable extraction, retrieval, citation, review, generation, prediction, and security outcomes.</w:t>
      </w:r>
    </w:p>
    <w:p>
      <w:pPr>
        <w:pStyle w:val="Heading2"/>
        <w:keepNext/>
        <w:spacing w:before="240" w:after="120"/>
      </w:pPr>
      <w:r>
        <w:rPr>
          <w:rFonts w:ascii="Times New Roman" w:hAnsi="Times New Roman"/>
          <w:b/>
          <w:i w:val="0"/>
          <w:color w:val="000000"/>
          <w:sz w:val="28"/>
        </w:rPr>
        <w:t>References Used in This Draft</w:t>
      </w:r>
    </w:p>
    <w:p>
      <w:pPr>
        <w:spacing w:before="0" w:after="120" w:line="240" w:lineRule="auto"/>
      </w:pPr>
      <w:r>
        <w:rPr>
          <w:rFonts w:ascii="Times New Roman" w:hAnsi="Times New Roman"/>
          <w:sz w:val="20"/>
        </w:rPr>
        <w:t>These IEEE-style references should be merged into the final report reference list in first-citation order when these sections are inserted into the full report.</w:t>
      </w:r>
    </w:p>
    <w:p>
      <w:pPr>
        <w:spacing w:after="80" w:line="240" w:lineRule="auto"/>
        <w:ind w:left="432" w:hanging="432"/>
      </w:pPr>
      <w:r>
        <w:rPr>
          <w:rFonts w:ascii="Times New Roman" w:hAnsi="Times New Roman"/>
          <w:sz w:val="18"/>
        </w:rPr>
        <w:t>[1] Centers for Medicare &amp; Medicaid Services, "Home Health Quality Reporting Program: Data Specifications," CMS, Page last modified Mar. 10, 2026. [Online]. Available: https://www.cms.gov/medicare/quality/home-health/data-specifications. Accessed: Apr. 29, 2026.</w:t>
      </w:r>
    </w:p>
    <w:p>
      <w:pPr>
        <w:spacing w:after="80" w:line="240" w:lineRule="auto"/>
        <w:ind w:left="432" w:hanging="432"/>
      </w:pPr>
      <w:r>
        <w:rPr>
          <w:rFonts w:ascii="Times New Roman" w:hAnsi="Times New Roman"/>
          <w:sz w:val="18"/>
        </w:rPr>
        <w:t>[2] Z. Wang et al., Measuring Documentation Burden in Healthcare, Technical Brief No. 47. Rockville, MD, USA: Agency for Healthcare Research and Quality, May 2024. [Online]. Available: https://www.ncbi.nlm.nih.gov/books/NBK608551/.</w:t>
      </w:r>
    </w:p>
    <w:p>
      <w:pPr>
        <w:spacing w:after="80" w:line="240" w:lineRule="auto"/>
        <w:ind w:left="432" w:hanging="432"/>
      </w:pPr>
      <w:r>
        <w:rPr>
          <w:rFonts w:ascii="Times New Roman" w:hAnsi="Times New Roman"/>
          <w:sz w:val="18"/>
        </w:rPr>
        <w:t>[3] U.S. Department of Health and Human Services, "The Security Rule," HHS.gov. [Online]. Available: https://www.hhs.gov/hipaa/for-professionals/security/index.html. Accessed: Apr. 29, 2026.</w:t>
      </w:r>
    </w:p>
    <w:p>
      <w:pPr>
        <w:spacing w:after="80" w:line="240" w:lineRule="auto"/>
        <w:ind w:left="432" w:hanging="432"/>
      </w:pPr>
      <w:r>
        <w:rPr>
          <w:rFonts w:ascii="Times New Roman" w:hAnsi="Times New Roman"/>
          <w:sz w:val="18"/>
        </w:rPr>
        <w:t>[4] R. Smith, "An overview of the Tesseract OCR engine," in Proc. 9th Int. Conf. Document Analysis and Recognition (ICDAR), 2007, pp. 629-633, doi: 10.1109/ICDAR.2007.4376991.</w:t>
      </w:r>
    </w:p>
    <w:p>
      <w:pPr>
        <w:spacing w:after="80" w:line="240" w:lineRule="auto"/>
        <w:ind w:left="432" w:hanging="432"/>
      </w:pPr>
      <w:r>
        <w:rPr>
          <w:rFonts w:ascii="Times New Roman" w:hAnsi="Times New Roman"/>
          <w:sz w:val="18"/>
        </w:rPr>
        <w:t>[5] A. R. Katti, C. Reisswig, C. Guder, S. Brarda, S. Bickel, J. Hoehne, and J. B. Faddoul, "Chargrid: Towards Understanding 2D Documents," in Proc. EMNLP, 2018, pp. 4459-4469. [Online]. Available: https://aclanthology.org/D18-1476/.</w:t>
      </w:r>
    </w:p>
    <w:p>
      <w:pPr>
        <w:spacing w:after="80" w:line="240" w:lineRule="auto"/>
        <w:ind w:left="432" w:hanging="432"/>
      </w:pPr>
      <w:r>
        <w:rPr>
          <w:rFonts w:ascii="Times New Roman" w:hAnsi="Times New Roman"/>
          <w:sz w:val="18"/>
        </w:rPr>
        <w:t>[6] Y. Xu, M. Li, L. Cui, S. Huang, F. Wei, and M. Zhou, "LayoutLM: Pre-training of Text and Layout for Document Image Understanding," in Proc. KDD, 2020, pp. 1192-1200, doi: 10.1145/3394486.3403172.</w:t>
      </w:r>
    </w:p>
    <w:p>
      <w:pPr>
        <w:spacing w:after="80" w:line="240" w:lineRule="auto"/>
        <w:ind w:left="432" w:hanging="432"/>
      </w:pPr>
      <w:r>
        <w:rPr>
          <w:rFonts w:ascii="Times New Roman" w:hAnsi="Times New Roman"/>
          <w:sz w:val="18"/>
        </w:rPr>
        <w:t>[7] Y. Huang, T. Lv, L. Cui, Y. Lu, and F. Wei, "LayoutLMv3: Pre-training for Document AI with Unified Text and Image Masking," arXiv:2204.08387, 2022. [Online]. Available: https://arxiv.org/abs/2204.08387.</w:t>
      </w:r>
    </w:p>
    <w:p>
      <w:pPr>
        <w:spacing w:after="80" w:line="240" w:lineRule="auto"/>
        <w:ind w:left="432" w:hanging="432"/>
      </w:pPr>
      <w:r>
        <w:rPr>
          <w:rFonts w:ascii="Times New Roman" w:hAnsi="Times New Roman"/>
          <w:sz w:val="18"/>
        </w:rPr>
        <w:t>[8] S. Appalaraju, B. Jasani, B. U. Kota, Y. Xie, and R. Manmatha, "DocFormer: End-to-End Transformer for Document Understanding," in Proc. ICCV, 2021; arXiv:2106.11539. [Online]. Available: https://arxiv.org/abs/2106.11539.</w:t>
      </w:r>
    </w:p>
    <w:p>
      <w:pPr>
        <w:spacing w:after="80" w:line="240" w:lineRule="auto"/>
        <w:ind w:left="432" w:hanging="432"/>
      </w:pPr>
      <w:r>
        <w:rPr>
          <w:rFonts w:ascii="Times New Roman" w:hAnsi="Times New Roman"/>
          <w:sz w:val="18"/>
        </w:rPr>
        <w:t>[9] G. Kim et al., "OCR-Free Document Understanding Transformer," in Proc. ECCV, 2022; arXiv:2111.15664. [Online]. Available: https://www.ecva.net/papers/eccv_2022/papers_ECCV/html/8042_ECCV_2022_paper.php.</w:t>
      </w:r>
    </w:p>
    <w:p>
      <w:pPr>
        <w:spacing w:after="80" w:line="240" w:lineRule="auto"/>
        <w:ind w:left="432" w:hanging="432"/>
      </w:pPr>
      <w:r>
        <w:rPr>
          <w:rFonts w:ascii="Times New Roman" w:hAnsi="Times New Roman"/>
          <w:sz w:val="18"/>
        </w:rPr>
        <w:t>[10] G. Bradski, "The OpenCV Library," Dr. Dobb's Journal of Software Tools, 2000.</w:t>
      </w:r>
    </w:p>
    <w:p>
      <w:pPr>
        <w:spacing w:after="80" w:line="240" w:lineRule="auto"/>
        <w:ind w:left="432" w:hanging="432"/>
      </w:pPr>
      <w:r>
        <w:rPr>
          <w:rFonts w:ascii="Times New Roman" w:hAnsi="Times New Roman"/>
          <w:sz w:val="18"/>
        </w:rPr>
        <w:t>[11] P. Lewis et al., "Retrieval-Augmented Generation for Knowledge-Intensive NLP Tasks," in Advances in Neural Information Processing Systems, vol. 33, 2020. [Online]. Available: https://papers.nips.cc/paper/2020/hash/6b493230205f780e1bc26945df7481e5-Abstract.html.</w:t>
      </w:r>
    </w:p>
    <w:p>
      <w:pPr>
        <w:spacing w:after="80" w:line="240" w:lineRule="auto"/>
        <w:ind w:left="432" w:hanging="432"/>
      </w:pPr>
      <w:r>
        <w:rPr>
          <w:rFonts w:ascii="Times New Roman" w:hAnsi="Times New Roman"/>
          <w:sz w:val="18"/>
        </w:rPr>
        <w:t>[12] E. Asgari et al., "A framework to assess clinical safety and hallucination rates of LLMs for medical text summarisation," npj Digital Medicine, vol. 8, art. 274, 2025, doi: 10.1038/s41746-025-01670-7.</w:t>
      </w:r>
    </w:p>
    <w:p>
      <w:pPr>
        <w:spacing w:after="80" w:line="240" w:lineRule="auto"/>
        <w:ind w:left="432" w:hanging="432"/>
      </w:pPr>
      <w:r>
        <w:rPr>
          <w:rFonts w:ascii="Times New Roman" w:hAnsi="Times New Roman"/>
          <w:sz w:val="18"/>
        </w:rPr>
        <w:t>[13] K. H. Bowles and J. R. Cater, "Screening for risk of rehospitalization from home care: Use of the Outcomes Assessment Information Set and the Probability of Readmission instrument," Research in Nursing &amp; Health, vol. 26, no. 2, pp. 118-127, Apr. 2003, doi: 10.1002/nur.10071.</w:t>
      </w:r>
    </w:p>
    <w:p>
      <w:pPr>
        <w:spacing w:after="80" w:line="240" w:lineRule="auto"/>
        <w:ind w:left="432" w:hanging="432"/>
      </w:pPr>
      <w:r>
        <w:rPr>
          <w:rFonts w:ascii="Times New Roman" w:hAnsi="Times New Roman"/>
          <w:sz w:val="18"/>
        </w:rPr>
        <w:t>[14] D. Kansagara et al., "Risk prediction models for hospital readmission: A systematic review," JAMA, vol. 306, no. 15, pp. 1688-1698, 2011, doi: 10.1001/jama.2011.1515.</w:t>
      </w:r>
    </w:p>
    <w:p>
      <w:pPr>
        <w:spacing w:after="80" w:line="240" w:lineRule="auto"/>
        <w:ind w:left="432" w:hanging="432"/>
      </w:pPr>
      <w:r>
        <w:rPr>
          <w:rFonts w:ascii="Times New Roman" w:hAnsi="Times New Roman"/>
          <w:sz w:val="18"/>
        </w:rPr>
        <w:t>[15] Y. Huang, A. Talwar, S. Chatterjee, and R. Aparasu, "Application of machine learning in predicting hospital readmissions: A scoping review of the literature," BMC Medical Research Methodology, vol. 21, art. 96, 2021, doi: 10.1186/s12874-021-01284-z.</w:t>
      </w:r>
    </w:p>
    <w:p>
      <w:pPr>
        <w:spacing w:after="80" w:line="240" w:lineRule="auto"/>
        <w:ind w:left="432" w:hanging="432"/>
      </w:pPr>
      <w:r>
        <w:rPr>
          <w:rFonts w:ascii="Times New Roman" w:hAnsi="Times New Roman"/>
          <w:sz w:val="18"/>
        </w:rPr>
        <w:t>[16] M. Hobensack, J. Song, D. Scharp, K. H. Bowles, and M. Topaz, "Machine learning applied to electronic health record data in home healthcare: A scoping review," International Journal of Medical Informatics, vol. 170, art. 104978, 2023, doi: 10.1016/j.ijmedinf.2022.104978.</w:t>
      </w:r>
    </w:p>
    <w:p>
      <w:pPr>
        <w:spacing w:after="80" w:line="240" w:lineRule="auto"/>
        <w:ind w:left="432" w:hanging="432"/>
      </w:pPr>
      <w:r>
        <w:rPr>
          <w:rFonts w:ascii="Times New Roman" w:hAnsi="Times New Roman"/>
          <w:sz w:val="18"/>
        </w:rPr>
        <w:t>[17] A. E. W. Johnson et al., "MIMIC-III, a freely accessible critical care database," Scientific Data, vol. 3, art. 160035, 2016, doi: 10.1038/sdata.2016.35.</w:t>
      </w:r>
    </w:p>
    <w:p>
      <w:pPr>
        <w:spacing w:after="80" w:line="240" w:lineRule="auto"/>
        <w:ind w:left="432" w:hanging="432"/>
      </w:pPr>
      <w:r>
        <w:rPr>
          <w:rFonts w:ascii="Times New Roman" w:hAnsi="Times New Roman"/>
          <w:sz w:val="18"/>
        </w:rPr>
        <w:t>[18] F. Pedregosa et al., "Scikit-learn: Machine Learning in Python," Journal of Machine Learning Research, vol. 12, pp. 2825-2830, 2011.</w:t>
      </w:r>
    </w:p>
    <w:p>
      <w:pPr>
        <w:spacing w:after="80" w:line="240" w:lineRule="auto"/>
        <w:ind w:left="432" w:hanging="432"/>
      </w:pPr>
      <w:r>
        <w:rPr>
          <w:rFonts w:ascii="Times New Roman" w:hAnsi="Times New Roman"/>
          <w:sz w:val="18"/>
        </w:rPr>
        <w:t>[19] T. Chen and C. Guestrin, "XGBoost: A Scalable Tree Boosting System," in Proc. 22nd ACM SIGKDD Int. Conf. Knowledge Discovery and Data Mining, 2016, pp. 785-794, doi: 10.1145/2939672.2939785.</w:t>
      </w:r>
    </w:p>
    <w:p>
      <w:pPr>
        <w:spacing w:after="80" w:line="240" w:lineRule="auto"/>
        <w:ind w:left="432" w:hanging="432"/>
      </w:pPr>
      <w:r>
        <w:rPr>
          <w:rFonts w:ascii="Times New Roman" w:hAnsi="Times New Roman"/>
          <w:sz w:val="18"/>
        </w:rPr>
        <w:t>[20] G. Ke et al., "LightGBM: A Highly Efficient Gradient Boosting Decision Tree," in Advances in Neural Information Processing Systems, vol. 30, 2017, pp. 3146-3154. [Online]. Available: https://papers.nips.cc/paper/6907-lightgbm-a-highly-efficient-gradient-boosting-decision-tree.</w:t>
      </w:r>
    </w:p>
    <w:p>
      <w:pPr>
        <w:spacing w:after="80" w:line="240" w:lineRule="auto"/>
        <w:ind w:left="432" w:hanging="432"/>
      </w:pPr>
      <w:r>
        <w:rPr>
          <w:rFonts w:ascii="Times New Roman" w:hAnsi="Times New Roman"/>
          <w:sz w:val="18"/>
        </w:rPr>
        <w:t>[21] S. M. Lundberg and S.-I. Lee, "A Unified Approach to Interpreting Model Predictions," in Advances in Neural Information Processing Systems, vol. 30, 2017. [Online]. Available: https://papers.nips.cc/paper/7062-a.</w:t>
      </w:r>
    </w:p>
    <w:p>
      <w:pPr>
        <w:spacing w:after="80" w:line="240" w:lineRule="auto"/>
        <w:ind w:left="432" w:hanging="432"/>
      </w:pPr>
      <w:r>
        <w:rPr>
          <w:rFonts w:ascii="Times New Roman" w:hAnsi="Times New Roman"/>
          <w:sz w:val="18"/>
        </w:rPr>
        <w:t>[22] National Institute of Standards and Technology, "Artificial Intelligence Risk Management Framework (AI RMF 1.0)," NIST, Jan. 2023. [Online]. Available: https://www.nist.gov/itl/ai-risk-management-framework. Accessed: Apr. 29, 2026.</w:t>
      </w:r>
    </w:p>
    <w:sectPr w:rsidR="008660C4" w:rsidRPr="0067659D" w:rsidSect="0095766C">
      <w:footerReference w:type="default" r:id="rId11"/>
      <w:headerReference w:type="default" r:id="rId17"/>
      <w:headerReference w:type="first" r:id="rId18"/>
      <w:footerReference w:type="first" r:id="rId19"/>
      <w:headerReference w:type="even" r:id="rId20"/>
      <w:footerReference w:type="even" r:id="rId21"/>
      <w:pgSz w:w="11909" w:h="16834" w:code="9"/>
      <w:pgMar w:top="1224" w:right="1296" w:bottom="1224" w:left="1296"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033A5" w14:textId="77777777" w:rsidR="00DB40A1" w:rsidRDefault="00DB40A1">
      <w:pPr>
        <w:spacing w:before="0" w:after="0"/>
      </w:pPr>
      <w:r>
        <w:separator/>
      </w:r>
    </w:p>
  </w:endnote>
  <w:endnote w:type="continuationSeparator" w:id="0">
    <w:p w14:paraId="508CE869" w14:textId="77777777" w:rsidR="00DB40A1" w:rsidRDefault="00DB40A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91694" w14:textId="77777777" w:rsidR="00DB40A1" w:rsidRDefault="00DB40A1">
      <w:pPr>
        <w:spacing w:before="0" w:after="0"/>
      </w:pPr>
      <w:r>
        <w:separator/>
      </w:r>
    </w:p>
  </w:footnote>
  <w:footnote w:type="continuationSeparator" w:id="0">
    <w:p w14:paraId="31EB2ED4" w14:textId="77777777" w:rsidR="00DB40A1" w:rsidRDefault="00DB40A1">
      <w:pPr>
        <w:spacing w:before="0"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E43"/>
    <w:multiLevelType w:val="multilevel"/>
    <w:tmpl w:val="673CC48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196B51"/>
    <w:multiLevelType w:val="hybridMultilevel"/>
    <w:tmpl w:val="A470F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D17E48"/>
    <w:multiLevelType w:val="hybridMultilevel"/>
    <w:tmpl w:val="B0D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814B64"/>
    <w:multiLevelType w:val="hybridMultilevel"/>
    <w:tmpl w:val="777EBD86"/>
    <w:lvl w:ilvl="0" w:tplc="67AE0322">
      <w:start w:val="1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607479"/>
    <w:multiLevelType w:val="multilevel"/>
    <w:tmpl w:val="43E0632E"/>
    <w:lvl w:ilvl="0">
      <w:start w:val="2"/>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1004"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90E0FAE"/>
    <w:multiLevelType w:val="multilevel"/>
    <w:tmpl w:val="8D4072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01C304B"/>
    <w:multiLevelType w:val="multilevel"/>
    <w:tmpl w:val="B3963870"/>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E346C8"/>
    <w:multiLevelType w:val="hybridMultilevel"/>
    <w:tmpl w:val="67A6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062E3"/>
    <w:multiLevelType w:val="multilevel"/>
    <w:tmpl w:val="E8EC3532"/>
    <w:lvl w:ilvl="0">
      <w:start w:val="1"/>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21006A8"/>
    <w:multiLevelType w:val="multilevel"/>
    <w:tmpl w:val="FA60B65E"/>
    <w:lvl w:ilvl="0">
      <w:start w:val="3"/>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9706365"/>
    <w:multiLevelType w:val="multilevel"/>
    <w:tmpl w:val="C6D80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9CB04E0"/>
    <w:multiLevelType w:val="multilevel"/>
    <w:tmpl w:val="C31ED348"/>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val="0"/>
        <w:bCs/>
        <w:sz w:val="24"/>
        <w:szCs w:val="28"/>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B4170A"/>
    <w:multiLevelType w:val="hybridMultilevel"/>
    <w:tmpl w:val="2F3EB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7B485D1B"/>
    <w:multiLevelType w:val="multilevel"/>
    <w:tmpl w:val="2D42A0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FFD6AE2"/>
    <w:multiLevelType w:val="multilevel"/>
    <w:tmpl w:val="717C2BCC"/>
    <w:lvl w:ilvl="0">
      <w:start w:val="5"/>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66838587">
    <w:abstractNumId w:val="14"/>
  </w:num>
  <w:num w:numId="2" w16cid:durableId="1384908528">
    <w:abstractNumId w:val="15"/>
  </w:num>
  <w:num w:numId="3" w16cid:durableId="381754120">
    <w:abstractNumId w:val="2"/>
  </w:num>
  <w:num w:numId="4" w16cid:durableId="786124489">
    <w:abstractNumId w:val="3"/>
  </w:num>
  <w:num w:numId="5" w16cid:durableId="946474137">
    <w:abstractNumId w:val="16"/>
  </w:num>
  <w:num w:numId="6" w16cid:durableId="1142043189">
    <w:abstractNumId w:val="18"/>
  </w:num>
  <w:num w:numId="7" w16cid:durableId="1203980063">
    <w:abstractNumId w:val="10"/>
  </w:num>
  <w:num w:numId="8" w16cid:durableId="581525697">
    <w:abstractNumId w:val="1"/>
  </w:num>
  <w:num w:numId="9" w16cid:durableId="862862043">
    <w:abstractNumId w:val="4"/>
  </w:num>
  <w:num w:numId="10" w16cid:durableId="20314903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6447047">
    <w:abstractNumId w:val="17"/>
  </w:num>
  <w:num w:numId="12" w16cid:durableId="217784966">
    <w:abstractNumId w:val="5"/>
  </w:num>
  <w:num w:numId="13" w16cid:durableId="1110587617">
    <w:abstractNumId w:val="13"/>
  </w:num>
  <w:num w:numId="14" w16cid:durableId="784034992">
    <w:abstractNumId w:val="0"/>
  </w:num>
  <w:num w:numId="15" w16cid:durableId="1404792980">
    <w:abstractNumId w:val="8"/>
  </w:num>
  <w:num w:numId="16" w16cid:durableId="2107654511">
    <w:abstractNumId w:val="19"/>
  </w:num>
  <w:num w:numId="17" w16cid:durableId="193540038">
    <w:abstractNumId w:val="14"/>
  </w:num>
  <w:num w:numId="18" w16cid:durableId="656610995">
    <w:abstractNumId w:val="7"/>
  </w:num>
  <w:num w:numId="19" w16cid:durableId="1228153658">
    <w:abstractNumId w:val="14"/>
  </w:num>
  <w:num w:numId="20" w16cid:durableId="2085836677">
    <w:abstractNumId w:val="14"/>
  </w:num>
  <w:num w:numId="21" w16cid:durableId="764305815">
    <w:abstractNumId w:val="14"/>
  </w:num>
  <w:num w:numId="22" w16cid:durableId="1093940958">
    <w:abstractNumId w:val="14"/>
  </w:num>
  <w:num w:numId="23" w16cid:durableId="109017085">
    <w:abstractNumId w:val="14"/>
  </w:num>
  <w:num w:numId="24" w16cid:durableId="1029405575">
    <w:abstractNumId w:val="9"/>
  </w:num>
  <w:num w:numId="25" w16cid:durableId="1208298962">
    <w:abstractNumId w:val="14"/>
  </w:num>
  <w:num w:numId="26" w16cid:durableId="1987516138">
    <w:abstractNumId w:val="11"/>
  </w:num>
  <w:num w:numId="27" w16cid:durableId="559827333">
    <w:abstractNumId w:val="14"/>
  </w:num>
  <w:num w:numId="28" w16cid:durableId="15236106">
    <w:abstractNumId w:val="14"/>
  </w:num>
  <w:num w:numId="29" w16cid:durableId="83188600">
    <w:abstractNumId w:val="14"/>
  </w:num>
  <w:num w:numId="30" w16cid:durableId="1416321059">
    <w:abstractNumId w:val="14"/>
  </w:num>
  <w:num w:numId="31" w16cid:durableId="1693385812">
    <w:abstractNumId w:val="14"/>
  </w:num>
  <w:num w:numId="32" w16cid:durableId="822237236">
    <w:abstractNumId w:val="6"/>
  </w:num>
  <w:num w:numId="33" w16cid:durableId="178935236">
    <w:abstractNumId w:val="14"/>
  </w:num>
  <w:num w:numId="34" w16cid:durableId="1969969935">
    <w:abstractNumId w:val="12"/>
  </w:num>
  <w:num w:numId="35" w16cid:durableId="1509444521">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00E49"/>
    <w:rsid w:val="000021FA"/>
    <w:rsid w:val="00003DAD"/>
    <w:rsid w:val="0001518A"/>
    <w:rsid w:val="00015617"/>
    <w:rsid w:val="00017694"/>
    <w:rsid w:val="00017904"/>
    <w:rsid w:val="00020689"/>
    <w:rsid w:val="00041A94"/>
    <w:rsid w:val="000424CD"/>
    <w:rsid w:val="0004665B"/>
    <w:rsid w:val="000515CD"/>
    <w:rsid w:val="00052803"/>
    <w:rsid w:val="00054B68"/>
    <w:rsid w:val="00055870"/>
    <w:rsid w:val="00056B3A"/>
    <w:rsid w:val="0006631A"/>
    <w:rsid w:val="000709E3"/>
    <w:rsid w:val="000720C7"/>
    <w:rsid w:val="00072B09"/>
    <w:rsid w:val="00073EE8"/>
    <w:rsid w:val="00074E41"/>
    <w:rsid w:val="00077852"/>
    <w:rsid w:val="00080001"/>
    <w:rsid w:val="000901B7"/>
    <w:rsid w:val="00093C88"/>
    <w:rsid w:val="00095E61"/>
    <w:rsid w:val="0009632D"/>
    <w:rsid w:val="000A0FD4"/>
    <w:rsid w:val="000A3859"/>
    <w:rsid w:val="000A3EBF"/>
    <w:rsid w:val="000A5122"/>
    <w:rsid w:val="000A75C1"/>
    <w:rsid w:val="000B31D4"/>
    <w:rsid w:val="000B4746"/>
    <w:rsid w:val="000B4FF4"/>
    <w:rsid w:val="000B5519"/>
    <w:rsid w:val="000C3320"/>
    <w:rsid w:val="000C4FF0"/>
    <w:rsid w:val="000C56D6"/>
    <w:rsid w:val="000D62EA"/>
    <w:rsid w:val="000D77A6"/>
    <w:rsid w:val="000E1C2E"/>
    <w:rsid w:val="000E1E25"/>
    <w:rsid w:val="000E22BF"/>
    <w:rsid w:val="000E50BF"/>
    <w:rsid w:val="000E5B49"/>
    <w:rsid w:val="000F2402"/>
    <w:rsid w:val="000F43CB"/>
    <w:rsid w:val="000F72BB"/>
    <w:rsid w:val="000F7F6F"/>
    <w:rsid w:val="00102272"/>
    <w:rsid w:val="00102AF9"/>
    <w:rsid w:val="001050B1"/>
    <w:rsid w:val="00106FFA"/>
    <w:rsid w:val="00115540"/>
    <w:rsid w:val="001157CF"/>
    <w:rsid w:val="00115BCA"/>
    <w:rsid w:val="00115FB7"/>
    <w:rsid w:val="001216A8"/>
    <w:rsid w:val="0012509A"/>
    <w:rsid w:val="00133A3C"/>
    <w:rsid w:val="0014330C"/>
    <w:rsid w:val="001501C2"/>
    <w:rsid w:val="00151892"/>
    <w:rsid w:val="00153DB3"/>
    <w:rsid w:val="00153EDF"/>
    <w:rsid w:val="001543AB"/>
    <w:rsid w:val="0015648E"/>
    <w:rsid w:val="0016071C"/>
    <w:rsid w:val="00161ACE"/>
    <w:rsid w:val="001623D3"/>
    <w:rsid w:val="0017006F"/>
    <w:rsid w:val="00170552"/>
    <w:rsid w:val="0017636D"/>
    <w:rsid w:val="001837BF"/>
    <w:rsid w:val="001857DA"/>
    <w:rsid w:val="00190198"/>
    <w:rsid w:val="00195CA8"/>
    <w:rsid w:val="00195CF8"/>
    <w:rsid w:val="0019648C"/>
    <w:rsid w:val="00197E4E"/>
    <w:rsid w:val="001A1FA0"/>
    <w:rsid w:val="001A2CF9"/>
    <w:rsid w:val="001A585E"/>
    <w:rsid w:val="001B23A0"/>
    <w:rsid w:val="001B592D"/>
    <w:rsid w:val="001B59C5"/>
    <w:rsid w:val="001B6420"/>
    <w:rsid w:val="001C149D"/>
    <w:rsid w:val="001C1EE4"/>
    <w:rsid w:val="001C600B"/>
    <w:rsid w:val="001D3BA4"/>
    <w:rsid w:val="001D59AC"/>
    <w:rsid w:val="001D6AE9"/>
    <w:rsid w:val="001E1F38"/>
    <w:rsid w:val="001E2414"/>
    <w:rsid w:val="001E378E"/>
    <w:rsid w:val="001E65AC"/>
    <w:rsid w:val="001F1D5C"/>
    <w:rsid w:val="001F2A45"/>
    <w:rsid w:val="001F3334"/>
    <w:rsid w:val="001F6A9F"/>
    <w:rsid w:val="001F6FD3"/>
    <w:rsid w:val="00211EA8"/>
    <w:rsid w:val="00213155"/>
    <w:rsid w:val="00213159"/>
    <w:rsid w:val="00215683"/>
    <w:rsid w:val="00216F45"/>
    <w:rsid w:val="002173B6"/>
    <w:rsid w:val="00220584"/>
    <w:rsid w:val="0022761B"/>
    <w:rsid w:val="0023137F"/>
    <w:rsid w:val="00232ABF"/>
    <w:rsid w:val="00234DA7"/>
    <w:rsid w:val="00244C9B"/>
    <w:rsid w:val="002451BC"/>
    <w:rsid w:val="00247DCE"/>
    <w:rsid w:val="00251B02"/>
    <w:rsid w:val="002522C0"/>
    <w:rsid w:val="002658F2"/>
    <w:rsid w:val="00266898"/>
    <w:rsid w:val="00267CDC"/>
    <w:rsid w:val="002743A9"/>
    <w:rsid w:val="0027440A"/>
    <w:rsid w:val="002748FB"/>
    <w:rsid w:val="00275666"/>
    <w:rsid w:val="00275BED"/>
    <w:rsid w:val="00282628"/>
    <w:rsid w:val="00284FD6"/>
    <w:rsid w:val="002850D5"/>
    <w:rsid w:val="002870E3"/>
    <w:rsid w:val="00293FED"/>
    <w:rsid w:val="00294015"/>
    <w:rsid w:val="002972FB"/>
    <w:rsid w:val="002A1559"/>
    <w:rsid w:val="002A3439"/>
    <w:rsid w:val="002A52CA"/>
    <w:rsid w:val="002B26DC"/>
    <w:rsid w:val="002B3A05"/>
    <w:rsid w:val="002C0821"/>
    <w:rsid w:val="002C0874"/>
    <w:rsid w:val="002C1D41"/>
    <w:rsid w:val="002C393F"/>
    <w:rsid w:val="002C48B1"/>
    <w:rsid w:val="002C5127"/>
    <w:rsid w:val="002D26BE"/>
    <w:rsid w:val="002D5378"/>
    <w:rsid w:val="002F494B"/>
    <w:rsid w:val="00302132"/>
    <w:rsid w:val="0030311E"/>
    <w:rsid w:val="00303793"/>
    <w:rsid w:val="003102BB"/>
    <w:rsid w:val="00310643"/>
    <w:rsid w:val="003109B4"/>
    <w:rsid w:val="00312769"/>
    <w:rsid w:val="00317AC3"/>
    <w:rsid w:val="00327E93"/>
    <w:rsid w:val="00327EF3"/>
    <w:rsid w:val="0033182E"/>
    <w:rsid w:val="00340B96"/>
    <w:rsid w:val="00341780"/>
    <w:rsid w:val="00341E2C"/>
    <w:rsid w:val="00341F8C"/>
    <w:rsid w:val="00346A32"/>
    <w:rsid w:val="00353817"/>
    <w:rsid w:val="00357405"/>
    <w:rsid w:val="00362254"/>
    <w:rsid w:val="00363CEC"/>
    <w:rsid w:val="0036749D"/>
    <w:rsid w:val="003762DA"/>
    <w:rsid w:val="00383F48"/>
    <w:rsid w:val="00391EB7"/>
    <w:rsid w:val="003957AA"/>
    <w:rsid w:val="0039797C"/>
    <w:rsid w:val="003A14F0"/>
    <w:rsid w:val="003A1BC8"/>
    <w:rsid w:val="003A2A4E"/>
    <w:rsid w:val="003A4C8B"/>
    <w:rsid w:val="003A4CA6"/>
    <w:rsid w:val="003A63FC"/>
    <w:rsid w:val="003B110E"/>
    <w:rsid w:val="003B29C7"/>
    <w:rsid w:val="003C19EA"/>
    <w:rsid w:val="003C5646"/>
    <w:rsid w:val="003D3F90"/>
    <w:rsid w:val="003D60DA"/>
    <w:rsid w:val="003E2B61"/>
    <w:rsid w:val="003E2B77"/>
    <w:rsid w:val="003E5565"/>
    <w:rsid w:val="003E6718"/>
    <w:rsid w:val="003E6FF9"/>
    <w:rsid w:val="003F0355"/>
    <w:rsid w:val="003F1553"/>
    <w:rsid w:val="003F5259"/>
    <w:rsid w:val="0041078C"/>
    <w:rsid w:val="00426EAB"/>
    <w:rsid w:val="00441D5D"/>
    <w:rsid w:val="00442146"/>
    <w:rsid w:val="004429C9"/>
    <w:rsid w:val="00444679"/>
    <w:rsid w:val="00444CC1"/>
    <w:rsid w:val="00445F24"/>
    <w:rsid w:val="004542F7"/>
    <w:rsid w:val="0045449B"/>
    <w:rsid w:val="00455DD1"/>
    <w:rsid w:val="00461D67"/>
    <w:rsid w:val="0046240F"/>
    <w:rsid w:val="00471E22"/>
    <w:rsid w:val="0047285F"/>
    <w:rsid w:val="00472961"/>
    <w:rsid w:val="00472A3E"/>
    <w:rsid w:val="00473B2A"/>
    <w:rsid w:val="004744A5"/>
    <w:rsid w:val="004764AB"/>
    <w:rsid w:val="00480C1C"/>
    <w:rsid w:val="00483A52"/>
    <w:rsid w:val="004849A6"/>
    <w:rsid w:val="00487365"/>
    <w:rsid w:val="00492FBA"/>
    <w:rsid w:val="004971B5"/>
    <w:rsid w:val="004B1650"/>
    <w:rsid w:val="004B5CFA"/>
    <w:rsid w:val="004C3AEC"/>
    <w:rsid w:val="004C3E33"/>
    <w:rsid w:val="004C4315"/>
    <w:rsid w:val="004C6AE8"/>
    <w:rsid w:val="004D0FDC"/>
    <w:rsid w:val="004D6E61"/>
    <w:rsid w:val="004E2436"/>
    <w:rsid w:val="004E2BE8"/>
    <w:rsid w:val="004E3D0C"/>
    <w:rsid w:val="004E3EA3"/>
    <w:rsid w:val="004E4EBD"/>
    <w:rsid w:val="004E588D"/>
    <w:rsid w:val="004F37C8"/>
    <w:rsid w:val="00505305"/>
    <w:rsid w:val="00505CC2"/>
    <w:rsid w:val="005060DC"/>
    <w:rsid w:val="0051709E"/>
    <w:rsid w:val="0052024E"/>
    <w:rsid w:val="0052127E"/>
    <w:rsid w:val="00523E35"/>
    <w:rsid w:val="0053091F"/>
    <w:rsid w:val="00530F60"/>
    <w:rsid w:val="00542A31"/>
    <w:rsid w:val="00544803"/>
    <w:rsid w:val="00545986"/>
    <w:rsid w:val="005515AC"/>
    <w:rsid w:val="005517D0"/>
    <w:rsid w:val="00557FE6"/>
    <w:rsid w:val="00566B27"/>
    <w:rsid w:val="00566FB0"/>
    <w:rsid w:val="005718D4"/>
    <w:rsid w:val="005771C9"/>
    <w:rsid w:val="00580CEC"/>
    <w:rsid w:val="005924D2"/>
    <w:rsid w:val="005A2BE1"/>
    <w:rsid w:val="005A328B"/>
    <w:rsid w:val="005A3709"/>
    <w:rsid w:val="005A6A4A"/>
    <w:rsid w:val="005A6C7D"/>
    <w:rsid w:val="005B148A"/>
    <w:rsid w:val="005B1A3C"/>
    <w:rsid w:val="005B2296"/>
    <w:rsid w:val="005B22A3"/>
    <w:rsid w:val="005B3412"/>
    <w:rsid w:val="005C26A6"/>
    <w:rsid w:val="005C5AB2"/>
    <w:rsid w:val="005C610B"/>
    <w:rsid w:val="005C6974"/>
    <w:rsid w:val="005D3F13"/>
    <w:rsid w:val="005D60FB"/>
    <w:rsid w:val="005E2E4F"/>
    <w:rsid w:val="005E3950"/>
    <w:rsid w:val="005E6DF0"/>
    <w:rsid w:val="005F1FED"/>
    <w:rsid w:val="005F2E07"/>
    <w:rsid w:val="005F4E9A"/>
    <w:rsid w:val="005F7703"/>
    <w:rsid w:val="005F7DB5"/>
    <w:rsid w:val="005F7EBA"/>
    <w:rsid w:val="00600B82"/>
    <w:rsid w:val="00603FB1"/>
    <w:rsid w:val="006040DF"/>
    <w:rsid w:val="00605BB9"/>
    <w:rsid w:val="00606600"/>
    <w:rsid w:val="006068FB"/>
    <w:rsid w:val="006123FD"/>
    <w:rsid w:val="00614738"/>
    <w:rsid w:val="00616D83"/>
    <w:rsid w:val="0063567F"/>
    <w:rsid w:val="0064012C"/>
    <w:rsid w:val="00646322"/>
    <w:rsid w:val="006464D3"/>
    <w:rsid w:val="006464FA"/>
    <w:rsid w:val="006469B7"/>
    <w:rsid w:val="00651CAA"/>
    <w:rsid w:val="00654A75"/>
    <w:rsid w:val="00657B36"/>
    <w:rsid w:val="006623D6"/>
    <w:rsid w:val="00670EAB"/>
    <w:rsid w:val="0067659D"/>
    <w:rsid w:val="006802F0"/>
    <w:rsid w:val="0068530D"/>
    <w:rsid w:val="00686AB8"/>
    <w:rsid w:val="00695473"/>
    <w:rsid w:val="006A0D45"/>
    <w:rsid w:val="006A0DDE"/>
    <w:rsid w:val="006A2DBF"/>
    <w:rsid w:val="006A7F94"/>
    <w:rsid w:val="006B1B72"/>
    <w:rsid w:val="006B3878"/>
    <w:rsid w:val="006B7C50"/>
    <w:rsid w:val="006C0D2C"/>
    <w:rsid w:val="006C11E7"/>
    <w:rsid w:val="006C69B9"/>
    <w:rsid w:val="006C6BAB"/>
    <w:rsid w:val="006D51E5"/>
    <w:rsid w:val="006D53F5"/>
    <w:rsid w:val="006E2A06"/>
    <w:rsid w:val="006E34B1"/>
    <w:rsid w:val="006E6ADE"/>
    <w:rsid w:val="006F0F85"/>
    <w:rsid w:val="006F1F5C"/>
    <w:rsid w:val="006F7664"/>
    <w:rsid w:val="00700486"/>
    <w:rsid w:val="0070058F"/>
    <w:rsid w:val="00701EDA"/>
    <w:rsid w:val="0070325A"/>
    <w:rsid w:val="00705081"/>
    <w:rsid w:val="00712920"/>
    <w:rsid w:val="00714E52"/>
    <w:rsid w:val="00715381"/>
    <w:rsid w:val="00717F7E"/>
    <w:rsid w:val="00721298"/>
    <w:rsid w:val="00721474"/>
    <w:rsid w:val="00721D4F"/>
    <w:rsid w:val="0072489E"/>
    <w:rsid w:val="007249F3"/>
    <w:rsid w:val="00724E83"/>
    <w:rsid w:val="0073120E"/>
    <w:rsid w:val="0074045C"/>
    <w:rsid w:val="00742CA1"/>
    <w:rsid w:val="00743200"/>
    <w:rsid w:val="00744094"/>
    <w:rsid w:val="007550A5"/>
    <w:rsid w:val="007565D9"/>
    <w:rsid w:val="00760349"/>
    <w:rsid w:val="0076193E"/>
    <w:rsid w:val="007620A4"/>
    <w:rsid w:val="007631FB"/>
    <w:rsid w:val="007632E4"/>
    <w:rsid w:val="00765CD7"/>
    <w:rsid w:val="00767ABF"/>
    <w:rsid w:val="00790B6C"/>
    <w:rsid w:val="00792D28"/>
    <w:rsid w:val="00795DB5"/>
    <w:rsid w:val="007A2A23"/>
    <w:rsid w:val="007A42B7"/>
    <w:rsid w:val="007A4586"/>
    <w:rsid w:val="007A6CCE"/>
    <w:rsid w:val="007A6D81"/>
    <w:rsid w:val="007B1297"/>
    <w:rsid w:val="007B40B0"/>
    <w:rsid w:val="007B62B4"/>
    <w:rsid w:val="007C6A56"/>
    <w:rsid w:val="007C6D1F"/>
    <w:rsid w:val="007D1183"/>
    <w:rsid w:val="007D4066"/>
    <w:rsid w:val="007E0F3B"/>
    <w:rsid w:val="007E1463"/>
    <w:rsid w:val="007E64BD"/>
    <w:rsid w:val="007E7150"/>
    <w:rsid w:val="007F1AA8"/>
    <w:rsid w:val="007F1DCB"/>
    <w:rsid w:val="007F335E"/>
    <w:rsid w:val="007F3867"/>
    <w:rsid w:val="008005E5"/>
    <w:rsid w:val="00813085"/>
    <w:rsid w:val="00813CB7"/>
    <w:rsid w:val="008151EE"/>
    <w:rsid w:val="00816D4D"/>
    <w:rsid w:val="00821B39"/>
    <w:rsid w:val="008234A9"/>
    <w:rsid w:val="00830C0E"/>
    <w:rsid w:val="00834A0B"/>
    <w:rsid w:val="00837981"/>
    <w:rsid w:val="00840C68"/>
    <w:rsid w:val="00847A6A"/>
    <w:rsid w:val="00862625"/>
    <w:rsid w:val="00866042"/>
    <w:rsid w:val="008660C4"/>
    <w:rsid w:val="0087334D"/>
    <w:rsid w:val="00873BFD"/>
    <w:rsid w:val="008741F1"/>
    <w:rsid w:val="00877C71"/>
    <w:rsid w:val="00880D10"/>
    <w:rsid w:val="00883CD0"/>
    <w:rsid w:val="008842A0"/>
    <w:rsid w:val="008856D8"/>
    <w:rsid w:val="00886D76"/>
    <w:rsid w:val="008878AE"/>
    <w:rsid w:val="0089038F"/>
    <w:rsid w:val="00892510"/>
    <w:rsid w:val="008935BD"/>
    <w:rsid w:val="008958BF"/>
    <w:rsid w:val="008964BF"/>
    <w:rsid w:val="008A360A"/>
    <w:rsid w:val="008A3792"/>
    <w:rsid w:val="008A3F66"/>
    <w:rsid w:val="008A41D5"/>
    <w:rsid w:val="008A4597"/>
    <w:rsid w:val="008A6712"/>
    <w:rsid w:val="008A7AD4"/>
    <w:rsid w:val="008A7F83"/>
    <w:rsid w:val="008B0C32"/>
    <w:rsid w:val="008B3B0C"/>
    <w:rsid w:val="008B678E"/>
    <w:rsid w:val="008C2F24"/>
    <w:rsid w:val="008C6156"/>
    <w:rsid w:val="008D32A7"/>
    <w:rsid w:val="008D3C6D"/>
    <w:rsid w:val="008D79E9"/>
    <w:rsid w:val="008E093B"/>
    <w:rsid w:val="008E2271"/>
    <w:rsid w:val="008E2E52"/>
    <w:rsid w:val="008E5491"/>
    <w:rsid w:val="008F5537"/>
    <w:rsid w:val="00903EEF"/>
    <w:rsid w:val="009041F8"/>
    <w:rsid w:val="00904CAA"/>
    <w:rsid w:val="00905946"/>
    <w:rsid w:val="00911B90"/>
    <w:rsid w:val="00915D84"/>
    <w:rsid w:val="00923065"/>
    <w:rsid w:val="009273A2"/>
    <w:rsid w:val="00931344"/>
    <w:rsid w:val="00932304"/>
    <w:rsid w:val="009324A4"/>
    <w:rsid w:val="009352C2"/>
    <w:rsid w:val="00941818"/>
    <w:rsid w:val="00944050"/>
    <w:rsid w:val="00945FD8"/>
    <w:rsid w:val="009467FB"/>
    <w:rsid w:val="009478AD"/>
    <w:rsid w:val="0095180F"/>
    <w:rsid w:val="00951836"/>
    <w:rsid w:val="00956692"/>
    <w:rsid w:val="0095766C"/>
    <w:rsid w:val="00961693"/>
    <w:rsid w:val="00973B68"/>
    <w:rsid w:val="00973D7F"/>
    <w:rsid w:val="00974701"/>
    <w:rsid w:val="00983B57"/>
    <w:rsid w:val="00986F33"/>
    <w:rsid w:val="0098703E"/>
    <w:rsid w:val="0099557C"/>
    <w:rsid w:val="009A17D7"/>
    <w:rsid w:val="009A5727"/>
    <w:rsid w:val="009A587E"/>
    <w:rsid w:val="009A62D2"/>
    <w:rsid w:val="009B13CE"/>
    <w:rsid w:val="009B1EB7"/>
    <w:rsid w:val="009B5C2B"/>
    <w:rsid w:val="009C0F7D"/>
    <w:rsid w:val="009C14F2"/>
    <w:rsid w:val="009D0312"/>
    <w:rsid w:val="009D196A"/>
    <w:rsid w:val="009D7EBE"/>
    <w:rsid w:val="009E6113"/>
    <w:rsid w:val="009F19CE"/>
    <w:rsid w:val="009F61C4"/>
    <w:rsid w:val="00A04C29"/>
    <w:rsid w:val="00A0583A"/>
    <w:rsid w:val="00A05D23"/>
    <w:rsid w:val="00A05E23"/>
    <w:rsid w:val="00A07589"/>
    <w:rsid w:val="00A105B3"/>
    <w:rsid w:val="00A121A0"/>
    <w:rsid w:val="00A139CA"/>
    <w:rsid w:val="00A13B57"/>
    <w:rsid w:val="00A1424A"/>
    <w:rsid w:val="00A25F22"/>
    <w:rsid w:val="00A27624"/>
    <w:rsid w:val="00A302DD"/>
    <w:rsid w:val="00A3171D"/>
    <w:rsid w:val="00A3380A"/>
    <w:rsid w:val="00A34D06"/>
    <w:rsid w:val="00A353A5"/>
    <w:rsid w:val="00A3542C"/>
    <w:rsid w:val="00A35846"/>
    <w:rsid w:val="00A447D8"/>
    <w:rsid w:val="00A44B8D"/>
    <w:rsid w:val="00A45FB8"/>
    <w:rsid w:val="00A46D32"/>
    <w:rsid w:val="00A50CD3"/>
    <w:rsid w:val="00A5672C"/>
    <w:rsid w:val="00A5700B"/>
    <w:rsid w:val="00A60A28"/>
    <w:rsid w:val="00A62678"/>
    <w:rsid w:val="00A63B9A"/>
    <w:rsid w:val="00A65C1C"/>
    <w:rsid w:val="00A73346"/>
    <w:rsid w:val="00A734FC"/>
    <w:rsid w:val="00A73594"/>
    <w:rsid w:val="00A85A24"/>
    <w:rsid w:val="00A9369F"/>
    <w:rsid w:val="00A94BF0"/>
    <w:rsid w:val="00A96D60"/>
    <w:rsid w:val="00A975CE"/>
    <w:rsid w:val="00AA0518"/>
    <w:rsid w:val="00AA194D"/>
    <w:rsid w:val="00AA6635"/>
    <w:rsid w:val="00AB2D4D"/>
    <w:rsid w:val="00AB3D8A"/>
    <w:rsid w:val="00AB56DE"/>
    <w:rsid w:val="00AC6A77"/>
    <w:rsid w:val="00AD25D1"/>
    <w:rsid w:val="00AD37CC"/>
    <w:rsid w:val="00AD51C8"/>
    <w:rsid w:val="00AE09D4"/>
    <w:rsid w:val="00AE0F6B"/>
    <w:rsid w:val="00AE106E"/>
    <w:rsid w:val="00AE16B4"/>
    <w:rsid w:val="00AE6EA3"/>
    <w:rsid w:val="00AF0514"/>
    <w:rsid w:val="00AF211E"/>
    <w:rsid w:val="00AF2370"/>
    <w:rsid w:val="00AF237F"/>
    <w:rsid w:val="00AF2918"/>
    <w:rsid w:val="00B01254"/>
    <w:rsid w:val="00B024F1"/>
    <w:rsid w:val="00B0419D"/>
    <w:rsid w:val="00B050B4"/>
    <w:rsid w:val="00B11882"/>
    <w:rsid w:val="00B11FBD"/>
    <w:rsid w:val="00B14397"/>
    <w:rsid w:val="00B15C40"/>
    <w:rsid w:val="00B15CEE"/>
    <w:rsid w:val="00B23E4C"/>
    <w:rsid w:val="00B37760"/>
    <w:rsid w:val="00B402CC"/>
    <w:rsid w:val="00B41ABA"/>
    <w:rsid w:val="00B42D48"/>
    <w:rsid w:val="00B46C24"/>
    <w:rsid w:val="00B52653"/>
    <w:rsid w:val="00B557DC"/>
    <w:rsid w:val="00B55E7D"/>
    <w:rsid w:val="00B55EFC"/>
    <w:rsid w:val="00B6289E"/>
    <w:rsid w:val="00B62921"/>
    <w:rsid w:val="00B72E33"/>
    <w:rsid w:val="00B76D2B"/>
    <w:rsid w:val="00B804E6"/>
    <w:rsid w:val="00B8449B"/>
    <w:rsid w:val="00B928C8"/>
    <w:rsid w:val="00B939F2"/>
    <w:rsid w:val="00B94310"/>
    <w:rsid w:val="00B9767E"/>
    <w:rsid w:val="00B97E81"/>
    <w:rsid w:val="00BA00F4"/>
    <w:rsid w:val="00BA1C6F"/>
    <w:rsid w:val="00BA47AF"/>
    <w:rsid w:val="00BA4C68"/>
    <w:rsid w:val="00BB5E1F"/>
    <w:rsid w:val="00BB61B8"/>
    <w:rsid w:val="00BC0D0D"/>
    <w:rsid w:val="00BC102F"/>
    <w:rsid w:val="00BC292E"/>
    <w:rsid w:val="00BC3264"/>
    <w:rsid w:val="00BC7615"/>
    <w:rsid w:val="00BD10D1"/>
    <w:rsid w:val="00BD1FBD"/>
    <w:rsid w:val="00BE2D25"/>
    <w:rsid w:val="00BE695A"/>
    <w:rsid w:val="00BF06CC"/>
    <w:rsid w:val="00BF0CFE"/>
    <w:rsid w:val="00BF2A88"/>
    <w:rsid w:val="00BF60E9"/>
    <w:rsid w:val="00BF65E5"/>
    <w:rsid w:val="00C040A0"/>
    <w:rsid w:val="00C04342"/>
    <w:rsid w:val="00C06503"/>
    <w:rsid w:val="00C10B92"/>
    <w:rsid w:val="00C10F31"/>
    <w:rsid w:val="00C110DA"/>
    <w:rsid w:val="00C1170D"/>
    <w:rsid w:val="00C126AE"/>
    <w:rsid w:val="00C13022"/>
    <w:rsid w:val="00C157FF"/>
    <w:rsid w:val="00C214FB"/>
    <w:rsid w:val="00C21C11"/>
    <w:rsid w:val="00C21D23"/>
    <w:rsid w:val="00C22335"/>
    <w:rsid w:val="00C2393E"/>
    <w:rsid w:val="00C260D2"/>
    <w:rsid w:val="00C306F4"/>
    <w:rsid w:val="00C340D9"/>
    <w:rsid w:val="00C36042"/>
    <w:rsid w:val="00C3697A"/>
    <w:rsid w:val="00C376DC"/>
    <w:rsid w:val="00C455AE"/>
    <w:rsid w:val="00C45FCB"/>
    <w:rsid w:val="00C46719"/>
    <w:rsid w:val="00C50769"/>
    <w:rsid w:val="00C55942"/>
    <w:rsid w:val="00C56A4D"/>
    <w:rsid w:val="00C56FFE"/>
    <w:rsid w:val="00C63E1E"/>
    <w:rsid w:val="00C6401E"/>
    <w:rsid w:val="00C65CF1"/>
    <w:rsid w:val="00C6654E"/>
    <w:rsid w:val="00C676BC"/>
    <w:rsid w:val="00C70761"/>
    <w:rsid w:val="00C727F9"/>
    <w:rsid w:val="00C751F7"/>
    <w:rsid w:val="00C84CE0"/>
    <w:rsid w:val="00C865EE"/>
    <w:rsid w:val="00C87466"/>
    <w:rsid w:val="00C9014F"/>
    <w:rsid w:val="00C92E7F"/>
    <w:rsid w:val="00C93479"/>
    <w:rsid w:val="00C9433C"/>
    <w:rsid w:val="00CA6791"/>
    <w:rsid w:val="00CA6AB5"/>
    <w:rsid w:val="00CB05D7"/>
    <w:rsid w:val="00CC0003"/>
    <w:rsid w:val="00CC2FCD"/>
    <w:rsid w:val="00CD1FC8"/>
    <w:rsid w:val="00CD20DD"/>
    <w:rsid w:val="00CD2163"/>
    <w:rsid w:val="00CD2503"/>
    <w:rsid w:val="00CD2D74"/>
    <w:rsid w:val="00CD5D98"/>
    <w:rsid w:val="00CD6CB0"/>
    <w:rsid w:val="00CD74CA"/>
    <w:rsid w:val="00CE3CA6"/>
    <w:rsid w:val="00CE4BBE"/>
    <w:rsid w:val="00CE4DF2"/>
    <w:rsid w:val="00CE61C1"/>
    <w:rsid w:val="00CE7BAA"/>
    <w:rsid w:val="00CF1288"/>
    <w:rsid w:val="00CF2738"/>
    <w:rsid w:val="00CF6761"/>
    <w:rsid w:val="00D0019F"/>
    <w:rsid w:val="00D04114"/>
    <w:rsid w:val="00D04A6B"/>
    <w:rsid w:val="00D05505"/>
    <w:rsid w:val="00D126AC"/>
    <w:rsid w:val="00D153BA"/>
    <w:rsid w:val="00D157FE"/>
    <w:rsid w:val="00D15C3E"/>
    <w:rsid w:val="00D23596"/>
    <w:rsid w:val="00D262F3"/>
    <w:rsid w:val="00D264D0"/>
    <w:rsid w:val="00D2717D"/>
    <w:rsid w:val="00D30F6D"/>
    <w:rsid w:val="00D31B3F"/>
    <w:rsid w:val="00D364CD"/>
    <w:rsid w:val="00D43A67"/>
    <w:rsid w:val="00D55E44"/>
    <w:rsid w:val="00D5748C"/>
    <w:rsid w:val="00D64A61"/>
    <w:rsid w:val="00D64AB7"/>
    <w:rsid w:val="00D73A04"/>
    <w:rsid w:val="00D75874"/>
    <w:rsid w:val="00D75906"/>
    <w:rsid w:val="00D77958"/>
    <w:rsid w:val="00D80FA9"/>
    <w:rsid w:val="00D81AD6"/>
    <w:rsid w:val="00D82FAF"/>
    <w:rsid w:val="00D83221"/>
    <w:rsid w:val="00D851DF"/>
    <w:rsid w:val="00D87DBD"/>
    <w:rsid w:val="00D92999"/>
    <w:rsid w:val="00D93E90"/>
    <w:rsid w:val="00DA04B6"/>
    <w:rsid w:val="00DA3369"/>
    <w:rsid w:val="00DA642B"/>
    <w:rsid w:val="00DA6BD8"/>
    <w:rsid w:val="00DB40A1"/>
    <w:rsid w:val="00DC06EF"/>
    <w:rsid w:val="00DD41E0"/>
    <w:rsid w:val="00DD7DD5"/>
    <w:rsid w:val="00DE11AE"/>
    <w:rsid w:val="00DE27C5"/>
    <w:rsid w:val="00DE6ADA"/>
    <w:rsid w:val="00DF6556"/>
    <w:rsid w:val="00E01AF2"/>
    <w:rsid w:val="00E01B93"/>
    <w:rsid w:val="00E02BD6"/>
    <w:rsid w:val="00E04361"/>
    <w:rsid w:val="00E12399"/>
    <w:rsid w:val="00E14AED"/>
    <w:rsid w:val="00E24E2B"/>
    <w:rsid w:val="00E328EC"/>
    <w:rsid w:val="00E32B22"/>
    <w:rsid w:val="00E36EBB"/>
    <w:rsid w:val="00E40D28"/>
    <w:rsid w:val="00E455D0"/>
    <w:rsid w:val="00E52059"/>
    <w:rsid w:val="00E55C01"/>
    <w:rsid w:val="00E56EA3"/>
    <w:rsid w:val="00E645C6"/>
    <w:rsid w:val="00E64AA8"/>
    <w:rsid w:val="00E666B7"/>
    <w:rsid w:val="00E73007"/>
    <w:rsid w:val="00E744F2"/>
    <w:rsid w:val="00E77A18"/>
    <w:rsid w:val="00E81A04"/>
    <w:rsid w:val="00E843D3"/>
    <w:rsid w:val="00E851D8"/>
    <w:rsid w:val="00E90765"/>
    <w:rsid w:val="00E91FB4"/>
    <w:rsid w:val="00E922E9"/>
    <w:rsid w:val="00E97217"/>
    <w:rsid w:val="00E973E3"/>
    <w:rsid w:val="00EA1009"/>
    <w:rsid w:val="00EA135D"/>
    <w:rsid w:val="00EA4EBA"/>
    <w:rsid w:val="00EA6AFB"/>
    <w:rsid w:val="00EA7E8E"/>
    <w:rsid w:val="00EB0144"/>
    <w:rsid w:val="00EB0E11"/>
    <w:rsid w:val="00EB4455"/>
    <w:rsid w:val="00EC71F1"/>
    <w:rsid w:val="00EC7AC8"/>
    <w:rsid w:val="00ED07A4"/>
    <w:rsid w:val="00ED1773"/>
    <w:rsid w:val="00ED4022"/>
    <w:rsid w:val="00ED4AD8"/>
    <w:rsid w:val="00ED5277"/>
    <w:rsid w:val="00EE063E"/>
    <w:rsid w:val="00EE070A"/>
    <w:rsid w:val="00EE609F"/>
    <w:rsid w:val="00EE6679"/>
    <w:rsid w:val="00EE74D8"/>
    <w:rsid w:val="00EF0B79"/>
    <w:rsid w:val="00EF150C"/>
    <w:rsid w:val="00EF1E4D"/>
    <w:rsid w:val="00EF3C13"/>
    <w:rsid w:val="00EF42DE"/>
    <w:rsid w:val="00F00082"/>
    <w:rsid w:val="00F026C5"/>
    <w:rsid w:val="00F02B9D"/>
    <w:rsid w:val="00F06833"/>
    <w:rsid w:val="00F10391"/>
    <w:rsid w:val="00F11A4B"/>
    <w:rsid w:val="00F137ED"/>
    <w:rsid w:val="00F17746"/>
    <w:rsid w:val="00F22FCA"/>
    <w:rsid w:val="00F24813"/>
    <w:rsid w:val="00F258E1"/>
    <w:rsid w:val="00F27045"/>
    <w:rsid w:val="00F27365"/>
    <w:rsid w:val="00F30A00"/>
    <w:rsid w:val="00F30DD2"/>
    <w:rsid w:val="00F361C5"/>
    <w:rsid w:val="00F46B4A"/>
    <w:rsid w:val="00F53E26"/>
    <w:rsid w:val="00F53FB4"/>
    <w:rsid w:val="00F541CE"/>
    <w:rsid w:val="00F56E69"/>
    <w:rsid w:val="00F578B5"/>
    <w:rsid w:val="00F57B5D"/>
    <w:rsid w:val="00F6476A"/>
    <w:rsid w:val="00F6522E"/>
    <w:rsid w:val="00F658FA"/>
    <w:rsid w:val="00F707A7"/>
    <w:rsid w:val="00F71DC5"/>
    <w:rsid w:val="00F72DD8"/>
    <w:rsid w:val="00F771B9"/>
    <w:rsid w:val="00F80652"/>
    <w:rsid w:val="00F8105C"/>
    <w:rsid w:val="00F86835"/>
    <w:rsid w:val="00F9024A"/>
    <w:rsid w:val="00F92EAE"/>
    <w:rsid w:val="00F93854"/>
    <w:rsid w:val="00F93868"/>
    <w:rsid w:val="00F96E0C"/>
    <w:rsid w:val="00FA1B8C"/>
    <w:rsid w:val="00FA3327"/>
    <w:rsid w:val="00FB3194"/>
    <w:rsid w:val="00FB3ECC"/>
    <w:rsid w:val="00FB4B11"/>
    <w:rsid w:val="00FB4C0E"/>
    <w:rsid w:val="00FB7894"/>
    <w:rsid w:val="00FC48C1"/>
    <w:rsid w:val="00FC4B3B"/>
    <w:rsid w:val="00FD2BF8"/>
    <w:rsid w:val="00FD2C50"/>
    <w:rsid w:val="00FD477F"/>
    <w:rsid w:val="00FE3390"/>
    <w:rsid w:val="00FE3CCB"/>
    <w:rsid w:val="00FE3E4C"/>
    <w:rsid w:val="00FE4E26"/>
    <w:rsid w:val="00FE6F01"/>
    <w:rsid w:val="00FF3626"/>
    <w:rsid w:val="00FF4B2F"/>
    <w:rsid w:val="00FF68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BDB67"/>
  <w15:docId w15:val="{A1EF3C50-7050-4552-8DF8-54A32EA8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CA1"/>
    <w:pPr>
      <w:spacing w:before="120" w:after="240"/>
      <w:jc w:val="both"/>
    </w:pPr>
    <w:rPr>
      <w:rFonts w:ascii="Times New Roman" w:hAnsi="Times New Roman"/>
      <w:sz w:val="22"/>
      <w:szCs w:val="24"/>
      <w:lang w:val="en-IE"/>
    </w:rPr>
  </w:style>
  <w:style w:type="paragraph" w:styleId="Heading1">
    <w:name w:val="heading 1"/>
    <w:basedOn w:val="Normal"/>
    <w:next w:val="Normal"/>
    <w:qFormat/>
    <w:rsid w:val="00ED5277"/>
    <w:pPr>
      <w:keepNext/>
      <w:numPr>
        <w:numId w:val="1"/>
      </w:numPr>
      <w:tabs>
        <w:tab w:val="left" w:pos="1584"/>
      </w:tabs>
      <w:spacing w:before="600"/>
      <w:outlineLvl w:val="0"/>
    </w:pPr>
    <w:rPr>
      <w:rFonts w:asciiTheme="majorBidi" w:hAnsiTheme="majorBidi"/>
      <w:b/>
      <w:bCs/>
      <w:kern w:val="32"/>
      <w:sz w:val="32"/>
      <w:szCs w:val="32"/>
      <w:lang w:val="en-GB"/>
    </w:rPr>
  </w:style>
  <w:style w:type="paragraph" w:styleId="Heading2">
    <w:name w:val="heading 2"/>
    <w:basedOn w:val="Heading1"/>
    <w:next w:val="Normal"/>
    <w:link w:val="Heading2Char"/>
    <w:qFormat/>
    <w:rsid w:val="000D77A6"/>
    <w:pPr>
      <w:numPr>
        <w:ilvl w:val="1"/>
      </w:numPr>
      <w:tabs>
        <w:tab w:val="left" w:pos="540"/>
      </w:tabs>
      <w:spacing w:before="360" w:after="60"/>
      <w:outlineLvl w:val="1"/>
    </w:pPr>
    <w:rPr>
      <w:sz w:val="28"/>
      <w:szCs w:val="28"/>
    </w:rPr>
  </w:style>
  <w:style w:type="paragraph" w:styleId="Heading3">
    <w:name w:val="heading 3"/>
    <w:basedOn w:val="Normal"/>
    <w:next w:val="Normal"/>
    <w:qFormat/>
    <w:rsid w:val="000D77A6"/>
    <w:pPr>
      <w:keepNext/>
      <w:numPr>
        <w:ilvl w:val="2"/>
        <w:numId w:val="1"/>
      </w:numPr>
      <w:tabs>
        <w:tab w:val="left" w:pos="540"/>
      </w:tabs>
      <w:spacing w:before="240" w:after="60"/>
      <w:outlineLvl w:val="2"/>
    </w:pPr>
    <w:rPr>
      <w:rFonts w:asciiTheme="majorBidi" w:hAnsiTheme="majorBidi"/>
      <w:bCs/>
      <w:i/>
      <w:sz w:val="24"/>
      <w:szCs w:val="26"/>
      <w:lang w:val="en-GB"/>
    </w:rPr>
  </w:style>
  <w:style w:type="paragraph" w:styleId="Heading4">
    <w:name w:val="heading 4"/>
    <w:basedOn w:val="Normal"/>
    <w:next w:val="Normal"/>
    <w:qFormat/>
    <w:rsid w:val="00480C1C"/>
    <w:pPr>
      <w:keepNext/>
      <w:numPr>
        <w:ilvl w:val="3"/>
        <w:numId w:val="1"/>
      </w:numPr>
      <w:spacing w:before="240" w:after="60"/>
      <w:outlineLvl w:val="3"/>
    </w:pPr>
    <w:rPr>
      <w:bCs/>
      <w:i/>
      <w:szCs w:val="28"/>
    </w:rPr>
  </w:style>
  <w:style w:type="paragraph" w:styleId="Heading5">
    <w:name w:val="heading 5"/>
    <w:basedOn w:val="Normal"/>
    <w:next w:val="Normal"/>
    <w:qFormat/>
    <w:rsid w:val="00742CA1"/>
    <w:pPr>
      <w:numPr>
        <w:ilvl w:val="4"/>
        <w:numId w:val="1"/>
      </w:numPr>
      <w:spacing w:before="240" w:after="60"/>
      <w:outlineLvl w:val="4"/>
    </w:pPr>
    <w:rPr>
      <w:b/>
      <w:bCs/>
      <w:i/>
      <w:iCs/>
      <w:sz w:val="26"/>
      <w:szCs w:val="26"/>
    </w:rPr>
  </w:style>
  <w:style w:type="paragraph" w:styleId="Heading6">
    <w:name w:val="heading 6"/>
    <w:basedOn w:val="Normal"/>
    <w:next w:val="Normal"/>
    <w:rsid w:val="00742CA1"/>
    <w:pPr>
      <w:numPr>
        <w:ilvl w:val="5"/>
        <w:numId w:val="1"/>
      </w:numPr>
      <w:spacing w:before="240" w:after="60"/>
      <w:outlineLvl w:val="5"/>
    </w:pPr>
    <w:rPr>
      <w:b/>
      <w:bCs/>
      <w:szCs w:val="22"/>
    </w:rPr>
  </w:style>
  <w:style w:type="paragraph" w:styleId="Heading7">
    <w:name w:val="heading 7"/>
    <w:basedOn w:val="Normal"/>
    <w:next w:val="Normal"/>
    <w:rsid w:val="00742CA1"/>
    <w:pPr>
      <w:numPr>
        <w:ilvl w:val="6"/>
        <w:numId w:val="1"/>
      </w:numPr>
      <w:spacing w:before="240" w:after="60"/>
      <w:outlineLvl w:val="6"/>
    </w:pPr>
    <w:rPr>
      <w:sz w:val="24"/>
    </w:rPr>
  </w:style>
  <w:style w:type="paragraph" w:styleId="Heading8">
    <w:name w:val="heading 8"/>
    <w:basedOn w:val="Normal"/>
    <w:next w:val="Normal"/>
    <w:rsid w:val="00742CA1"/>
    <w:pPr>
      <w:numPr>
        <w:ilvl w:val="7"/>
        <w:numId w:val="1"/>
      </w:numPr>
      <w:spacing w:before="240" w:after="60"/>
      <w:outlineLvl w:val="7"/>
    </w:pPr>
    <w:rPr>
      <w:i/>
      <w:iCs/>
      <w:sz w:val="24"/>
    </w:rPr>
  </w:style>
  <w:style w:type="paragraph" w:styleId="Heading9">
    <w:name w:val="heading 9"/>
    <w:basedOn w:val="Normal"/>
    <w:next w:val="Normal"/>
    <w:rsid w:val="00742CA1"/>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67ABF"/>
    <w:pPr>
      <w:tabs>
        <w:tab w:val="left" w:pos="442"/>
        <w:tab w:val="left" w:pos="1080"/>
        <w:tab w:val="right" w:leader="dot" w:pos="8630"/>
      </w:tabs>
      <w:spacing w:before="0" w:after="80"/>
      <w:ind w:left="288" w:hanging="288"/>
      <w:jc w:val="left"/>
    </w:pPr>
    <w:rPr>
      <w:rFonts w:asciiTheme="majorBidi" w:hAnsiTheme="majorBidi"/>
      <w:bCs/>
      <w:lang w:val="en-GB"/>
    </w:rPr>
  </w:style>
  <w:style w:type="paragraph" w:styleId="TOC2">
    <w:name w:val="toc 2"/>
    <w:basedOn w:val="Normal"/>
    <w:next w:val="Normal"/>
    <w:autoRedefine/>
    <w:uiPriority w:val="39"/>
    <w:rsid w:val="0046240F"/>
    <w:pPr>
      <w:tabs>
        <w:tab w:val="right" w:leader="dot" w:pos="8729"/>
      </w:tabs>
      <w:spacing w:before="0" w:after="80"/>
      <w:ind w:left="576"/>
      <w:jc w:val="left"/>
    </w:pPr>
    <w:rPr>
      <w:rFonts w:asciiTheme="majorBidi" w:hAnsiTheme="majorBidi"/>
      <w:noProof/>
    </w:rPr>
  </w:style>
  <w:style w:type="paragraph" w:styleId="TOC3">
    <w:name w:val="toc 3"/>
    <w:basedOn w:val="Normal"/>
    <w:next w:val="Normal"/>
    <w:autoRedefine/>
    <w:uiPriority w:val="39"/>
    <w:rsid w:val="00ED07A4"/>
    <w:pPr>
      <w:tabs>
        <w:tab w:val="left" w:pos="1170"/>
        <w:tab w:val="right" w:leader="dot" w:pos="8630"/>
      </w:tabs>
      <w:spacing w:before="0" w:after="80"/>
      <w:ind w:left="576"/>
      <w:jc w:val="left"/>
    </w:pPr>
    <w:rPr>
      <w:rFonts w:asciiTheme="majorBidi" w:hAnsiTheme="majorBidi"/>
      <w:iCs/>
      <w:noProof/>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rFonts w:ascii="Times New Roman" w:hAnsi="Times New Roman"/>
      <w:sz w:val="22"/>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rPr>
      <w:rFonts w:ascii="Times New Roman" w:hAnsi="Times New Roman"/>
      <w:sz w:val="22"/>
    </w:r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autoRedefine/>
    <w:uiPriority w:val="35"/>
    <w:unhideWhenUsed/>
    <w:qFormat/>
    <w:rsid w:val="00C9014F"/>
    <w:pPr>
      <w:spacing w:before="0" w:after="200"/>
    </w:pPr>
    <w:rPr>
      <w:iCs/>
      <w:sz w:val="20"/>
      <w:szCs w:val="18"/>
    </w:rPr>
  </w:style>
  <w:style w:type="character" w:styleId="Strong">
    <w:name w:val="Strong"/>
    <w:basedOn w:val="DefaultParagraphFont"/>
    <w:uiPriority w:val="22"/>
    <w:qFormat/>
    <w:rsid w:val="00072B09"/>
    <w:rPr>
      <w:b/>
      <w:bCs/>
    </w:rPr>
  </w:style>
  <w:style w:type="character" w:styleId="UnresolvedMention">
    <w:name w:val="Unresolved Mention"/>
    <w:basedOn w:val="DefaultParagraphFont"/>
    <w:uiPriority w:val="99"/>
    <w:semiHidden/>
    <w:unhideWhenUsed/>
    <w:rsid w:val="00102272"/>
    <w:rPr>
      <w:color w:val="605E5C"/>
      <w:shd w:val="clear" w:color="auto" w:fill="E1DFDD"/>
    </w:rPr>
  </w:style>
  <w:style w:type="paragraph" w:styleId="Bibliography">
    <w:name w:val="Bibliography"/>
    <w:basedOn w:val="Normal"/>
    <w:next w:val="Normal"/>
    <w:uiPriority w:val="37"/>
    <w:unhideWhenUsed/>
    <w:rsid w:val="004C3E33"/>
  </w:style>
  <w:style w:type="paragraph" w:styleId="TableofFigures">
    <w:name w:val="table of figures"/>
    <w:basedOn w:val="Normal"/>
    <w:next w:val="Normal"/>
    <w:uiPriority w:val="99"/>
    <w:unhideWhenUsed/>
    <w:rsid w:val="00275BED"/>
    <w:pPr>
      <w:spacing w:before="0" w:after="120"/>
      <w:ind w:left="288" w:hanging="288"/>
    </w:pPr>
  </w:style>
  <w:style w:type="paragraph" w:styleId="TOCHeading">
    <w:name w:val="TOC Heading"/>
    <w:basedOn w:val="Heading1"/>
    <w:next w:val="Normal"/>
    <w:uiPriority w:val="39"/>
    <w:unhideWhenUsed/>
    <w:qFormat/>
    <w:rsid w:val="004C4315"/>
    <w:pPr>
      <w:keepLines/>
      <w:numPr>
        <w:numId w:val="0"/>
      </w:numPr>
      <w:tabs>
        <w:tab w:val="clear" w:pos="1584"/>
      </w:tabs>
      <w:spacing w:before="240" w:after="0" w:line="259" w:lineRule="auto"/>
      <w:jc w:val="left"/>
      <w:outlineLvl w:val="9"/>
    </w:pPr>
    <w:rPr>
      <w:rFonts w:eastAsiaTheme="majorEastAsia" w:cstheme="majorBidi"/>
      <w:bCs w:val="0"/>
      <w:kern w:val="0"/>
      <w:lang w:val="en-US"/>
    </w:rPr>
  </w:style>
  <w:style w:type="character" w:customStyle="1" w:styleId="Heading2Char">
    <w:name w:val="Heading 2 Char"/>
    <w:basedOn w:val="DefaultParagraphFont"/>
    <w:link w:val="Heading2"/>
    <w:rsid w:val="00F71DC5"/>
    <w:rPr>
      <w:rFonts w:asciiTheme="majorBidi" w:hAnsiTheme="majorBidi"/>
      <w:b/>
      <w:bCs/>
      <w:kern w:val="32"/>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5023">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23163217">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84124651">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330251749">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70914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Lau99</b:Tag>
    <b:SourceType>JournalArticle</b:SourceType>
    <b:Guid>{268C6F75-1210-4AA5-98B1-83E898491478}</b:Guid>
    <b:Author>
      <b:Author>
        <b:NameList>
          <b:Person>
            <b:Last>Lau</b:Last>
            <b:First>Lyda</b:First>
            <b:Middle>MS</b:Middle>
          </b:Person>
          <b:Person>
            <b:Last>Curson</b:Last>
            <b:First>Jayne</b:First>
          </b:Person>
          <b:Person>
            <b:Last>Drew</b:Last>
            <b:First>Richard</b:First>
          </b:Person>
          <b:Person>
            <b:Last>Dew</b:Last>
            <b:First>Peter</b:First>
          </b:Person>
          <b:Person>
            <b:Last>and Leigh</b:Last>
            <b:First>Christine</b:First>
          </b:Person>
        </b:NameList>
      </b:Author>
    </b:Author>
    <b:Title>Use Of VSP Resource Rooms to Support Group Work in a Learning Environment</b:Title>
    <b:Year>1999</b:Year>
    <b:JournalName>Journal Paper Example</b:JournalName>
    <b:Pages>2</b:Pages>
    <b:Volume>99</b:Volume>
    <b:RefOrder>1</b:RefOrder>
  </b:Source>
  <b:Source>
    <b:Tag>Nak96</b:Tag>
    <b:SourceType>ConferenceProceedings</b:SourceType>
    <b:Guid>{408AC0DA-C449-4E2F-ABC7-1DE4B59EC593}</b:Guid>
    <b:Title>Freewalk: Supporting casual meetings in a network</b:Title>
    <b:Year>1996</b:Year>
    <b:Pages>308-314</b:Pages>
    <b:Author>
      <b:Author>
        <b:NameList>
          <b:Person>
            <b:Last>Nakanishi</b:Last>
            <b:First>Hideyuki</b:First>
          </b:Person>
          <b:Person>
            <b:Last>Yoshida</b:Last>
            <b:First>Chikara</b:First>
          </b:Person>
          <b:Person>
            <b:Last>Nishimura</b:Last>
            <b:First>Toshikazu</b:First>
          </b:Person>
          <b:Person>
            <b:Last>and Ishida</b:Last>
            <b:First>Toru</b:First>
          </b:Person>
        </b:NameList>
      </b:Author>
    </b:Author>
    <b:ConferenceName>Proceedings of the 1996 ACM conference on Computer supported cooperative work</b:ConferenceName>
    <b:City>Boston Massachusetts USA</b:City>
    <b:RefOrder>2</b:RefOrder>
  </b:Source>
  <b:Source>
    <b:Tag>Coa24</b:Tag>
    <b:SourceType>InternetSite</b:SourceType>
    <b:Guid>{7DEEC28A-567D-460A-8A7B-3F1A57EF9A70}</b:Guid>
    <b:Title>How To Reference In Microsoft Word 2025: Full Tutorial With Examples Of Citations &amp; Bibliography</b:Title>
    <b:Year>2024</b:Year>
    <b:YearAccessed>2025</b:YearAccessed>
    <b:MonthAccessed>6</b:MonthAccessed>
    <b:DayAccessed>23</b:DayAccessed>
    <b:URL>https://www.youtube.com/watch?v=wnviwr-CF2w&amp;t=416s</b:URL>
    <b:Author>
      <b:Author>
        <b:NameList>
          <b:Person>
            <b:Last>Coach</b:Last>
            <b:First>Grad</b:First>
          </b:Person>
        </b:NameList>
      </b:Author>
    </b:Author>
    <b:RefOrder>3</b:RefOrder>
  </b:Source>
  <b:Source>
    <b:Tag>Mic25</b:Tag>
    <b:SourceType>InternetSite</b:SourceType>
    <b:Guid>{633FA14D-9938-45A3-B9A1-74963239E824}</b:Guid>
    <b:URL>https://support.microsoft.com/en-us/office/add-citations-in-a-word-document-ab9322bb-a8d3-47f4-80c8-63c06779f127</b:URL>
    <b:Author>
      <b:Author>
        <b:NameList>
          <b:Person>
            <b:Last>Inc.</b:Last>
            <b:First>Microsoft</b:First>
          </b:Person>
        </b:NameList>
      </b:Author>
    </b:Author>
    <b:Title>Add citations in a Word document</b:Title>
    <b:YearAccessed>2025</b:YearAccessed>
    <b:MonthAccessed>6</b:MonthAccessed>
    <b:DayAccessed>23</b:DayAccessed>
    <b:RefOrder>4</b:RefOrder>
  </b:Source>
</b:Sources>
</file>

<file path=customXml/itemProps1.xml><?xml version="1.0" encoding="utf-8"?>
<ds:datastoreItem xmlns:ds="http://schemas.openxmlformats.org/officeDocument/2006/customXml" ds:itemID="{AEE4A481-BC45-4D2C-B642-345D983C4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2680</Words>
  <Characters>17884</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20523</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Hasan Jamal</cp:lastModifiedBy>
  <cp:revision>23</cp:revision>
  <cp:lastPrinted>2014-06-04T11:08:00Z</cp:lastPrinted>
  <dcterms:created xsi:type="dcterms:W3CDTF">2025-10-04T18:05:00Z</dcterms:created>
  <dcterms:modified xsi:type="dcterms:W3CDTF">2025-10-21T06:20:00Z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