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9360"/>
            <w:shd w:fill="0F172A" w:color="auto" w:val="clear"/>
            <w:tcMar>
              <w:top w:w="160" w:type="dxa"/>
              <w:bottom w:w="160" w:type="dxa"/>
              <w:left w:w="180" w:type="dxa"/>
              <w:right w:w="180" w:type="dxa"/>
            </w:tcMar>
          </w:tcPr>
          <w:p>
            <w:pPr>
              <w:spacing w:before="0" w:after="40"/>
            </w:pPr>
            <w:r>
              <w:rPr>
                <w:rFonts w:ascii="Calibri" w:hAnsi="Calibri"/>
                <w:b/>
                <w:color w:val="CCFBF1"/>
                <w:sz w:val="19"/>
              </w:rPr>
              <w:t>MST IMPORT &amp; EXPORT SDN. BHD. — E-COMMERCE PLATFORM</w:t>
              <w:br/>
            </w:r>
            <w:r>
              <w:rPr>
                <w:rFonts w:ascii="Calibri" w:hAnsi="Calibri"/>
                <w:b/>
                <w:color w:val="FFFFFF"/>
                <w:sz w:val="30"/>
              </w:rPr>
              <w:t>Technical Clarification &amp; Final UAT Preparation Report</w:t>
              <w:br/>
            </w:r>
            <w:r>
              <w:rPr>
                <w:rFonts w:ascii="Calibri" w:hAnsi="Calibri"/>
                <w:i/>
                <w:color w:val="E2E8F0"/>
                <w:sz w:val="19"/>
              </w:rPr>
              <w:t>Formal Alignment: Email Retention (admin@mst.my), Stripe Test Permissions, Zone A/B Delivery Thresholds &amp; Variable-Weight UAT Scope</w:t>
            </w:r>
          </w:p>
        </w:tc>
      </w:tr>
    </w:tbl>
    <w:p>
      <w:pPr>
        <w:spacing w:after="40"/>
      </w:pP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5040"/>
        <w:gridCol w:w="5040"/>
      </w:tblGrid>
      <w:tr>
        <w:tc>
          <w:tcPr>
            <w:tcW w:type="dxa" w:w="4680"/>
            <w:shd w:fill="F8FAFC" w:color="auto" w:val="clear"/>
            <w:tcMar>
              <w:top w:w="60" w:type="dxa"/>
              <w:bottom w:w="60" w:type="dxa"/>
              <w:left w:w="100" w:type="dxa"/>
              <w:right w:w="100" w:type="dxa"/>
            </w:tcMar>
          </w:tcPr>
          <w:p>
            <w:pPr>
              <w:spacing w:before="0" w:after="0"/>
            </w:pPr>
            <w:r>
              <w:rPr>
                <w:rFonts w:ascii="Calibri" w:hAnsi="Calibri"/>
                <w:b/>
                <w:color w:val="334155"/>
                <w:sz w:val="17"/>
              </w:rPr>
              <w:t>Prepared For:</w:t>
            </w:r>
            <w:r>
              <w:rPr>
                <w:rFonts w:ascii="Calibri" w:hAnsi="Calibri"/>
                <w:color w:val="0F172A"/>
                <w:sz w:val="17"/>
              </w:rPr>
              <w:t xml:space="preserve"> Wendy (Client Project Lead) &amp; MST Management</w:t>
            </w:r>
          </w:p>
        </w:tc>
        <w:tc>
          <w:tcPr>
            <w:tcW w:type="dxa" w:w="4680"/>
            <w:shd w:fill="F8FAFC" w:color="auto" w:val="clear"/>
            <w:tcMar>
              <w:top w:w="60" w:type="dxa"/>
              <w:bottom w:w="60" w:type="dxa"/>
              <w:left w:w="100" w:type="dxa"/>
              <w:right w:w="100" w:type="dxa"/>
            </w:tcMar>
          </w:tcPr>
          <w:p>
            <w:pPr>
              <w:spacing w:before="0" w:after="0"/>
            </w:pPr>
            <w:r>
              <w:rPr>
                <w:rFonts w:ascii="Calibri" w:hAnsi="Calibri"/>
                <w:b/>
                <w:color w:val="334155"/>
                <w:sz w:val="17"/>
              </w:rPr>
              <w:t>Date &amp; Phase:</w:t>
            </w:r>
            <w:r>
              <w:rPr>
                <w:rFonts w:ascii="Calibri" w:hAnsi="Calibri"/>
                <w:color w:val="0F172A"/>
                <w:sz w:val="17"/>
              </w:rPr>
              <w:t xml:space="preserve"> October 2026 · Pre-UAT Alignment &amp; Handover</w:t>
            </w:r>
          </w:p>
        </w:tc>
      </w:tr>
      <w:tr>
        <w:tc>
          <w:tcPr>
            <w:tcW w:type="dxa" w:w="4680"/>
            <w:shd w:fill="FFFFFF" w:color="auto" w:val="clear"/>
            <w:tcMar>
              <w:top w:w="60" w:type="dxa"/>
              <w:bottom w:w="60" w:type="dxa"/>
              <w:left w:w="100" w:type="dxa"/>
              <w:right w:w="100" w:type="dxa"/>
            </w:tcMar>
          </w:tcPr>
          <w:p>
            <w:pPr>
              <w:spacing w:before="0" w:after="0"/>
            </w:pPr>
            <w:r>
              <w:rPr>
                <w:rFonts w:ascii="Calibri" w:hAnsi="Calibri"/>
                <w:b/>
                <w:color w:val="334155"/>
                <w:sz w:val="17"/>
              </w:rPr>
              <w:t>Prepared By:</w:t>
            </w:r>
            <w:r>
              <w:rPr>
                <w:rFonts w:ascii="Calibri" w:hAnsi="Calibri"/>
                <w:color w:val="0F172A"/>
                <w:sz w:val="17"/>
              </w:rPr>
              <w:t xml:space="preserve"> Abdul (Technical Lead / Solution Architect)</w:t>
            </w:r>
          </w:p>
        </w:tc>
        <w:tc>
          <w:tcPr>
            <w:tcW w:type="dxa" w:w="4680"/>
            <w:shd w:fill="FFFFFF" w:color="auto" w:val="clear"/>
            <w:tcMar>
              <w:top w:w="60" w:type="dxa"/>
              <w:bottom w:w="60" w:type="dxa"/>
              <w:left w:w="100" w:type="dxa"/>
              <w:right w:w="100" w:type="dxa"/>
            </w:tcMar>
          </w:tcPr>
          <w:p>
            <w:pPr>
              <w:spacing w:before="0" w:after="0"/>
            </w:pPr>
            <w:r>
              <w:rPr>
                <w:rFonts w:ascii="Calibri" w:hAnsi="Calibri"/>
                <w:b/>
                <w:color w:val="334155"/>
                <w:sz w:val="17"/>
              </w:rPr>
              <w:t>Integration Status:</w:t>
            </w:r>
            <w:r>
              <w:rPr>
                <w:rFonts w:ascii="Calibri" w:hAnsi="Calibri"/>
                <w:color w:val="0F172A"/>
                <w:sz w:val="17"/>
              </w:rPr>
              <w:t xml:space="preserve"> Ready for Stripe Test Mode Configuration</w:t>
            </w:r>
          </w:p>
        </w:tc>
      </w:tr>
    </w:tbl>
    <w:p>
      <w:pPr>
        <w:spacing w:after="80"/>
      </w:pPr>
    </w:p>
    <w:p>
      <w:pPr>
        <w:keepNext/>
        <w:spacing w:before="280" w:after="80"/>
      </w:pPr>
      <w:r>
        <w:rPr>
          <w:rFonts w:ascii="Calibri" w:hAnsi="Calibri"/>
          <w:b/>
          <w:color w:val="0F766E"/>
          <w:sz w:val="27"/>
        </w:rPr>
        <w:t>Executive Summary &amp; Key Alignments</w:t>
      </w:r>
    </w:p>
    <w:p>
      <w:pPr>
        <w:spacing w:before="40" w:after="80" w:line="276" w:lineRule="auto"/>
      </w:pPr>
      <w:r>
        <w:rPr>
          <w:rFonts w:ascii="Calibri" w:hAnsi="Calibri"/>
          <w:b w:val="0"/>
          <w:i w:val="0"/>
          <w:sz w:val="20"/>
        </w:rPr>
        <w:t>Thank you for reviewing the integration specifications. We fully acknowledge and endorse all your directives. The development configuration has been aligned to retain existing working systems, maintain strict zero-password boundaries in Stripe Test Mode, adhere to the latest Zone A/B delivery fee schedule, and designate variable-weight seafood processing as Pending UAT.</w:t>
      </w:r>
    </w:p>
    <w:tbl>
      <w:tblPr>
        <w:tblW w:type="auto" w:w="0"/>
        <w:jc w:val="center"/>
        <w:tblLayout w:type="fixed"/>
        <w:tblLook w:firstColumn="1" w:firstRow="1" w:lastColumn="0" w:lastRow="0" w:noHBand="0" w:noVBand="1" w:val="04A0"/>
      </w:tblPr>
      <w:tblGrid>
        <w:gridCol w:w="10080"/>
      </w:tblGrid>
      <w:tr>
        <w:tc>
          <w:tcPr>
            <w:tcW w:type="dxa" w:w="9360"/>
            <w:shd w:fill="F0FDF4" w:color="auto" w:val="clear"/>
            <w:tcMar>
              <w:top w:w="120" w:type="dxa"/>
              <w:bottom w:w="120" w:type="dxa"/>
              <w:left w:w="160" w:type="dxa"/>
              <w:right w:w="160" w:type="dxa"/>
            </w:tcMar>
            <w:tcBorders>
              <w:top w:val="none"/>
              <w:left w:val="single" w:sz="24" w:space="0" w:color="16A34A"/>
              <w:bottom w:val="none"/>
              <w:right w:val="none"/>
            </w:tcBorders>
          </w:tcPr>
          <w:p>
            <w:pPr>
              <w:spacing w:before="0" w:after="40" w:line="276" w:lineRule="auto"/>
            </w:pPr>
            <w:r>
              <w:rPr>
                <w:rFonts w:ascii="Calibri" w:hAnsi="Calibri"/>
                <w:b/>
                <w:color w:val="0F766E"/>
                <w:sz w:val="21"/>
              </w:rPr>
              <w:t>Executive Summary of Confirmations</w:t>
              <w:br/>
            </w:r>
            <w:r>
              <w:rPr>
                <w:rFonts w:ascii="Calibri" w:hAnsi="Calibri"/>
                <w:color w:val="1E293B"/>
                <w:sz w:val="19"/>
              </w:rPr>
              <w:t>1. Email / SMTP: Retaining existing working configuration with admin@mst.my as the primary sender. Zero additional credentials required.</w:t>
              <w:br/>
              <w:t>2. Stripe Access: Sandbox Test Mode only with minimal restricted permissions (Checkout, PaymentIntents, Webhooks). Zero live access.</w:t>
              <w:br/>
              <w:t>3. Payment Methods: Displaying strictly enabled methods (Visa, Mastercard, FPX, and In-Store Cash for Walk-in).</w:t>
              <w:br/>
              <w:t>4. Delivery Rules: Zone A (≥RM150 Free / &lt;RM150 RM10 Fee). Zone B / Outstation (No free delivery, custom quotation). 81300 Skudai locked in Zone B.</w:t>
              <w:br/>
              <w:t>5. Variable-Weight Flower Crab: Explicitly marked as 'Pending UAT' with both overweight adjustment and underweight refund scenarios ready for verification.</w:t>
              <w:br/>
              <w:t>6. Required Handover: Only Stripe Test Mode Keys (pk_test_... / sk_test_...) needed to start sandbox UAT.</w:t>
            </w:r>
          </w:p>
        </w:tc>
      </w:tr>
    </w:tbl>
    <w:p>
      <w:pPr>
        <w:spacing w:before="0" w:after="80"/>
      </w:pPr>
    </w:p>
    <w:p>
      <w:pPr>
        <w:keepNext/>
        <w:spacing w:before="280" w:after="80"/>
      </w:pPr>
      <w:r>
        <w:rPr>
          <w:rFonts w:ascii="Calibri" w:hAnsi="Calibri"/>
          <w:b/>
          <w:color w:val="0F766E"/>
          <w:sz w:val="27"/>
        </w:rPr>
        <w:t>1. Email / SMTP Configuration — Retaining Existing Setup</w:t>
      </w:r>
    </w:p>
    <w:p>
      <w:pPr>
        <w:spacing w:before="40" w:after="80" w:line="276" w:lineRule="auto"/>
      </w:pPr>
      <w:r>
        <w:rPr>
          <w:rFonts w:ascii="Calibri" w:hAnsi="Calibri"/>
          <w:b w:val="0"/>
          <w:i w:val="0"/>
          <w:sz w:val="20"/>
        </w:rPr>
        <w:t>We completely agree with your preference to maintain the current, proven email setup rather than making unnecessary adjustments.</w:t>
      </w:r>
    </w:p>
    <w:p>
      <w:pPr>
        <w:pStyle w:val="ListBullet"/>
        <w:spacing w:before="40" w:after="50" w:line="276" w:lineRule="auto"/>
        <w:ind w:left="360"/>
      </w:pPr>
      <w:r>
        <w:rPr>
          <w:rFonts w:ascii="Calibri" w:hAnsi="Calibri"/>
          <w:b/>
          <w:sz w:val="20"/>
        </w:rPr>
        <w:t xml:space="preserve">No Additional Credentials Required: </w:t>
      </w:r>
      <w:r>
        <w:rPr>
          <w:rFonts w:ascii="Calibri" w:hAnsi="Calibri"/>
          <w:sz w:val="20"/>
        </w:rPr>
        <w:t>Because the test email was successfully received at admin@mst.my and the SMTP connection is active, no additional SMTP credentials, third-party mail accounts, or passwords are required.</w:t>
      </w:r>
    </w:p>
    <w:p>
      <w:pPr>
        <w:pStyle w:val="ListBullet"/>
        <w:spacing w:before="40" w:after="50" w:line="276" w:lineRule="auto"/>
        <w:ind w:left="360"/>
      </w:pPr>
      <w:r>
        <w:rPr>
          <w:rFonts w:ascii="Calibri" w:hAnsi="Calibri"/>
          <w:b/>
          <w:sz w:val="20"/>
        </w:rPr>
        <w:t xml:space="preserve">Official Sender Address: </w:t>
      </w:r>
      <w:r>
        <w:rPr>
          <w:rFonts w:ascii="Calibri" w:hAnsi="Calibri"/>
          <w:sz w:val="20"/>
        </w:rPr>
        <w:t>All transactional order confirmations, itemized receipts, customer invoices, and collection tokens will continue to be sent from admin@mst.my under the sender brand 'MST Marine Foods'.</w:t>
      </w:r>
    </w:p>
    <w:p>
      <w:pPr>
        <w:pStyle w:val="ListBullet"/>
        <w:spacing w:before="40" w:after="50" w:line="276" w:lineRule="auto"/>
        <w:ind w:left="360"/>
      </w:pPr>
      <w:r>
        <w:rPr>
          <w:rFonts w:ascii="Calibri" w:hAnsi="Calibri"/>
          <w:b/>
          <w:sz w:val="20"/>
        </w:rPr>
        <w:t xml:space="preserve">Single Inbox Management: </w:t>
      </w:r>
      <w:r>
        <w:rPr>
          <w:rFonts w:ascii="Calibri" w:hAnsi="Calibri"/>
          <w:sz w:val="20"/>
        </w:rPr>
        <w:t>You do not need to create or manage orders@mst.my. All customer replies to confirmation emails will route directly to your existing admin@mst.my inbox, avoiding fragmented mail management.</w:t>
      </w:r>
    </w:p>
    <w:p>
      <w:pPr>
        <w:keepNext/>
        <w:spacing w:before="280" w:after="80"/>
      </w:pPr>
      <w:r>
        <w:rPr>
          <w:rFonts w:ascii="Calibri" w:hAnsi="Calibri"/>
          <w:b/>
          <w:color w:val="0F766E"/>
          <w:sz w:val="27"/>
        </w:rPr>
        <w:t>2. Stripe Access &amp; Permission Breakdown (Test Mode Only)</w:t>
      </w:r>
    </w:p>
    <w:p>
      <w:pPr>
        <w:spacing w:before="40" w:after="80" w:line="276" w:lineRule="auto"/>
      </w:pPr>
      <w:r>
        <w:rPr>
          <w:rFonts w:ascii="Calibri" w:hAnsi="Calibri"/>
          <w:b w:val="0"/>
          <w:i w:val="0"/>
          <w:sz w:val="20"/>
        </w:rPr>
        <w:t>In accordance with your security requirements, we will operate strictly in MST's Stripe Test Mode. Below is the precise breakdown of the three minimal permissions required for website checkout integration and why each is necessary: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fill="0F766E" w:color="auto" w:val="clear"/>
            <w:tcMar>
              <w:top w:w="70" w:type="dxa"/>
              <w:bottom w:w="70" w:type="dxa"/>
              <w:left w:w="100" w:type="dxa"/>
              <w:right w:w="100" w:type="dxa"/>
            </w:tcMar>
          </w:tcPr>
          <w:p>
            <w:r>
              <w:rPr>
                <w:rFonts w:ascii="Calibri" w:hAnsi="Calibri"/>
                <w:b/>
                <w:color w:val="FFFFFF"/>
                <w:sz w:val="18"/>
              </w:rPr>
              <w:t>Permission Area</w:t>
            </w:r>
          </w:p>
        </w:tc>
        <w:tc>
          <w:tcPr>
            <w:tcW w:type="dxa" w:w="3360"/>
            <w:shd w:fill="0F766E" w:color="auto" w:val="clear"/>
            <w:tcMar>
              <w:top w:w="70" w:type="dxa"/>
              <w:bottom w:w="70" w:type="dxa"/>
              <w:left w:w="100" w:type="dxa"/>
              <w:right w:w="100" w:type="dxa"/>
            </w:tcMar>
          </w:tcPr>
          <w:p>
            <w:r>
              <w:rPr>
                <w:rFonts w:ascii="Calibri" w:hAnsi="Calibri"/>
                <w:b/>
                <w:color w:val="FFFFFF"/>
                <w:sz w:val="18"/>
              </w:rPr>
              <w:t>Access Level</w:t>
            </w:r>
          </w:p>
        </w:tc>
        <w:tc>
          <w:tcPr>
            <w:tcW w:type="dxa" w:w="3360"/>
            <w:shd w:fill="0F766E" w:color="auto" w:val="clear"/>
            <w:tcMar>
              <w:top w:w="70" w:type="dxa"/>
              <w:bottom w:w="70" w:type="dxa"/>
              <w:left w:w="100" w:type="dxa"/>
              <w:right w:w="100" w:type="dxa"/>
            </w:tcMar>
          </w:tcPr>
          <w:p>
            <w:r>
              <w:rPr>
                <w:rFonts w:ascii="Calibri" w:hAnsi="Calibri"/>
                <w:b/>
                <w:color w:val="FFFFFF"/>
                <w:sz w:val="18"/>
              </w:rPr>
              <w:t>Specific Technical &amp; Operational Purpose</w:t>
            </w:r>
          </w:p>
        </w:tc>
      </w:tr>
      <w:tr>
        <w:tc>
          <w:tcPr>
            <w:tcW w:type="dxa" w:w="2592"/>
            <w:shd w:fill="F8FAFC" w:color="auto" w:val="clear"/>
            <w:tcMar>
              <w:top w:w="60" w:type="dxa"/>
              <w:bottom w:w="60" w:type="dxa"/>
              <w:left w:w="100" w:type="dxa"/>
              <w:right w:w="100" w:type="dxa"/>
            </w:tcMar>
          </w:tcPr>
          <w:p>
            <w:pPr>
              <w:spacing w:before="0" w:after="0"/>
            </w:pPr>
            <w:r>
              <w:rPr>
                <w:rFonts w:ascii="Calibri" w:hAnsi="Calibri"/>
                <w:color w:val="0F172A"/>
                <w:sz w:val="17"/>
              </w:rPr>
              <w:t>Checkout Sessions</w:t>
            </w:r>
          </w:p>
        </w:tc>
        <w:tc>
          <w:tcPr>
            <w:tcW w:type="dxa" w:w="1728"/>
            <w:shd w:fill="F8FAFC" w:color="auto" w:val="clear"/>
            <w:tcMar>
              <w:top w:w="60" w:type="dxa"/>
              <w:bottom w:w="60" w:type="dxa"/>
              <w:left w:w="100" w:type="dxa"/>
              <w:right w:w="100" w:type="dxa"/>
            </w:tcMar>
          </w:tcPr>
          <w:p>
            <w:pPr>
              <w:spacing w:before="0" w:after="0"/>
            </w:pPr>
            <w:r>
              <w:rPr>
                <w:rFonts w:ascii="Calibri" w:hAnsi="Calibri"/>
                <w:color w:val="0F172A"/>
                <w:sz w:val="17"/>
              </w:rPr>
              <w:t>Write</w:t>
            </w:r>
          </w:p>
        </w:tc>
        <w:tc>
          <w:tcPr>
            <w:tcW w:type="dxa" w:w="5040"/>
            <w:shd w:fill="F8FAFC" w:color="auto" w:val="clear"/>
            <w:tcMar>
              <w:top w:w="60" w:type="dxa"/>
              <w:bottom w:w="60" w:type="dxa"/>
              <w:left w:w="100" w:type="dxa"/>
              <w:right w:w="100" w:type="dxa"/>
            </w:tcMar>
          </w:tcPr>
          <w:p>
            <w:pPr>
              <w:spacing w:before="0" w:after="0"/>
            </w:pPr>
            <w:r>
              <w:rPr>
                <w:rFonts w:ascii="Calibri" w:hAnsi="Calibri"/>
                <w:color w:val="0F172A"/>
                <w:sz w:val="17"/>
              </w:rPr>
              <w:t>Enables the website backend to initiate Stripe's official hosted checkout session and redirect the customer securely to pay.</w:t>
            </w:r>
          </w:p>
        </w:tc>
      </w:tr>
      <w:tr>
        <w:tc>
          <w:tcPr>
            <w:tcW w:type="dxa" w:w="2592"/>
            <w:shd w:fill="FFFFFF" w:color="auto" w:val="clear"/>
            <w:tcMar>
              <w:top w:w="60" w:type="dxa"/>
              <w:bottom w:w="60" w:type="dxa"/>
              <w:left w:w="100" w:type="dxa"/>
              <w:right w:w="100" w:type="dxa"/>
            </w:tcMar>
          </w:tcPr>
          <w:p>
            <w:pPr>
              <w:spacing w:before="0" w:after="0"/>
            </w:pPr>
            <w:r>
              <w:rPr>
                <w:rFonts w:ascii="Calibri" w:hAnsi="Calibri"/>
                <w:color w:val="0F172A"/>
                <w:sz w:val="17"/>
              </w:rPr>
              <w:t>Payment Intents &amp; Charges</w:t>
            </w:r>
          </w:p>
        </w:tc>
        <w:tc>
          <w:tcPr>
            <w:tcW w:type="dxa" w:w="1728"/>
            <w:shd w:fill="FFFFFF" w:color="auto" w:val="clear"/>
            <w:tcMar>
              <w:top w:w="60" w:type="dxa"/>
              <w:bottom w:w="60" w:type="dxa"/>
              <w:left w:w="100" w:type="dxa"/>
              <w:right w:w="100" w:type="dxa"/>
            </w:tcMar>
          </w:tcPr>
          <w:p>
            <w:pPr>
              <w:spacing w:before="0" w:after="0"/>
            </w:pPr>
            <w:r>
              <w:rPr>
                <w:rFonts w:ascii="Calibri" w:hAnsi="Calibri"/>
                <w:color w:val="0F172A"/>
                <w:sz w:val="17"/>
              </w:rPr>
              <w:t>Write / Read</w:t>
            </w:r>
          </w:p>
        </w:tc>
        <w:tc>
          <w:tcPr>
            <w:tcW w:type="dxa" w:w="5040"/>
            <w:shd w:fill="FFFFFF" w:color="auto" w:val="clear"/>
            <w:tcMar>
              <w:top w:w="60" w:type="dxa"/>
              <w:bottom w:w="60" w:type="dxa"/>
              <w:left w:w="100" w:type="dxa"/>
              <w:right w:w="100" w:type="dxa"/>
            </w:tcMar>
          </w:tcPr>
          <w:p>
            <w:pPr>
              <w:spacing w:before="0" w:after="0"/>
            </w:pPr>
            <w:r>
              <w:rPr>
                <w:rFonts w:ascii="Calibri" w:hAnsi="Calibri"/>
                <w:color w:val="0F172A"/>
                <w:sz w:val="17"/>
              </w:rPr>
              <w:t>Creates the transaction intent, verifies payment authorization status, and supports variable-weight balance adjustments / refunds.</w:t>
            </w:r>
          </w:p>
        </w:tc>
      </w:tr>
      <w:tr>
        <w:tc>
          <w:tcPr>
            <w:tcW w:type="dxa" w:w="2592"/>
            <w:shd w:fill="F8FAFC" w:color="auto" w:val="clear"/>
            <w:tcMar>
              <w:top w:w="60" w:type="dxa"/>
              <w:bottom w:w="60" w:type="dxa"/>
              <w:left w:w="100" w:type="dxa"/>
              <w:right w:w="100" w:type="dxa"/>
            </w:tcMar>
          </w:tcPr>
          <w:p>
            <w:pPr>
              <w:spacing w:before="0" w:after="0"/>
            </w:pPr>
            <w:r>
              <w:rPr>
                <w:rFonts w:ascii="Calibri" w:hAnsi="Calibri"/>
                <w:color w:val="0F172A"/>
                <w:sz w:val="17"/>
              </w:rPr>
              <w:t>Webhook Endpoints</w:t>
            </w:r>
          </w:p>
        </w:tc>
        <w:tc>
          <w:tcPr>
            <w:tcW w:type="dxa" w:w="1728"/>
            <w:shd w:fill="F8FAFC" w:color="auto" w:val="clear"/>
            <w:tcMar>
              <w:top w:w="60" w:type="dxa"/>
              <w:bottom w:w="60" w:type="dxa"/>
              <w:left w:w="100" w:type="dxa"/>
              <w:right w:w="100" w:type="dxa"/>
            </w:tcMar>
          </w:tcPr>
          <w:p>
            <w:pPr>
              <w:spacing w:before="0" w:after="0"/>
            </w:pPr>
            <w:r>
              <w:rPr>
                <w:rFonts w:ascii="Calibri" w:hAnsi="Calibri"/>
                <w:color w:val="0F172A"/>
                <w:sz w:val="17"/>
              </w:rPr>
              <w:t>Write</w:t>
            </w:r>
          </w:p>
        </w:tc>
        <w:tc>
          <w:tcPr>
            <w:tcW w:type="dxa" w:w="5040"/>
            <w:shd w:fill="F8FAFC" w:color="auto" w:val="clear"/>
            <w:tcMar>
              <w:top w:w="60" w:type="dxa"/>
              <w:bottom w:w="60" w:type="dxa"/>
              <w:left w:w="100" w:type="dxa"/>
              <w:right w:w="100" w:type="dxa"/>
            </w:tcMar>
          </w:tcPr>
          <w:p>
            <w:pPr>
              <w:spacing w:before="0" w:after="0"/>
            </w:pPr>
            <w:r>
              <w:rPr>
                <w:rFonts w:ascii="Calibri" w:hAnsi="Calibri"/>
                <w:color w:val="0F172A"/>
                <w:sz w:val="17"/>
              </w:rPr>
              <w:t>Registers the website callback URL (/webhook/stripe) so Stripe instantly notifies our server when a customer completes payment, automatically updating the order status to 'Paid'.</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EFF6FF" w:color="auto" w:val="clear"/>
            <w:tcMar>
              <w:top w:w="120" w:type="dxa"/>
              <w:bottom w:w="120" w:type="dxa"/>
              <w:left w:w="160" w:type="dxa"/>
              <w:right w:w="160" w:type="dxa"/>
            </w:tcMar>
            <w:tcBorders>
              <w:top w:val="none"/>
              <w:left w:val="single" w:sz="24" w:space="0" w:color="3B82F6"/>
              <w:bottom w:val="none"/>
              <w:right w:val="none"/>
            </w:tcBorders>
          </w:tcPr>
          <w:p>
            <w:pPr>
              <w:spacing w:before="0" w:after="40" w:line="276" w:lineRule="auto"/>
            </w:pPr>
            <w:r>
              <w:rPr>
                <w:rFonts w:ascii="Calibri" w:hAnsi="Calibri"/>
                <w:b/>
                <w:color w:val="0F766E"/>
                <w:sz w:val="21"/>
              </w:rPr>
              <w:t>Zero-Password &amp; Zero-Financial-Risk Guarantee</w:t>
              <w:br/>
            </w:r>
            <w:r>
              <w:rPr>
                <w:rFonts w:ascii="Calibri" w:hAnsi="Calibri"/>
                <w:color w:val="1E293B"/>
                <w:sz w:val="19"/>
              </w:rPr>
              <w:t>Zero Sensitive Access: This restricted scope strictly blocks access to MST bank accounts, payout schedules, team member permissions, and sensitive financial logs. No Live Mode keys and no real-money transactions will be requested or used.</w:t>
            </w:r>
          </w:p>
        </w:tc>
      </w:tr>
    </w:tbl>
    <w:p>
      <w:pPr>
        <w:spacing w:before="0" w:after="80"/>
      </w:pPr>
    </w:p>
    <w:p>
      <w:pPr>
        <w:keepNext/>
        <w:spacing w:before="280" w:after="80"/>
      </w:pPr>
      <w:r>
        <w:rPr>
          <w:rFonts w:ascii="Calibri" w:hAnsi="Calibri"/>
          <w:b/>
          <w:color w:val="0F766E"/>
          <w:sz w:val="27"/>
        </w:rPr>
        <w:t>3. Payment Methods &amp; Website UI Alignment</w:t>
      </w:r>
    </w:p>
    <w:p>
      <w:pPr>
        <w:spacing w:before="40" w:after="80" w:line="276" w:lineRule="auto"/>
      </w:pPr>
      <w:r>
        <w:rPr>
          <w:rFonts w:ascii="Calibri" w:hAnsi="Calibri"/>
          <w:b w:val="0"/>
          <w:i w:val="0"/>
          <w:sz w:val="20"/>
        </w:rPr>
        <w:t>We confirm that the payment badges and options displayed across the website will strictly reflect what is actively enabled on MST's own Stripe account:</w:t>
      </w:r>
    </w:p>
    <w:p>
      <w:pPr>
        <w:pStyle w:val="ListBullet"/>
        <w:spacing w:before="40" w:after="50" w:line="276" w:lineRule="auto"/>
        <w:ind w:left="360"/>
      </w:pPr>
      <w:r>
        <w:rPr>
          <w:rFonts w:ascii="Calibri" w:hAnsi="Calibri"/>
          <w:b/>
          <w:sz w:val="20"/>
        </w:rPr>
        <w:t xml:space="preserve">Credit &amp; Debit Cards: </w:t>
      </w:r>
      <w:r>
        <w:rPr>
          <w:rFonts w:ascii="Calibri" w:hAnsi="Calibri"/>
          <w:sz w:val="20"/>
        </w:rPr>
        <w:t>Active on checkout for all major Malaysian &amp; international cards (Visa, Mastercard).</w:t>
      </w:r>
    </w:p>
    <w:p>
      <w:pPr>
        <w:pStyle w:val="ListBullet"/>
        <w:spacing w:before="40" w:after="50" w:line="276" w:lineRule="auto"/>
        <w:ind w:left="360"/>
      </w:pPr>
      <w:r>
        <w:rPr>
          <w:rFonts w:ascii="Calibri" w:hAnsi="Calibri"/>
          <w:b/>
          <w:sz w:val="20"/>
        </w:rPr>
        <w:t xml:space="preserve">FPX Online Banking: </w:t>
      </w:r>
      <w:r>
        <w:rPr>
          <w:rFonts w:ascii="Calibri" w:hAnsi="Calibri"/>
          <w:sz w:val="20"/>
        </w:rPr>
        <w:t>Active on checkout for direct debit across Malaysian banks (Maybank2u, CIMB Clicks, Public Bank, Hong Leong, RHB, etc.).</w:t>
      </w:r>
    </w:p>
    <w:p>
      <w:pPr>
        <w:pStyle w:val="ListBullet"/>
        <w:spacing w:before="40" w:after="50" w:line="276" w:lineRule="auto"/>
        <w:ind w:left="360"/>
      </w:pPr>
      <w:r>
        <w:rPr>
          <w:rFonts w:ascii="Calibri" w:hAnsi="Calibri"/>
          <w:b/>
          <w:sz w:val="20"/>
        </w:rPr>
        <w:t xml:space="preserve">In-Store Cash (Counter 2): </w:t>
      </w:r>
      <w:r>
        <w:rPr>
          <w:rFonts w:ascii="Calibri" w:hAnsi="Calibri"/>
          <w:sz w:val="20"/>
        </w:rPr>
        <w:t>Available exclusively on the Walk-in Self-Collection portal (/walkin/checkout) for in-person pickups at the SILC facility.</w:t>
      </w:r>
    </w:p>
    <w:p>
      <w:pPr>
        <w:pStyle w:val="ListBullet"/>
        <w:spacing w:before="40" w:after="50" w:line="276" w:lineRule="auto"/>
        <w:ind w:left="360"/>
      </w:pPr>
      <w:r>
        <w:rPr>
          <w:rFonts w:ascii="Calibri" w:hAnsi="Calibri"/>
          <w:b/>
          <w:sz w:val="20"/>
        </w:rPr>
        <w:t xml:space="preserve">Strict UI Accuracy: </w:t>
      </w:r>
      <w:r>
        <w:rPr>
          <w:rFonts w:ascii="Calibri" w:hAnsi="Calibri"/>
          <w:sz w:val="20"/>
        </w:rPr>
        <w:t>No generic or unenabled payment logos will be displayed on the website.</w:t>
      </w:r>
    </w:p>
    <w:p>
      <w:pPr>
        <w:keepNext/>
        <w:spacing w:before="280" w:after="80"/>
      </w:pPr>
      <w:r>
        <w:rPr>
          <w:rFonts w:ascii="Calibri" w:hAnsi="Calibri"/>
          <w:b/>
          <w:color w:val="0F766E"/>
          <w:sz w:val="27"/>
        </w:rPr>
        <w:t>4. Updated Delivery Rules &amp; Zone Configuration</w:t>
      </w:r>
    </w:p>
    <w:p>
      <w:pPr>
        <w:spacing w:before="40" w:after="80" w:line="276" w:lineRule="auto"/>
      </w:pPr>
      <w:r>
        <w:rPr>
          <w:rFonts w:ascii="Calibri" w:hAnsi="Calibri"/>
          <w:b w:val="0"/>
          <w:i w:val="0"/>
          <w:sz w:val="20"/>
        </w:rPr>
        <w:t>The delivery calculation engine and technical documentation have been strictly aligned with MST's confirmed rules: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0F766E" w:color="auto" w:val="clear"/>
            <w:tcMar>
              <w:top w:w="70" w:type="dxa"/>
              <w:bottom w:w="70" w:type="dxa"/>
              <w:left w:w="100" w:type="dxa"/>
              <w:right w:w="100" w:type="dxa"/>
            </w:tcMar>
          </w:tcPr>
          <w:p>
            <w:r>
              <w:rPr>
                <w:rFonts w:ascii="Calibri" w:hAnsi="Calibri"/>
                <w:b/>
                <w:color w:val="FFFFFF"/>
                <w:sz w:val="18"/>
              </w:rPr>
              <w:t>Zone</w:t>
            </w:r>
          </w:p>
        </w:tc>
        <w:tc>
          <w:tcPr>
            <w:tcW w:type="dxa" w:w="2520"/>
            <w:shd w:fill="0F766E" w:color="auto" w:val="clear"/>
            <w:tcMar>
              <w:top w:w="70" w:type="dxa"/>
              <w:bottom w:w="70" w:type="dxa"/>
              <w:left w:w="100" w:type="dxa"/>
              <w:right w:w="100" w:type="dxa"/>
            </w:tcMar>
          </w:tcPr>
          <w:p>
            <w:r>
              <w:rPr>
                <w:rFonts w:ascii="Calibri" w:hAnsi="Calibri"/>
                <w:b/>
                <w:color w:val="FFFFFF"/>
                <w:sz w:val="18"/>
              </w:rPr>
              <w:t>Geographic Coverage</w:t>
            </w:r>
          </w:p>
        </w:tc>
        <w:tc>
          <w:tcPr>
            <w:tcW w:type="dxa" w:w="2520"/>
            <w:shd w:fill="0F766E" w:color="auto" w:val="clear"/>
            <w:tcMar>
              <w:top w:w="70" w:type="dxa"/>
              <w:bottom w:w="70" w:type="dxa"/>
              <w:left w:w="100" w:type="dxa"/>
              <w:right w:w="100" w:type="dxa"/>
            </w:tcMar>
          </w:tcPr>
          <w:p>
            <w:r>
              <w:rPr>
                <w:rFonts w:ascii="Calibri" w:hAnsi="Calibri"/>
                <w:b/>
                <w:color w:val="FFFFFF"/>
                <w:sz w:val="18"/>
              </w:rPr>
              <w:t>Order Threshold</w:t>
            </w:r>
          </w:p>
        </w:tc>
        <w:tc>
          <w:tcPr>
            <w:tcW w:type="dxa" w:w="2520"/>
            <w:shd w:fill="0F766E" w:color="auto" w:val="clear"/>
            <w:tcMar>
              <w:top w:w="70" w:type="dxa"/>
              <w:bottom w:w="70" w:type="dxa"/>
              <w:left w:w="100" w:type="dxa"/>
              <w:right w:w="100" w:type="dxa"/>
            </w:tcMar>
          </w:tcPr>
          <w:p>
            <w:r>
              <w:rPr>
                <w:rFonts w:ascii="Calibri" w:hAnsi="Calibri"/>
                <w:b/>
                <w:color w:val="FFFFFF"/>
                <w:sz w:val="18"/>
              </w:rPr>
              <w:t>Delivery Fee</w:t>
            </w:r>
          </w:p>
        </w:tc>
      </w:tr>
      <w:tr>
        <w:tc>
          <w:tcPr>
            <w:tcW w:type="dxa" w:w="2160"/>
            <w:shd w:fill="F8FAFC" w:color="auto" w:val="clear"/>
            <w:tcMar>
              <w:top w:w="60" w:type="dxa"/>
              <w:bottom w:w="60" w:type="dxa"/>
              <w:left w:w="100" w:type="dxa"/>
              <w:right w:w="100" w:type="dxa"/>
            </w:tcMar>
          </w:tcPr>
          <w:p>
            <w:pPr>
              <w:spacing w:before="0" w:after="0"/>
            </w:pPr>
            <w:r>
              <w:rPr>
                <w:rFonts w:ascii="Calibri" w:hAnsi="Calibri"/>
                <w:color w:val="0F172A"/>
                <w:sz w:val="17"/>
              </w:rPr>
              <w:t>Zone A (Local)</w:t>
            </w:r>
          </w:p>
        </w:tc>
        <w:tc>
          <w:tcPr>
            <w:tcW w:type="dxa" w:w="3024"/>
            <w:shd w:fill="F8FAFC" w:color="auto" w:val="clear"/>
            <w:tcMar>
              <w:top w:w="60" w:type="dxa"/>
              <w:bottom w:w="60" w:type="dxa"/>
              <w:left w:w="100" w:type="dxa"/>
              <w:right w:w="100" w:type="dxa"/>
            </w:tcMar>
          </w:tcPr>
          <w:p>
            <w:pPr>
              <w:spacing w:before="0" w:after="0"/>
            </w:pPr>
            <w:r>
              <w:rPr>
                <w:rFonts w:ascii="Calibri" w:hAnsi="Calibri"/>
                <w:color w:val="0F172A"/>
                <w:sz w:val="17"/>
              </w:rPr>
              <w:t>Iskandar Puteri, Nusajaya, Johor Bahru Central</w:t>
            </w:r>
          </w:p>
        </w:tc>
        <w:tc>
          <w:tcPr>
            <w:tcW w:type="dxa" w:w="2160"/>
            <w:shd w:fill="F8FAFC" w:color="auto" w:val="clear"/>
            <w:tcMar>
              <w:top w:w="60" w:type="dxa"/>
              <w:bottom w:w="60" w:type="dxa"/>
              <w:left w:w="100" w:type="dxa"/>
              <w:right w:w="100" w:type="dxa"/>
            </w:tcMar>
          </w:tcPr>
          <w:p>
            <w:pPr>
              <w:spacing w:before="0" w:after="0"/>
            </w:pPr>
            <w:r>
              <w:rPr>
                <w:rFonts w:ascii="Calibri" w:hAnsi="Calibri"/>
                <w:color w:val="0F172A"/>
                <w:sz w:val="17"/>
              </w:rPr>
              <w:t>Subtotal ≥ RM 150.00</w:t>
            </w:r>
          </w:p>
        </w:tc>
        <w:tc>
          <w:tcPr>
            <w:tcW w:type="dxa" w:w="2016"/>
            <w:shd w:fill="F8FAFC" w:color="auto" w:val="clear"/>
            <w:tcMar>
              <w:top w:w="60" w:type="dxa"/>
              <w:bottom w:w="60" w:type="dxa"/>
              <w:left w:w="100" w:type="dxa"/>
              <w:right w:w="100" w:type="dxa"/>
            </w:tcMar>
          </w:tcPr>
          <w:p>
            <w:pPr>
              <w:spacing w:before="0" w:after="0"/>
            </w:pPr>
            <w:r>
              <w:rPr>
                <w:rFonts w:ascii="Calibri" w:hAnsi="Calibri"/>
                <w:color w:val="0F172A"/>
                <w:sz w:val="17"/>
              </w:rPr>
              <w:t>RM 0.00 (Free Standard Delivery)</w:t>
            </w:r>
          </w:p>
        </w:tc>
      </w:tr>
      <w:tr>
        <w:tc>
          <w:tcPr>
            <w:tcW w:type="dxa" w:w="2160"/>
            <w:shd w:fill="FFFFFF" w:color="auto" w:val="clear"/>
            <w:tcMar>
              <w:top w:w="60" w:type="dxa"/>
              <w:bottom w:w="60" w:type="dxa"/>
              <w:left w:w="100" w:type="dxa"/>
              <w:right w:w="100" w:type="dxa"/>
            </w:tcMar>
          </w:tcPr>
          <w:p>
            <w:pPr>
              <w:spacing w:before="0" w:after="0"/>
            </w:pPr>
            <w:r>
              <w:rPr>
                <w:rFonts w:ascii="Calibri" w:hAnsi="Calibri"/>
                <w:color w:val="0F172A"/>
                <w:sz w:val="17"/>
              </w:rPr>
              <w:t>Zone A (Local)</w:t>
            </w:r>
          </w:p>
        </w:tc>
        <w:tc>
          <w:tcPr>
            <w:tcW w:type="dxa" w:w="3024"/>
            <w:shd w:fill="FFFFFF" w:color="auto" w:val="clear"/>
            <w:tcMar>
              <w:top w:w="60" w:type="dxa"/>
              <w:bottom w:w="60" w:type="dxa"/>
              <w:left w:w="100" w:type="dxa"/>
              <w:right w:w="100" w:type="dxa"/>
            </w:tcMar>
          </w:tcPr>
          <w:p>
            <w:pPr>
              <w:spacing w:before="0" w:after="0"/>
            </w:pPr>
            <w:r>
              <w:rPr>
                <w:rFonts w:ascii="Calibri" w:hAnsi="Calibri"/>
                <w:color w:val="0F172A"/>
                <w:sz w:val="17"/>
              </w:rPr>
              <w:t>Iskandar Puteri, Nusajaya, Johor Bahru Central</w:t>
            </w:r>
          </w:p>
        </w:tc>
        <w:tc>
          <w:tcPr>
            <w:tcW w:type="dxa" w:w="2160"/>
            <w:shd w:fill="FFFFFF" w:color="auto" w:val="clear"/>
            <w:tcMar>
              <w:top w:w="60" w:type="dxa"/>
              <w:bottom w:w="60" w:type="dxa"/>
              <w:left w:w="100" w:type="dxa"/>
              <w:right w:w="100" w:type="dxa"/>
            </w:tcMar>
          </w:tcPr>
          <w:p>
            <w:pPr>
              <w:spacing w:before="0" w:after="0"/>
            </w:pPr>
            <w:r>
              <w:rPr>
                <w:rFonts w:ascii="Calibri" w:hAnsi="Calibri"/>
                <w:color w:val="0F172A"/>
                <w:sz w:val="17"/>
              </w:rPr>
              <w:t>Subtotal &lt; RM 150.00</w:t>
            </w:r>
          </w:p>
        </w:tc>
        <w:tc>
          <w:tcPr>
            <w:tcW w:type="dxa" w:w="2016"/>
            <w:shd w:fill="FFFFFF" w:color="auto" w:val="clear"/>
            <w:tcMar>
              <w:top w:w="60" w:type="dxa"/>
              <w:bottom w:w="60" w:type="dxa"/>
              <w:left w:w="100" w:type="dxa"/>
              <w:right w:w="100" w:type="dxa"/>
            </w:tcMar>
          </w:tcPr>
          <w:p>
            <w:pPr>
              <w:spacing w:before="0" w:after="0"/>
            </w:pPr>
            <w:r>
              <w:rPr>
                <w:rFonts w:ascii="Calibri" w:hAnsi="Calibri"/>
                <w:color w:val="0F172A"/>
                <w:sz w:val="17"/>
              </w:rPr>
              <w:t>RM 10.00 Standard Delivery Fee</w:t>
            </w:r>
          </w:p>
        </w:tc>
      </w:tr>
      <w:tr>
        <w:tc>
          <w:tcPr>
            <w:tcW w:type="dxa" w:w="2160"/>
            <w:shd w:fill="F8FAFC" w:color="auto" w:val="clear"/>
            <w:tcMar>
              <w:top w:w="60" w:type="dxa"/>
              <w:bottom w:w="60" w:type="dxa"/>
              <w:left w:w="100" w:type="dxa"/>
              <w:right w:w="100" w:type="dxa"/>
            </w:tcMar>
          </w:tcPr>
          <w:p>
            <w:pPr>
              <w:spacing w:before="0" w:after="0"/>
            </w:pPr>
            <w:r>
              <w:rPr>
                <w:rFonts w:ascii="Calibri" w:hAnsi="Calibri"/>
                <w:color w:val="0F172A"/>
                <w:sz w:val="17"/>
              </w:rPr>
              <w:t>Zone B / Outstation</w:t>
            </w:r>
          </w:p>
        </w:tc>
        <w:tc>
          <w:tcPr>
            <w:tcW w:type="dxa" w:w="3024"/>
            <w:shd w:fill="F8FAFC" w:color="auto" w:val="clear"/>
            <w:tcMar>
              <w:top w:w="60" w:type="dxa"/>
              <w:bottom w:w="60" w:type="dxa"/>
              <w:left w:w="100" w:type="dxa"/>
              <w:right w:w="100" w:type="dxa"/>
            </w:tcMar>
          </w:tcPr>
          <w:p>
            <w:pPr>
              <w:spacing w:before="0" w:after="0"/>
            </w:pPr>
            <w:r>
              <w:rPr>
                <w:rFonts w:ascii="Calibri" w:hAnsi="Calibri"/>
                <w:color w:val="0F172A"/>
                <w:sz w:val="17"/>
              </w:rPr>
              <w:t>Skudai (81300), Northern Johor &amp; Outstation</w:t>
            </w:r>
          </w:p>
        </w:tc>
        <w:tc>
          <w:tcPr>
            <w:tcW w:type="dxa" w:w="2160"/>
            <w:shd w:fill="F8FAFC" w:color="auto" w:val="clear"/>
            <w:tcMar>
              <w:top w:w="60" w:type="dxa"/>
              <w:bottom w:w="60" w:type="dxa"/>
              <w:left w:w="100" w:type="dxa"/>
              <w:right w:w="100" w:type="dxa"/>
            </w:tcMar>
          </w:tcPr>
          <w:p>
            <w:pPr>
              <w:spacing w:before="0" w:after="0"/>
            </w:pPr>
            <w:r>
              <w:rPr>
                <w:rFonts w:ascii="Calibri" w:hAnsi="Calibri"/>
                <w:color w:val="0F172A"/>
                <w:sz w:val="17"/>
              </w:rPr>
              <w:t>Any Order Amount</w:t>
            </w:r>
          </w:p>
        </w:tc>
        <w:tc>
          <w:tcPr>
            <w:tcW w:type="dxa" w:w="2016"/>
            <w:shd w:fill="F8FAFC" w:color="auto" w:val="clear"/>
            <w:tcMar>
              <w:top w:w="60" w:type="dxa"/>
              <w:bottom w:w="60" w:type="dxa"/>
              <w:left w:w="100" w:type="dxa"/>
              <w:right w:w="100" w:type="dxa"/>
            </w:tcMar>
          </w:tcPr>
          <w:p>
            <w:pPr>
              <w:spacing w:before="0" w:after="0"/>
            </w:pPr>
            <w:r>
              <w:rPr>
                <w:rFonts w:ascii="Calibri" w:hAnsi="Calibri"/>
                <w:color w:val="0F172A"/>
                <w:sz w:val="17"/>
              </w:rPr>
              <w:t>No Free Delivery (Quoted Separately)</w:t>
            </w:r>
          </w:p>
        </w:tc>
      </w:tr>
    </w:tbl>
    <w:p>
      <w:pPr>
        <w:spacing w:after="80"/>
      </w:pPr>
    </w:p>
    <w:p>
      <w:pPr>
        <w:pStyle w:val="ListBullet"/>
        <w:spacing w:before="40" w:after="50" w:line="276" w:lineRule="auto"/>
        <w:ind w:left="360"/>
      </w:pPr>
      <w:r>
        <w:rPr>
          <w:rFonts w:ascii="Calibri" w:hAnsi="Calibri"/>
          <w:b/>
          <w:sz w:val="20"/>
        </w:rPr>
        <w:t xml:space="preserve">Threshold vs Minimum Order: </w:t>
      </w:r>
      <w:r>
        <w:rPr>
          <w:rFonts w:ascii="Calibri" w:hAnsi="Calibri"/>
          <w:sz w:val="20"/>
        </w:rPr>
        <w:t>RM 150.00 is strictly a free-delivery qualifying threshold, NOT a minimum order barrier. Customers are free to order any basket value (e.g. RM 40.00) by paying the RM 10.00 standard delivery fee.</w:t>
      </w:r>
    </w:p>
    <w:p>
      <w:pPr>
        <w:pStyle w:val="ListBullet"/>
        <w:spacing w:before="40" w:after="50" w:line="276" w:lineRule="auto"/>
        <w:ind w:left="360"/>
      </w:pPr>
      <w:r>
        <w:rPr>
          <w:rFonts w:ascii="Calibri" w:hAnsi="Calibri"/>
          <w:b/>
          <w:sz w:val="20"/>
        </w:rPr>
        <w:t xml:space="preserve">Skudai (81300) Classification: </w:t>
      </w:r>
      <w:r>
        <w:rPr>
          <w:rFonts w:ascii="Calibri" w:hAnsi="Calibri"/>
          <w:sz w:val="20"/>
        </w:rPr>
        <w:t>81300 Skudai is permanently hardcoded under Zone B / Outstation. Orders with postcode 81300 will require a separate cold-chain transportation quotation.</w:t>
      </w:r>
    </w:p>
    <w:p>
      <w:pPr>
        <w:keepNext/>
        <w:spacing w:before="280" w:after="80"/>
      </w:pPr>
      <w:r>
        <w:rPr>
          <w:rFonts w:ascii="Calibri" w:hAnsi="Calibri"/>
          <w:b/>
          <w:color w:val="0F766E"/>
          <w:sz w:val="27"/>
        </w:rPr>
        <w:t>5. Variable-Weight Flower Crab — Designated as 'Pending UAT'</w:t>
      </w:r>
    </w:p>
    <w:p>
      <w:pPr>
        <w:spacing w:before="40" w:after="80" w:line="276" w:lineRule="auto"/>
      </w:pPr>
      <w:r>
        <w:rPr>
          <w:rFonts w:ascii="Calibri" w:hAnsi="Calibri"/>
          <w:b w:val="0"/>
          <w:i w:val="0"/>
          <w:sz w:val="20"/>
        </w:rPr>
        <w:t>We acknowledge and agree that the variable-weight workflow remains marked as PENDING UAT until you have personally executed and approved the full end-to-end testing cycle.</w:t>
      </w:r>
    </w:p>
    <w:p>
      <w:pPr>
        <w:keepNext/>
        <w:spacing w:before="280" w:after="80"/>
      </w:pPr>
      <w:r>
        <w:rPr>
          <w:rFonts w:ascii="Calibri" w:hAnsi="Calibri"/>
          <w:b/>
          <w:color w:val="0F172A"/>
          <w:sz w:val="23"/>
        </w:rPr>
        <w:t>5.1 End-to-End UAT Test Scenarios Prepared for Verification</w:t>
      </w:r>
    </w:p>
    <w:tbl>
      <w:tblPr>
        <w:tblW w:type="auto" w:w="0"/>
        <w:jc w:val="center"/>
        <w:tblLayout w:type="fixed"/>
        <w:tblLook w:firstColumn="1" w:firstRow="1" w:lastColumn="0" w:lastRow="0" w:noHBand="0" w:noVBand="1" w:val="04A0"/>
      </w:tblPr>
      <w:tblGrid>
        <w:gridCol w:w="10080"/>
      </w:tblGrid>
      <w:tr>
        <w:tc>
          <w:tcPr>
            <w:tcW w:type="dxa" w:w="9360"/>
            <w:shd w:fill="F0FDF4" w:color="auto" w:val="clear"/>
            <w:tcMar>
              <w:top w:w="120" w:type="dxa"/>
              <w:bottom w:w="120" w:type="dxa"/>
              <w:left w:w="160" w:type="dxa"/>
              <w:right w:w="160" w:type="dxa"/>
            </w:tcMar>
            <w:tcBorders>
              <w:top w:val="none"/>
              <w:left w:val="single" w:sz="24" w:space="0" w:color="16A34A"/>
              <w:bottom w:val="none"/>
              <w:right w:val="none"/>
            </w:tcBorders>
          </w:tcPr>
          <w:p>
            <w:pPr>
              <w:spacing w:before="0" w:after="40" w:line="276" w:lineRule="auto"/>
            </w:pPr>
            <w:r>
              <w:rPr>
                <w:rFonts w:ascii="Calibri" w:hAnsi="Calibri"/>
                <w:b/>
                <w:color w:val="0F766E"/>
                <w:sz w:val="21"/>
              </w:rPr>
              <w:t>Scenario A: Overweight Catch (+RM 10.20 Balance Due)</w:t>
              <w:br/>
            </w:r>
            <w:r>
              <w:rPr>
                <w:rFonts w:ascii="Calibri" w:hAnsi="Calibri"/>
                <w:color w:val="1E293B"/>
                <w:sz w:val="19"/>
              </w:rPr>
              <w:t>• Initial Order: Customer orders 1.00 kg Reference Weight @ RM 68.00/kg (Authorized: RM 68.00).</w:t>
              <w:br/>
              <w:t>• Warehouse Scale Entry: Staff weighs live catch at SILC facility and enters 1.15 kg into Admin Order detail.</w:t>
              <w:br/>
              <w:t>• Auto Recalculation: Subtotal updates to RM 78.20 (Variance: +RM 10.20 balance due).</w:t>
              <w:br/>
              <w:t>• 1-Click WhatsApp Dispatch: Admin clicks '💬 Send via WhatsApp' to notify customer with revised itemization and payment link.</w:t>
              <w:br/>
              <w:t>• Settlement: Customer pays supplementary +RM 10.20 online or at Counter 2 upon pickup → Status updates to 'Paid / Ready'.</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9360"/>
            <w:shd w:fill="FEF3C7" w:color="auto" w:val="clear"/>
            <w:tcMar>
              <w:top w:w="120" w:type="dxa"/>
              <w:bottom w:w="120" w:type="dxa"/>
              <w:left w:w="160" w:type="dxa"/>
              <w:right w:w="160" w:type="dxa"/>
            </w:tcMar>
            <w:tcBorders>
              <w:top w:val="none"/>
              <w:left w:val="single" w:sz="24" w:space="0" w:color="D97706"/>
              <w:bottom w:val="none"/>
              <w:right w:val="none"/>
            </w:tcBorders>
          </w:tcPr>
          <w:p>
            <w:pPr>
              <w:spacing w:before="0" w:after="40" w:line="276" w:lineRule="auto"/>
            </w:pPr>
            <w:r>
              <w:rPr>
                <w:rFonts w:ascii="Calibri" w:hAnsi="Calibri"/>
                <w:b/>
                <w:color w:val="0F766E"/>
                <w:sz w:val="21"/>
              </w:rPr>
              <w:t>Scenario B: Underweight Catch (-RM 6.80 Refund / Credit)</w:t>
              <w:br/>
            </w:r>
            <w:r>
              <w:rPr>
                <w:rFonts w:ascii="Calibri" w:hAnsi="Calibri"/>
                <w:color w:val="1E293B"/>
                <w:sz w:val="19"/>
              </w:rPr>
              <w:t>• Initial Order: Customer orders 1.00 kg Reference Weight @ RM 68.00/kg (Paid: RM 68.00).</w:t>
              <w:br/>
              <w:t>• Warehouse Scale Entry: Staff weighs catch and enters actual 0.90 kg into Admin Order detail.</w:t>
              <w:br/>
              <w:t>• Auto Recalculation: Subtotal updates to RM 61.20 (Variance: -RM 6.80 credit due to customer).</w:t>
              <w:br/>
              <w:t>• 1-Click WhatsApp Dispatch: Admin notifies customer of exact weight and automatic refund/credit.</w:t>
              <w:br/>
              <w:t>• Refund / Credit Processing: System triggers Stripe partial refund of RM 6.80 to customer card / account credit → Status updates to 'Payment Adjusted / Ready'.</w:t>
            </w:r>
          </w:p>
        </w:tc>
      </w:tr>
    </w:tbl>
    <w:p>
      <w:pPr>
        <w:spacing w:before="0" w:after="80"/>
      </w:pPr>
    </w:p>
    <w:p>
      <w:pPr>
        <w:keepNext/>
        <w:spacing w:before="280" w:after="80"/>
      </w:pPr>
      <w:r>
        <w:rPr>
          <w:rFonts w:ascii="Calibri" w:hAnsi="Calibri"/>
          <w:b/>
          <w:color w:val="0F766E"/>
          <w:sz w:val="27"/>
        </w:rPr>
        <w:t>6. Next Steps &amp; Minimal Required Access</w:t>
      </w:r>
    </w:p>
    <w:p>
      <w:pPr>
        <w:spacing w:before="40" w:after="80" w:line="276" w:lineRule="auto"/>
      </w:pPr>
      <w:r>
        <w:rPr>
          <w:rFonts w:ascii="Calibri" w:hAnsi="Calibri"/>
          <w:b w:val="0"/>
          <w:i w:val="0"/>
          <w:sz w:val="20"/>
        </w:rPr>
        <w:t>To move immediately into sandbox configuration and conduct the UAT walkthrough with you, the ONLY required item from your side is:</w:t>
      </w:r>
    </w:p>
    <w:tbl>
      <w:tblPr>
        <w:tblW w:type="auto" w:w="0"/>
        <w:jc w:val="center"/>
        <w:tblLayout w:type="fixed"/>
        <w:tblLook w:firstColumn="1" w:firstRow="1" w:lastColumn="0" w:lastRow="0" w:noHBand="0" w:noVBand="1" w:val="04A0"/>
      </w:tblPr>
      <w:tblGrid>
        <w:gridCol w:w="10080"/>
      </w:tblGrid>
      <w:tr>
        <w:tc>
          <w:tcPr>
            <w:tcW w:type="dxa" w:w="9360"/>
            <w:shd w:fill="F1F5F9" w:color="auto" w:val="clear"/>
            <w:tcMar>
              <w:top w:w="120" w:type="dxa"/>
              <w:bottom w:w="120" w:type="dxa"/>
              <w:left w:w="160" w:type="dxa"/>
              <w:right w:w="160" w:type="dxa"/>
            </w:tcMar>
            <w:tcBorders>
              <w:top w:val="none"/>
              <w:left w:val="single" w:sz="24" w:space="0" w:color="475569"/>
              <w:bottom w:val="none"/>
              <w:right w:val="none"/>
            </w:tcBorders>
          </w:tcPr>
          <w:p>
            <w:pPr>
              <w:spacing w:before="0" w:after="40" w:line="276" w:lineRule="auto"/>
            </w:pPr>
            <w:r>
              <w:rPr>
                <w:rFonts w:ascii="Calibri" w:hAnsi="Calibri"/>
                <w:b/>
                <w:color w:val="0F766E"/>
                <w:sz w:val="21"/>
              </w:rPr>
              <w:t>Minimal Access Requirement for Test Mode Setup</w:t>
              <w:br/>
            </w:r>
            <w:r>
              <w:rPr>
                <w:rFonts w:ascii="Calibri" w:hAnsi="Calibri"/>
                <w:color w:val="1E293B"/>
                <w:sz w:val="19"/>
              </w:rPr>
              <w:t>MST Stripe Account Test Mode Keys Only:</w:t>
              <w:br/>
              <w:t>1. Publishable Key: pk_test_...</w:t>
              <w:br/>
              <w:t>2. Secret Key: sk_test_...  (OR a Restricted Key rk_test_... with Checkout, PaymentIntents, and Webhooks permissions)</w:t>
              <w:br/>
              <w:br/>
              <w:t>• Zero email credentials or mail passwords required.</w:t>
              <w:br/>
              <w:t>• Zero Live Mode access or real money required.</w:t>
            </w:r>
          </w:p>
        </w:tc>
      </w:tr>
    </w:tbl>
    <w:p>
      <w:pPr>
        <w:spacing w:before="0" w:after="80"/>
      </w:pPr>
    </w:p>
    <w:p>
      <w:pPr>
        <w:spacing w:before="40" w:after="80" w:line="276" w:lineRule="auto"/>
      </w:pPr>
      <w:r>
        <w:rPr>
          <w:rFonts w:ascii="Calibri" w:hAnsi="Calibri"/>
          <w:b w:val="0"/>
          <w:i w:val="0"/>
          <w:sz w:val="20"/>
        </w:rPr>
        <w:t>Once you provide the Test Mode keys, we will connect the sandbox environment, verify the webhook listener, and deliver a comprehensive UAT testing link for your personal evaluation.</w:t>
      </w:r>
    </w:p>
    <w:p>
      <w:pPr>
        <w:spacing w:after="160"/>
      </w:pPr>
    </w:p>
    <w:tbl>
      <w:tblPr>
        <w:tblW w:type="auto" w:w="0"/>
        <w:jc w:val="center"/>
        <w:tblLayout w:type="fixed"/>
        <w:tblLook w:firstColumn="1" w:firstRow="1" w:lastColumn="0" w:lastRow="0" w:noHBand="0" w:noVBand="1" w:val="04A0"/>
      </w:tblPr>
      <w:tblGrid>
        <w:gridCol w:w="10080"/>
      </w:tblGrid>
      <w:tr>
        <w:tc>
          <w:tcPr>
            <w:tcW w:type="dxa" w:w="9360"/>
            <w:shd w:fill="F8FAFC" w:color="auto" w:val="clear"/>
            <w:tcMar>
              <w:top w:w="100" w:type="dxa"/>
              <w:bottom w:w="100" w:type="dxa"/>
              <w:left w:w="140" w:type="dxa"/>
              <w:right w:w="140" w:type="dxa"/>
            </w:tcMar>
          </w:tcPr>
          <w:p>
            <w:pPr>
              <w:spacing w:before="0" w:after="0"/>
            </w:pPr>
            <w:r>
              <w:rPr>
                <w:rFonts w:ascii="Calibri" w:hAnsi="Calibri"/>
                <w:i/>
                <w:color w:val="64748B"/>
                <w:sz w:val="17"/>
              </w:rPr>
              <w:t>Document Prepared &amp; Certified by:</w:t>
              <w:br/>
            </w:r>
            <w:r>
              <w:rPr>
                <w:rFonts w:ascii="Calibri" w:hAnsi="Calibri"/>
                <w:b/>
                <w:color w:val="0F172A"/>
                <w:sz w:val="20"/>
              </w:rPr>
              <w:t>Abdul — Lead Technical Solution Architect</w:t>
              <w:br/>
            </w:r>
            <w:r>
              <w:rPr>
                <w:rFonts w:ascii="Calibri" w:hAnsi="Calibri"/>
                <w:color w:val="334155"/>
                <w:sz w:val="18"/>
              </w:rPr>
              <w:t>MST Import &amp; Export Sdn. Bhd. E-Commerce Development Team</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