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9360"/>
            <w:shd w:fill="0F172A" w:color="auto" w:val="clear"/>
            <w:tcMar>
              <w:top w:w="140" w:type="dxa"/>
              <w:bottom w:w="140" w:type="dxa"/>
              <w:left w:w="160" w:type="dxa"/>
              <w:right w:w="160" w:type="dxa"/>
            </w:tcMar>
          </w:tcPr>
          <w:p>
            <w:pPr>
              <w:spacing w:before="0" w:after="40"/>
            </w:pPr>
            <w:r>
              <w:rPr>
                <w:rFonts w:ascii="Calibri" w:hAnsi="Calibri"/>
                <w:b/>
                <w:color w:val="CCFBF1"/>
                <w:sz w:val="18"/>
              </w:rPr>
              <w:t>MST IMPORT &amp; EXPORT SDN. BHD. — E-COMMERCE PLATFORM</w:t>
              <w:br/>
            </w:r>
            <w:r>
              <w:rPr>
                <w:rFonts w:ascii="Calibri" w:hAnsi="Calibri"/>
                <w:b/>
                <w:color w:val="FFFFFF"/>
                <w:sz w:val="28"/>
              </w:rPr>
              <w:t>Formal Technical Response &amp; UAT Alignment Document</w:t>
              <w:br/>
            </w:r>
            <w:r>
              <w:rPr>
                <w:rFonts w:ascii="Calibri" w:hAnsi="Calibri"/>
                <w:i/>
                <w:color w:val="E2E8F0"/>
                <w:sz w:val="18"/>
              </w:rPr>
              <w:t>Ref: Email Retention, Stripe Test Permissions, Delivery Rules &amp; Variable-Weight UAT Protocol</w:t>
            </w:r>
          </w:p>
        </w:tc>
      </w:tr>
    </w:tbl>
    <w:p>
      <w:pPr>
        <w:spacing w:after="40"/>
      </w:pP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5040"/>
        <w:gridCol w:w="5040"/>
      </w:tblGrid>
      <w:tr>
        <w:tc>
          <w:tcPr>
            <w:tcW w:type="dxa" w:w="4680"/>
            <w:shd w:fill="F8FAFC" w:color="auto" w:val="clear"/>
            <w:tcMar>
              <w:top w:w="50" w:type="dxa"/>
              <w:bottom w:w="50" w:type="dxa"/>
              <w:left w:w="80" w:type="dxa"/>
              <w:right w:w="80" w:type="dxa"/>
            </w:tcMar>
          </w:tcPr>
          <w:p>
            <w:pPr>
              <w:spacing w:before="0" w:after="0"/>
            </w:pPr>
            <w:r>
              <w:rPr>
                <w:rFonts w:ascii="Calibri" w:hAnsi="Calibri"/>
                <w:b/>
                <w:color w:val="334155"/>
                <w:sz w:val="17"/>
              </w:rPr>
              <w:t xml:space="preserve">TO: </w:t>
            </w:r>
            <w:r>
              <w:rPr>
                <w:rFonts w:ascii="Calibri" w:hAnsi="Calibri"/>
                <w:color w:val="0F172A"/>
                <w:sz w:val="17"/>
              </w:rPr>
              <w:t xml:space="preserve"> Wendy (Client Project Lead) &amp; MST Management Team</w:t>
            </w:r>
          </w:p>
        </w:tc>
        <w:tc>
          <w:tcPr>
            <w:tcW w:type="dxa" w:w="4680"/>
            <w:shd w:fill="F8FAFC" w:color="auto" w:val="clear"/>
            <w:tcMar>
              <w:top w:w="50" w:type="dxa"/>
              <w:bottom w:w="50" w:type="dxa"/>
              <w:left w:w="80" w:type="dxa"/>
              <w:right w:w="80" w:type="dxa"/>
            </w:tcMar>
          </w:tcPr>
          <w:p>
            <w:pPr>
              <w:spacing w:before="0" w:after="0"/>
            </w:pPr>
            <w:r>
              <w:rPr>
                <w:rFonts w:ascii="Calibri" w:hAnsi="Calibri"/>
                <w:b/>
                <w:color w:val="334155"/>
                <w:sz w:val="17"/>
              </w:rPr>
              <w:t xml:space="preserve">DATE: </w:t>
            </w:r>
            <w:r>
              <w:rPr>
                <w:rFonts w:ascii="Calibri" w:hAnsi="Calibri"/>
                <w:color w:val="0F172A"/>
                <w:sz w:val="17"/>
              </w:rPr>
              <w:t xml:space="preserve"> October 7, 2026</w:t>
            </w:r>
          </w:p>
        </w:tc>
      </w:tr>
      <w:tr>
        <w:tc>
          <w:tcPr>
            <w:tcW w:type="dxa" w:w="4680"/>
            <w:shd w:fill="FFFFFF" w:color="auto" w:val="clear"/>
            <w:tcMar>
              <w:top w:w="50" w:type="dxa"/>
              <w:bottom w:w="50" w:type="dxa"/>
              <w:left w:w="80" w:type="dxa"/>
              <w:right w:w="80" w:type="dxa"/>
            </w:tcMar>
          </w:tcPr>
          <w:p>
            <w:pPr>
              <w:spacing w:before="0" w:after="0"/>
            </w:pPr>
            <w:r>
              <w:rPr>
                <w:rFonts w:ascii="Calibri" w:hAnsi="Calibri"/>
                <w:b/>
                <w:color w:val="334155"/>
                <w:sz w:val="17"/>
              </w:rPr>
              <w:t xml:space="preserve">FROM: </w:t>
            </w:r>
            <w:r>
              <w:rPr>
                <w:rFonts w:ascii="Calibri" w:hAnsi="Calibri"/>
                <w:color w:val="0F172A"/>
                <w:sz w:val="17"/>
              </w:rPr>
              <w:t xml:space="preserve"> Abdul (Lead Technical Solution Architect)</w:t>
            </w:r>
          </w:p>
        </w:tc>
        <w:tc>
          <w:tcPr>
            <w:tcW w:type="dxa" w:w="4680"/>
            <w:shd w:fill="FFFFFF" w:color="auto" w:val="clear"/>
            <w:tcMar>
              <w:top w:w="50" w:type="dxa"/>
              <w:bottom w:w="50" w:type="dxa"/>
              <w:left w:w="80" w:type="dxa"/>
              <w:right w:w="80" w:type="dxa"/>
            </w:tcMar>
          </w:tcPr>
          <w:p>
            <w:pPr>
              <w:spacing w:before="0" w:after="0"/>
            </w:pPr>
            <w:r>
              <w:rPr>
                <w:rFonts w:ascii="Calibri" w:hAnsi="Calibri"/>
                <w:b/>
                <w:color w:val="334155"/>
                <w:sz w:val="17"/>
              </w:rPr>
              <w:t xml:space="preserve">STATUS: </w:t>
            </w:r>
            <w:r>
              <w:rPr>
                <w:rFonts w:ascii="Calibri" w:hAnsi="Calibri"/>
                <w:color w:val="0F172A"/>
                <w:sz w:val="17"/>
              </w:rPr>
              <w:t xml:space="preserve"> Confirmed Alignment · Ready for Test Mode Handover</w:t>
            </w:r>
          </w:p>
        </w:tc>
      </w:tr>
    </w:tbl>
    <w:p>
      <w:pPr>
        <w:spacing w:after="80"/>
      </w:pPr>
    </w:p>
    <w:p>
      <w:pPr>
        <w:spacing w:before="40" w:after="80" w:line="276" w:lineRule="auto"/>
      </w:pPr>
      <w:r>
        <w:rPr>
          <w:rFonts w:ascii="Calibri" w:hAnsi="Calibri"/>
          <w:b/>
          <w:i w:val="0"/>
          <w:sz w:val="20"/>
        </w:rPr>
        <w:t>Hi Wendy,</w:t>
      </w:r>
    </w:p>
    <w:p>
      <w:pPr>
        <w:spacing w:before="40" w:after="80" w:line="276" w:lineRule="auto"/>
      </w:pPr>
      <w:r>
        <w:rPr>
          <w:rFonts w:ascii="Calibri" w:hAnsi="Calibri"/>
          <w:b w:val="0"/>
          <w:i w:val="0"/>
          <w:sz w:val="20"/>
        </w:rPr>
        <w:t>Thank you for the clear feedback and instructions. We have reviewed all your requirements and aligned the platform configuration accordingly. Below is our formal response and technical breakdown addressing each point in detail:</w:t>
      </w:r>
    </w:p>
    <w:p>
      <w:pPr>
        <w:keepNext/>
        <w:spacing w:before="240" w:after="80"/>
      </w:pPr>
      <w:r>
        <w:rPr>
          <w:rFonts w:ascii="Calibri" w:hAnsi="Calibri"/>
          <w:b/>
          <w:color w:val="0F766E"/>
          <w:sz w:val="26"/>
        </w:rPr>
        <w:t>1. Email / SMTP Configuration — Retaining Existing Setup</w:t>
      </w:r>
    </w:p>
    <w:p>
      <w:pPr>
        <w:pStyle w:val="ListBullet"/>
        <w:spacing w:before="40" w:after="50" w:line="276" w:lineRule="auto"/>
        <w:ind w:left="360"/>
      </w:pPr>
      <w:r>
        <w:rPr>
          <w:rFonts w:ascii="Calibri" w:hAnsi="Calibri"/>
          <w:b/>
          <w:sz w:val="19"/>
        </w:rPr>
        <w:t xml:space="preserve">No Additional Credentials Required: </w:t>
      </w:r>
      <w:r>
        <w:rPr>
          <w:rFonts w:ascii="Calibri" w:hAnsi="Calibri"/>
          <w:sz w:val="19"/>
        </w:rPr>
        <w:t>Since the test email was successfully received at admin@mst.my and the current SMTP configuration is working reliably, we will keep the existing setup exactly as it is without unnecessary modifications.</w:t>
      </w:r>
    </w:p>
    <w:p>
      <w:pPr>
        <w:pStyle w:val="ListBullet"/>
        <w:spacing w:before="40" w:after="50" w:line="276" w:lineRule="auto"/>
        <w:ind w:left="360"/>
      </w:pPr>
      <w:r>
        <w:rPr>
          <w:rFonts w:ascii="Calibri" w:hAnsi="Calibri"/>
          <w:b/>
          <w:sz w:val="19"/>
        </w:rPr>
        <w:t xml:space="preserve">Official Sender Address: </w:t>
      </w:r>
      <w:r>
        <w:rPr>
          <w:rFonts w:ascii="Calibri" w:hAnsi="Calibri"/>
          <w:sz w:val="19"/>
        </w:rPr>
        <w:t>All transactional order confirmations, invoices, receipts, and collection token notices will continue to be sent from admin@mst.my under the sender display name 'MST Marine Foods'.</w:t>
      </w:r>
    </w:p>
    <w:p>
      <w:pPr>
        <w:pStyle w:val="ListBullet"/>
        <w:spacing w:before="40" w:after="50" w:line="276" w:lineRule="auto"/>
        <w:ind w:left="360"/>
      </w:pPr>
      <w:r>
        <w:rPr>
          <w:rFonts w:ascii="Calibri" w:hAnsi="Calibri"/>
          <w:b/>
          <w:sz w:val="19"/>
        </w:rPr>
        <w:t xml:space="preserve">Unified Inbox: </w:t>
      </w:r>
      <w:r>
        <w:rPr>
          <w:rFonts w:ascii="Calibri" w:hAnsi="Calibri"/>
          <w:sz w:val="19"/>
        </w:rPr>
        <w:t>You do not need to create or manage orders@mst.my. All customer replies to confirmation emails will route directly into your active admin@mst.my inbox.</w:t>
      </w:r>
    </w:p>
    <w:p>
      <w:pPr>
        <w:keepNext/>
        <w:spacing w:before="240" w:after="80"/>
      </w:pPr>
      <w:r>
        <w:rPr>
          <w:rFonts w:ascii="Calibri" w:hAnsi="Calibri"/>
          <w:b/>
          <w:color w:val="0F766E"/>
          <w:sz w:val="26"/>
        </w:rPr>
        <w:t>2. Stripe Access &amp; Permission Breakdown (Test Mode Only)</w:t>
      </w:r>
    </w:p>
    <w:p>
      <w:pPr>
        <w:spacing w:before="40" w:after="80" w:line="276" w:lineRule="auto"/>
      </w:pPr>
      <w:r>
        <w:rPr>
          <w:rFonts w:ascii="Calibri" w:hAnsi="Calibri"/>
          <w:b w:val="0"/>
          <w:i w:val="0"/>
          <w:sz w:val="19"/>
        </w:rPr>
        <w:t>We confirm that only Stripe Test Mode will be configured at this stage. No Live Mode keys and no real-money transactions will be used.</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60"/>
        <w:gridCol w:w="3360"/>
        <w:gridCol w:w="3360"/>
      </w:tblGrid>
      <w:tr>
        <w:tc>
          <w:tcPr>
            <w:tcW w:type="dxa" w:w="3360"/>
            <w:shd w:fill="0F766E" w:color="auto" w:val="clear"/>
            <w:tcMar>
              <w:top w:w="60" w:type="dxa"/>
              <w:bottom w:w="60" w:type="dxa"/>
              <w:left w:w="80" w:type="dxa"/>
              <w:right w:w="80" w:type="dxa"/>
            </w:tcMar>
          </w:tcPr>
          <w:p>
            <w:r>
              <w:rPr>
                <w:rFonts w:ascii="Calibri" w:hAnsi="Calibri"/>
                <w:b/>
                <w:color w:val="FFFFFF"/>
                <w:sz w:val="17"/>
              </w:rPr>
              <w:t>Permission Area</w:t>
            </w:r>
          </w:p>
        </w:tc>
        <w:tc>
          <w:tcPr>
            <w:tcW w:type="dxa" w:w="3360"/>
            <w:shd w:fill="0F766E" w:color="auto" w:val="clear"/>
            <w:tcMar>
              <w:top w:w="60" w:type="dxa"/>
              <w:bottom w:w="60" w:type="dxa"/>
              <w:left w:w="80" w:type="dxa"/>
              <w:right w:w="80" w:type="dxa"/>
            </w:tcMar>
          </w:tcPr>
          <w:p>
            <w:r>
              <w:rPr>
                <w:rFonts w:ascii="Calibri" w:hAnsi="Calibri"/>
                <w:b/>
                <w:color w:val="FFFFFF"/>
                <w:sz w:val="17"/>
              </w:rPr>
              <w:t>Access Level</w:t>
            </w:r>
          </w:p>
        </w:tc>
        <w:tc>
          <w:tcPr>
            <w:tcW w:type="dxa" w:w="3360"/>
            <w:shd w:fill="0F766E" w:color="auto" w:val="clear"/>
            <w:tcMar>
              <w:top w:w="60" w:type="dxa"/>
              <w:bottom w:w="60" w:type="dxa"/>
              <w:left w:w="80" w:type="dxa"/>
              <w:right w:w="80" w:type="dxa"/>
            </w:tcMar>
          </w:tcPr>
          <w:p>
            <w:r>
              <w:rPr>
                <w:rFonts w:ascii="Calibri" w:hAnsi="Calibri"/>
                <w:b/>
                <w:color w:val="FFFFFF"/>
                <w:sz w:val="17"/>
              </w:rPr>
              <w:t>Specific Technical &amp; Operational Purpose</w:t>
            </w:r>
          </w:p>
        </w:tc>
      </w:tr>
      <w:tr>
        <w:tc>
          <w:tcPr>
            <w:tcW w:type="dxa" w:w="2592"/>
            <w:shd w:fill="F8FAFC" w:color="auto" w:val="clear"/>
            <w:tcMar>
              <w:top w:w="50" w:type="dxa"/>
              <w:bottom w:w="50" w:type="dxa"/>
              <w:left w:w="80" w:type="dxa"/>
              <w:right w:w="80" w:type="dxa"/>
            </w:tcMar>
          </w:tcPr>
          <w:p>
            <w:pPr>
              <w:spacing w:before="0" w:after="0"/>
            </w:pPr>
            <w:r>
              <w:rPr>
                <w:rFonts w:ascii="Calibri" w:hAnsi="Calibri"/>
                <w:color w:val="0F172A"/>
                <w:sz w:val="16"/>
              </w:rPr>
              <w:t>Checkout Sessions</w:t>
            </w:r>
          </w:p>
        </w:tc>
        <w:tc>
          <w:tcPr>
            <w:tcW w:type="dxa" w:w="1728"/>
            <w:shd w:fill="F8FAFC" w:color="auto" w:val="clear"/>
            <w:tcMar>
              <w:top w:w="50" w:type="dxa"/>
              <w:bottom w:w="50" w:type="dxa"/>
              <w:left w:w="80" w:type="dxa"/>
              <w:right w:w="80" w:type="dxa"/>
            </w:tcMar>
          </w:tcPr>
          <w:p>
            <w:pPr>
              <w:spacing w:before="0" w:after="0"/>
            </w:pPr>
            <w:r>
              <w:rPr>
                <w:rFonts w:ascii="Calibri" w:hAnsi="Calibri"/>
                <w:color w:val="0F172A"/>
                <w:sz w:val="16"/>
              </w:rPr>
              <w:t>Write</w:t>
            </w:r>
          </w:p>
        </w:tc>
        <w:tc>
          <w:tcPr>
            <w:tcW w:type="dxa" w:w="5040"/>
            <w:shd w:fill="F8FAFC" w:color="auto" w:val="clear"/>
            <w:tcMar>
              <w:top w:w="50" w:type="dxa"/>
              <w:bottom w:w="50" w:type="dxa"/>
              <w:left w:w="80" w:type="dxa"/>
              <w:right w:w="80" w:type="dxa"/>
            </w:tcMar>
          </w:tcPr>
          <w:p>
            <w:pPr>
              <w:spacing w:before="0" w:after="0"/>
            </w:pPr>
            <w:r>
              <w:rPr>
                <w:rFonts w:ascii="Calibri" w:hAnsi="Calibri"/>
                <w:color w:val="0F172A"/>
                <w:sz w:val="16"/>
              </w:rPr>
              <w:t>Enables website to initiate Stripe's secure hosted checkout page for customers.</w:t>
            </w:r>
          </w:p>
        </w:tc>
      </w:tr>
      <w:tr>
        <w:tc>
          <w:tcPr>
            <w:tcW w:type="dxa" w:w="2592"/>
            <w:shd w:fill="FFFFFF" w:color="auto" w:val="clear"/>
            <w:tcMar>
              <w:top w:w="50" w:type="dxa"/>
              <w:bottom w:w="50" w:type="dxa"/>
              <w:left w:w="80" w:type="dxa"/>
              <w:right w:w="80" w:type="dxa"/>
            </w:tcMar>
          </w:tcPr>
          <w:p>
            <w:pPr>
              <w:spacing w:before="0" w:after="0"/>
            </w:pPr>
            <w:r>
              <w:rPr>
                <w:rFonts w:ascii="Calibri" w:hAnsi="Calibri"/>
                <w:color w:val="0F172A"/>
                <w:sz w:val="16"/>
              </w:rPr>
              <w:t>Payment Intents / Charges</w:t>
            </w:r>
          </w:p>
        </w:tc>
        <w:tc>
          <w:tcPr>
            <w:tcW w:type="dxa" w:w="1728"/>
            <w:shd w:fill="FFFFFF" w:color="auto" w:val="clear"/>
            <w:tcMar>
              <w:top w:w="50" w:type="dxa"/>
              <w:bottom w:w="50" w:type="dxa"/>
              <w:left w:w="80" w:type="dxa"/>
              <w:right w:w="80" w:type="dxa"/>
            </w:tcMar>
          </w:tcPr>
          <w:p>
            <w:pPr>
              <w:spacing w:before="0" w:after="0"/>
            </w:pPr>
            <w:r>
              <w:rPr>
                <w:rFonts w:ascii="Calibri" w:hAnsi="Calibri"/>
                <w:color w:val="0F172A"/>
                <w:sz w:val="16"/>
              </w:rPr>
              <w:t>Write / Read</w:t>
            </w:r>
          </w:p>
        </w:tc>
        <w:tc>
          <w:tcPr>
            <w:tcW w:type="dxa" w:w="5040"/>
            <w:shd w:fill="FFFFFF" w:color="auto" w:val="clear"/>
            <w:tcMar>
              <w:top w:w="50" w:type="dxa"/>
              <w:bottom w:w="50" w:type="dxa"/>
              <w:left w:w="80" w:type="dxa"/>
              <w:right w:w="80" w:type="dxa"/>
            </w:tcMar>
          </w:tcPr>
          <w:p>
            <w:pPr>
              <w:spacing w:before="0" w:after="0"/>
            </w:pPr>
            <w:r>
              <w:rPr>
                <w:rFonts w:ascii="Calibri" w:hAnsi="Calibri"/>
                <w:color w:val="0F172A"/>
                <w:sz w:val="16"/>
              </w:rPr>
              <w:t>Creates transaction intents, verifies payment status, and supports variable-weight adjustments.</w:t>
            </w:r>
          </w:p>
        </w:tc>
      </w:tr>
      <w:tr>
        <w:tc>
          <w:tcPr>
            <w:tcW w:type="dxa" w:w="2592"/>
            <w:shd w:fill="F8FAFC" w:color="auto" w:val="clear"/>
            <w:tcMar>
              <w:top w:w="50" w:type="dxa"/>
              <w:bottom w:w="50" w:type="dxa"/>
              <w:left w:w="80" w:type="dxa"/>
              <w:right w:w="80" w:type="dxa"/>
            </w:tcMar>
          </w:tcPr>
          <w:p>
            <w:pPr>
              <w:spacing w:before="0" w:after="0"/>
            </w:pPr>
            <w:r>
              <w:rPr>
                <w:rFonts w:ascii="Calibri" w:hAnsi="Calibri"/>
                <w:color w:val="0F172A"/>
                <w:sz w:val="16"/>
              </w:rPr>
              <w:t>Webhook Endpoints</w:t>
            </w:r>
          </w:p>
        </w:tc>
        <w:tc>
          <w:tcPr>
            <w:tcW w:type="dxa" w:w="1728"/>
            <w:shd w:fill="F8FAFC" w:color="auto" w:val="clear"/>
            <w:tcMar>
              <w:top w:w="50" w:type="dxa"/>
              <w:bottom w:w="50" w:type="dxa"/>
              <w:left w:w="80" w:type="dxa"/>
              <w:right w:w="80" w:type="dxa"/>
            </w:tcMar>
          </w:tcPr>
          <w:p>
            <w:pPr>
              <w:spacing w:before="0" w:after="0"/>
            </w:pPr>
            <w:r>
              <w:rPr>
                <w:rFonts w:ascii="Calibri" w:hAnsi="Calibri"/>
                <w:color w:val="0F172A"/>
                <w:sz w:val="16"/>
              </w:rPr>
              <w:t>Write</w:t>
            </w:r>
          </w:p>
        </w:tc>
        <w:tc>
          <w:tcPr>
            <w:tcW w:type="dxa" w:w="5040"/>
            <w:shd w:fill="F8FAFC" w:color="auto" w:val="clear"/>
            <w:tcMar>
              <w:top w:w="50" w:type="dxa"/>
              <w:bottom w:w="50" w:type="dxa"/>
              <w:left w:w="80" w:type="dxa"/>
              <w:right w:w="80" w:type="dxa"/>
            </w:tcMar>
          </w:tcPr>
          <w:p>
            <w:pPr>
              <w:spacing w:before="0" w:after="0"/>
            </w:pPr>
            <w:r>
              <w:rPr>
                <w:rFonts w:ascii="Calibri" w:hAnsi="Calibri"/>
                <w:color w:val="0F172A"/>
                <w:sz w:val="16"/>
              </w:rPr>
              <w:t>Connects Stripe to the website (/webhook/stripe) to automatically update order status to 'Paid' instantly upon payment completion.</w:t>
            </w:r>
          </w:p>
        </w:tc>
      </w:tr>
    </w:tbl>
    <w:p>
      <w:pPr>
        <w:spacing w:after="60"/>
      </w:pPr>
    </w:p>
    <w:p>
      <w:pPr>
        <w:pStyle w:val="ListBullet"/>
        <w:spacing w:before="40" w:after="50" w:line="276" w:lineRule="auto"/>
        <w:ind w:left="360"/>
      </w:pPr>
      <w:r>
        <w:rPr>
          <w:rFonts w:ascii="Calibri" w:hAnsi="Calibri"/>
          <w:b/>
          <w:sz w:val="19"/>
        </w:rPr>
        <w:t xml:space="preserve">Zero-Risk Guarantee: </w:t>
      </w:r>
      <w:r>
        <w:rPr>
          <w:rFonts w:ascii="Calibri" w:hAnsi="Calibri"/>
          <w:sz w:val="19"/>
        </w:rPr>
        <w:t>This restricted permission set strictly blocks access to MST bank accounts, payout schedules, team member permissions, and sensitive financial logs.</w:t>
      </w:r>
    </w:p>
    <w:p>
      <w:pPr>
        <w:keepNext/>
        <w:spacing w:before="240" w:after="80"/>
      </w:pPr>
      <w:r>
        <w:rPr>
          <w:rFonts w:ascii="Calibri" w:hAnsi="Calibri"/>
          <w:b/>
          <w:color w:val="0F766E"/>
          <w:sz w:val="26"/>
        </w:rPr>
        <w:t>3. Payment Methods &amp; Website UI Alignment</w:t>
      </w:r>
    </w:p>
    <w:p>
      <w:pPr>
        <w:pStyle w:val="ListBullet"/>
        <w:spacing w:before="40" w:after="50" w:line="276" w:lineRule="auto"/>
        <w:ind w:left="360"/>
      </w:pPr>
      <w:r>
        <w:rPr>
          <w:rFonts w:ascii="Calibri" w:hAnsi="Calibri"/>
          <w:b/>
          <w:sz w:val="19"/>
        </w:rPr>
        <w:t xml:space="preserve">Strict Alignment: </w:t>
      </w:r>
      <w:r>
        <w:rPr>
          <w:rFonts w:ascii="Calibri" w:hAnsi="Calibri"/>
          <w:sz w:val="19"/>
        </w:rPr>
        <w:t>The website checkout and UI will display only the payment methods enabled on MST's own Stripe account (Credit/Debit Card: Visa &amp; Mastercard, FPX Online Banking, and in-store Cash at Counter 2 for Walk-in pickup).</w:t>
      </w:r>
    </w:p>
    <w:p>
      <w:pPr>
        <w:pStyle w:val="ListBullet"/>
        <w:spacing w:before="40" w:after="50" w:line="276" w:lineRule="auto"/>
        <w:ind w:left="360"/>
      </w:pPr>
      <w:r>
        <w:rPr>
          <w:rFonts w:ascii="Calibri" w:hAnsi="Calibri"/>
          <w:b/>
          <w:sz w:val="19"/>
        </w:rPr>
        <w:t xml:space="preserve">Accuracy: </w:t>
      </w:r>
      <w:r>
        <w:rPr>
          <w:rFonts w:ascii="Calibri" w:hAnsi="Calibri"/>
          <w:sz w:val="19"/>
        </w:rPr>
        <w:t>No unsupported or generic payment logos will be displayed.</w:t>
      </w:r>
    </w:p>
    <w:p>
      <w:pPr>
        <w:keepNext/>
        <w:spacing w:before="240" w:after="80"/>
      </w:pPr>
      <w:r>
        <w:rPr>
          <w:rFonts w:ascii="Calibri" w:hAnsi="Calibri"/>
          <w:b/>
          <w:color w:val="0F766E"/>
          <w:sz w:val="26"/>
        </w:rPr>
        <w:t>4. Updated Delivery Rules (Confirmed &amp; Aligned)</w:t>
      </w:r>
    </w:p>
    <w:p>
      <w:pPr>
        <w:spacing w:before="40" w:after="80" w:line="276" w:lineRule="auto"/>
      </w:pPr>
      <w:r>
        <w:rPr>
          <w:rFonts w:ascii="Calibri" w:hAnsi="Calibri"/>
          <w:b w:val="0"/>
          <w:i w:val="0"/>
          <w:sz w:val="19"/>
        </w:rPr>
        <w:t>The delivery calculation engine has been updated to match MST's latest rules:</w:t>
      </w:r>
    </w:p>
    <w:p>
      <w:pPr>
        <w:pStyle w:val="ListBullet"/>
        <w:spacing w:before="40" w:after="50" w:line="276" w:lineRule="auto"/>
        <w:ind w:left="360"/>
      </w:pPr>
      <w:r>
        <w:rPr>
          <w:rFonts w:ascii="Calibri" w:hAnsi="Calibri"/>
          <w:b/>
          <w:sz w:val="19"/>
        </w:rPr>
        <w:t xml:space="preserve">Zone A (Local JB / Iskandar Puteri / Nusajaya): </w:t>
      </w:r>
      <w:r>
        <w:rPr>
          <w:rFonts w:ascii="Calibri" w:hAnsi="Calibri"/>
          <w:sz w:val="19"/>
        </w:rPr>
        <w:t>Orders ≥ RM 150.00 = Free Standard Delivery (RM 0.00). Orders &lt; RM 150.00 = RM 10.00 Standard Delivery Fee.</w:t>
      </w:r>
    </w:p>
    <w:p>
      <w:pPr>
        <w:pStyle w:val="ListBullet"/>
        <w:spacing w:before="40" w:after="50" w:line="276" w:lineRule="auto"/>
        <w:ind w:left="360"/>
      </w:pPr>
      <w:r>
        <w:rPr>
          <w:rFonts w:ascii="Calibri" w:hAnsi="Calibri"/>
          <w:b/>
          <w:sz w:val="19"/>
        </w:rPr>
        <w:t xml:space="preserve">Threshold Clarification: </w:t>
      </w:r>
      <w:r>
        <w:rPr>
          <w:rFonts w:ascii="Calibri" w:hAnsi="Calibri"/>
          <w:sz w:val="19"/>
        </w:rPr>
        <w:t>Confirmed that RM 150.00 is the free-delivery qualifying threshold, NOT a minimum order requirement. Customers can place orders of any amount by paying the standard RM 10 fee.</w:t>
      </w:r>
    </w:p>
    <w:p>
      <w:pPr>
        <w:pStyle w:val="ListBullet"/>
        <w:spacing w:before="40" w:after="50" w:line="276" w:lineRule="auto"/>
        <w:ind w:left="360"/>
      </w:pPr>
      <w:r>
        <w:rPr>
          <w:rFonts w:ascii="Calibri" w:hAnsi="Calibri"/>
          <w:b/>
          <w:sz w:val="19"/>
        </w:rPr>
        <w:t xml:space="preserve">Zone B / Outstation: </w:t>
      </w:r>
      <w:r>
        <w:rPr>
          <w:rFonts w:ascii="Calibri" w:hAnsi="Calibri"/>
          <w:sz w:val="19"/>
        </w:rPr>
        <w:t>No free delivery. Cold-chain transportation and packaging are quoted separately based on destination.</w:t>
      </w:r>
    </w:p>
    <w:p>
      <w:pPr>
        <w:pStyle w:val="ListBullet"/>
        <w:spacing w:before="40" w:after="50" w:line="276" w:lineRule="auto"/>
        <w:ind w:left="360"/>
      </w:pPr>
      <w:r>
        <w:rPr>
          <w:rFonts w:ascii="Calibri" w:hAnsi="Calibri"/>
          <w:b/>
          <w:sz w:val="19"/>
        </w:rPr>
        <w:t xml:space="preserve">81300 Skudai: </w:t>
      </w:r>
      <w:r>
        <w:rPr>
          <w:rFonts w:ascii="Calibri" w:hAnsi="Calibri"/>
          <w:sz w:val="19"/>
        </w:rPr>
        <w:t>Postcode 81300 Skudai is permanently classified under Zone B / Outstation.</w:t>
      </w:r>
    </w:p>
    <w:p>
      <w:pPr>
        <w:keepNext/>
        <w:spacing w:before="240" w:after="80"/>
      </w:pPr>
      <w:r>
        <w:rPr>
          <w:rFonts w:ascii="Calibri" w:hAnsi="Calibri"/>
          <w:b/>
          <w:color w:val="0F766E"/>
          <w:sz w:val="26"/>
        </w:rPr>
        <w:t>5. Variable-Weight Flower Crab (Designated as 'Pending UAT')</w:t>
      </w:r>
    </w:p>
    <w:p>
      <w:pPr>
        <w:spacing w:before="40" w:after="80" w:line="276" w:lineRule="auto"/>
      </w:pPr>
      <w:r>
        <w:rPr>
          <w:rFonts w:ascii="Calibri" w:hAnsi="Calibri"/>
          <w:b w:val="0"/>
          <w:i w:val="0"/>
          <w:sz w:val="19"/>
        </w:rPr>
        <w:t>We have noted this workflow as PENDING UAT. It will not be marked completed until you have personally tested and verified both operational cases:</w:t>
      </w:r>
    </w:p>
    <w:tbl>
      <w:tblPr>
        <w:tblW w:type="auto" w:w="0"/>
        <w:jc w:val="center"/>
        <w:tblLayout w:type="fixed"/>
        <w:tblLook w:firstColumn="1" w:firstRow="1" w:lastColumn="0" w:lastRow="0" w:noHBand="0" w:noVBand="1" w:val="04A0"/>
      </w:tblPr>
      <w:tblGrid>
        <w:gridCol w:w="10080"/>
      </w:tblGrid>
      <w:tr>
        <w:tc>
          <w:tcPr>
            <w:tcW w:type="dxa" w:w="9360"/>
            <w:shd w:fill="F0FDF4" w:color="auto" w:val="clear"/>
            <w:tcMar>
              <w:top w:w="100" w:type="dxa"/>
              <w:bottom w:w="100" w:type="dxa"/>
              <w:left w:w="140" w:type="dxa"/>
              <w:right w:w="140" w:type="dxa"/>
            </w:tcMar>
            <w:tcBorders>
              <w:top w:val="none"/>
              <w:left w:val="single" w:sz="24" w:space="0" w:color="16A34A"/>
              <w:bottom w:val="none"/>
              <w:right w:val="none"/>
            </w:tcBorders>
          </w:tcPr>
          <w:p>
            <w:pPr>
              <w:spacing w:before="0" w:after="40" w:line="276" w:lineRule="auto"/>
            </w:pPr>
            <w:r>
              <w:rPr>
                <w:rFonts w:ascii="Calibri" w:hAnsi="Calibri"/>
                <w:b/>
                <w:color w:val="0F766E"/>
                <w:sz w:val="20"/>
              </w:rPr>
              <w:t>UAT Scenario A: Overweight Catch (+RM 10.20 Balance Due)</w:t>
              <w:br/>
            </w:r>
            <w:r>
              <w:rPr>
                <w:rFonts w:ascii="Calibri" w:hAnsi="Calibri"/>
                <w:color w:val="1E293B"/>
                <w:sz w:val="19"/>
              </w:rPr>
              <w:t>• Reference Weight: 1.00 kg (RM 68.00) → Scaled Weight entered: 1.15 kg (RM 78.20).</w:t>
              <w:br/>
              <w:t>• System recalculates variance (+RM 10.20) → Generates 1-click WhatsApp customer alert with payment link → Collects supplementary amount → Updates order status to 'Paid / Ready'.</w:t>
            </w:r>
          </w:p>
        </w:tc>
      </w:tr>
    </w:tbl>
    <w:p>
      <w:pPr>
        <w:spacing w:before="0" w:after="60"/>
      </w:pPr>
    </w:p>
    <w:tbl>
      <w:tblPr>
        <w:tblW w:type="auto" w:w="0"/>
        <w:jc w:val="center"/>
        <w:tblLayout w:type="fixed"/>
        <w:tblLook w:firstColumn="1" w:firstRow="1" w:lastColumn="0" w:lastRow="0" w:noHBand="0" w:noVBand="1" w:val="04A0"/>
      </w:tblPr>
      <w:tblGrid>
        <w:gridCol w:w="10080"/>
      </w:tblGrid>
      <w:tr>
        <w:tc>
          <w:tcPr>
            <w:tcW w:type="dxa" w:w="9360"/>
            <w:shd w:fill="FEF3C7" w:color="auto" w:val="clear"/>
            <w:tcMar>
              <w:top w:w="100" w:type="dxa"/>
              <w:bottom w:w="100" w:type="dxa"/>
              <w:left w:w="140" w:type="dxa"/>
              <w:right w:w="140" w:type="dxa"/>
            </w:tcMar>
            <w:tcBorders>
              <w:top w:val="none"/>
              <w:left w:val="single" w:sz="24" w:space="0" w:color="D97706"/>
              <w:bottom w:val="none"/>
              <w:right w:val="none"/>
            </w:tcBorders>
          </w:tcPr>
          <w:p>
            <w:pPr>
              <w:spacing w:before="0" w:after="40" w:line="276" w:lineRule="auto"/>
            </w:pPr>
            <w:r>
              <w:rPr>
                <w:rFonts w:ascii="Calibri" w:hAnsi="Calibri"/>
                <w:b/>
                <w:color w:val="0F766E"/>
                <w:sz w:val="20"/>
              </w:rPr>
              <w:t>UAT Scenario B: Underweight Catch (-RM 6.80 Refund / Credit)</w:t>
              <w:br/>
            </w:r>
            <w:r>
              <w:rPr>
                <w:rFonts w:ascii="Calibri" w:hAnsi="Calibri"/>
                <w:color w:val="1E293B"/>
                <w:sz w:val="19"/>
              </w:rPr>
              <w:t>• Reference Weight: 1.00 kg (RM 68.00) → Scaled Weight entered: 0.90 kg (RM 61.20).</w:t>
              <w:br/>
              <w:t>• System recalculates variance (-RM 6.80) → Generates 1-click WhatsApp refund notice → Triggers Stripe partial refund / account credit → Updates order status to 'Payment Adjusted / Ready'.</w:t>
            </w:r>
          </w:p>
        </w:tc>
      </w:tr>
    </w:tbl>
    <w:p>
      <w:pPr>
        <w:spacing w:before="0" w:after="60"/>
      </w:pPr>
    </w:p>
    <w:p>
      <w:pPr>
        <w:keepNext/>
        <w:spacing w:before="240" w:after="80"/>
      </w:pPr>
      <w:r>
        <w:rPr>
          <w:rFonts w:ascii="Calibri" w:hAnsi="Calibri"/>
          <w:b/>
          <w:color w:val="0F766E"/>
          <w:sz w:val="26"/>
        </w:rPr>
        <w:t>6. Next Steps &amp; Minimal Required Handover</w:t>
      </w:r>
    </w:p>
    <w:p>
      <w:pPr>
        <w:spacing w:before="40" w:after="80" w:line="276" w:lineRule="auto"/>
      </w:pPr>
      <w:r>
        <w:rPr>
          <w:rFonts w:ascii="Calibri" w:hAnsi="Calibri"/>
          <w:b w:val="0"/>
          <w:i w:val="0"/>
          <w:sz w:val="20"/>
        </w:rPr>
        <w:t>To proceed with the Test Mode setup, the ONLY item required from your side is:</w:t>
      </w:r>
    </w:p>
    <w:p>
      <w:pPr>
        <w:pStyle w:val="ListBullet"/>
        <w:spacing w:before="40" w:after="50" w:line="276" w:lineRule="auto"/>
        <w:ind w:left="360"/>
      </w:pPr>
      <w:r>
        <w:rPr>
          <w:rFonts w:ascii="Calibri" w:hAnsi="Calibri"/>
          <w:b/>
          <w:sz w:val="19"/>
        </w:rPr>
        <w:t xml:space="preserve">MST Stripe Test Mode Keys: </w:t>
      </w:r>
      <w:r>
        <w:rPr>
          <w:rFonts w:ascii="Calibri" w:hAnsi="Calibri"/>
          <w:sz w:val="19"/>
        </w:rPr>
        <w:t>Publishable Key (pk_test_...) and Secret Key (sk_test_...) OR a Restricted Key (rk_test_... with the 3 permissions listed above).</w:t>
      </w:r>
    </w:p>
    <w:p>
      <w:pPr>
        <w:pStyle w:val="ListBullet"/>
        <w:spacing w:before="40" w:after="50" w:line="276" w:lineRule="auto"/>
        <w:ind w:left="360"/>
      </w:pPr>
      <w:r>
        <w:rPr>
          <w:rFonts w:ascii="Calibri" w:hAnsi="Calibri"/>
          <w:b/>
          <w:sz w:val="19"/>
        </w:rPr>
        <w:t xml:space="preserve">Zero Extra Credentials: </w:t>
      </w:r>
      <w:r>
        <w:rPr>
          <w:rFonts w:ascii="Calibri" w:hAnsi="Calibri"/>
          <w:sz w:val="19"/>
        </w:rPr>
        <w:t>No email credentials, mail passwords, or live Stripe keys are required.</w:t>
      </w:r>
    </w:p>
    <w:p>
      <w:pPr>
        <w:spacing w:before="40" w:after="80" w:line="276" w:lineRule="auto"/>
      </w:pPr>
      <w:r>
        <w:rPr>
          <w:rFonts w:ascii="Calibri" w:hAnsi="Calibri"/>
          <w:b w:val="0"/>
          <w:i w:val="0"/>
          <w:sz w:val="20"/>
        </w:rPr>
        <w:t>Once you supply the Test Mode keys, we will connect the sandbox environment and provide you with the test links and test cards for your UAT walkthrough.</w:t>
      </w:r>
    </w:p>
    <w:p>
      <w:pPr>
        <w:spacing w:after="160"/>
      </w:pPr>
    </w:p>
    <w:p>
      <w:pPr>
        <w:spacing w:before="40" w:after="80" w:line="276" w:lineRule="auto"/>
      </w:pPr>
      <w:r>
        <w:rPr>
          <w:rFonts w:ascii="Calibri" w:hAnsi="Calibri"/>
          <w:b/>
          <w:i w:val="0"/>
          <w:sz w:val="20"/>
        </w:rPr>
        <w:t>Thank you,</w:t>
        <w:br/>
        <w:t>Abdul</w:t>
        <w:br/>
        <w:t>Lead Technical Solution Architect</w:t>
        <w:br/>
        <w:t>MST Import &amp; Export Sdn. Bhd. E-Commerce Development Team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