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F766E"/>
          <w:sz w:val="18"/>
        </w:rPr>
        <w:t>MST IMPORT &amp; EXPORT SDN. BHD. — E-COMMERCE PLATFORM</w:t>
        <w:br/>
      </w:r>
      <w:r>
        <w:rPr>
          <w:rFonts w:ascii="Calibri" w:hAnsi="Calibri"/>
          <w:b/>
          <w:color w:val="091A36"/>
          <w:sz w:val="33"/>
        </w:rPr>
        <w:t>OFFICIAL CLIENT UAT CLARIFICATION &amp; VERIFICATION REPORT</w:t>
        <w:br/>
      </w:r>
      <w:r>
        <w:rPr>
          <w:rFonts w:ascii="Calibri" w:hAnsi="Calibri"/>
          <w:i/>
          <w:color w:val="334155"/>
          <w:sz w:val="20"/>
        </w:rPr>
        <w:t>Technical &amp; Business Clarifications on Variable-Weight Mud Crab Pricing, Zone A Delivery Boundaries, and RM10 Delivery Fee Mechanism</w:t>
      </w:r>
    </w:p>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68"/>
        <w:gridCol w:w="4968"/>
      </w:tblGrid>
      <w:tr>
        <w:tc>
          <w:tcPr>
            <w:tcW w:type="dxa" w:w="3168"/>
            <w:shd w:fill="F8FAFC" w:color="auto" w:val="clear"/>
            <w:tcMar>
              <w:top w:w="60" w:type="dxa"/>
              <w:bottom w:w="60" w:type="dxa"/>
              <w:left w:w="100" w:type="dxa"/>
              <w:right w:w="80" w:type="dxa"/>
            </w:tcMar>
          </w:tcPr>
          <w:p>
            <w:r>
              <w:rPr>
                <w:rFonts w:ascii="Calibri" w:hAnsi="Calibri"/>
                <w:b/>
                <w:color w:val="0F172A"/>
                <w:sz w:val="18"/>
              </w:rPr>
              <w:t>Client Project Lead:</w:t>
            </w:r>
          </w:p>
        </w:tc>
        <w:tc>
          <w:tcPr>
            <w:tcW w:type="dxa" w:w="7200"/>
            <w:shd w:fill="F8FAFC" w:color="auto" w:val="clear"/>
            <w:tcMar>
              <w:top w:w="60" w:type="dxa"/>
              <w:bottom w:w="60" w:type="dxa"/>
              <w:left w:w="100" w:type="dxa"/>
              <w:right w:w="80" w:type="dxa"/>
            </w:tcMar>
          </w:tcPr>
          <w:p>
            <w:r>
              <w:rPr>
                <w:rFonts w:ascii="Calibri" w:hAnsi="Calibri"/>
                <w:color w:val="334155"/>
                <w:sz w:val="18"/>
              </w:rPr>
              <w:t>Wendy / MST Executive Management</w:t>
            </w:r>
          </w:p>
        </w:tc>
      </w:tr>
      <w:tr>
        <w:tc>
          <w:tcPr>
            <w:tcW w:type="dxa" w:w="3168"/>
            <w:shd w:fill="FFFFFF" w:color="auto" w:val="clear"/>
            <w:tcMar>
              <w:top w:w="60" w:type="dxa"/>
              <w:bottom w:w="60" w:type="dxa"/>
              <w:left w:w="100" w:type="dxa"/>
              <w:right w:w="80" w:type="dxa"/>
            </w:tcMar>
          </w:tcPr>
          <w:p>
            <w:r>
              <w:rPr>
                <w:rFonts w:ascii="Calibri" w:hAnsi="Calibri"/>
                <w:b/>
                <w:color w:val="0F172A"/>
                <w:sz w:val="18"/>
              </w:rPr>
              <w:t>Prepared By:</w:t>
            </w:r>
          </w:p>
        </w:tc>
        <w:tc>
          <w:tcPr>
            <w:tcW w:type="dxa" w:w="7200"/>
            <w:shd w:fill="FFFFFF" w:color="auto" w:val="clear"/>
            <w:tcMar>
              <w:top w:w="60" w:type="dxa"/>
              <w:bottom w:w="60" w:type="dxa"/>
              <w:left w:w="100" w:type="dxa"/>
              <w:right w:w="80" w:type="dxa"/>
            </w:tcMar>
          </w:tcPr>
          <w:p>
            <w:r>
              <w:rPr>
                <w:rFonts w:ascii="Calibri" w:hAnsi="Calibri"/>
                <w:color w:val="334155"/>
                <w:sz w:val="18"/>
              </w:rPr>
              <w:t>Abdul Rehman / Lead Engineering Team</w:t>
            </w:r>
          </w:p>
        </w:tc>
      </w:tr>
      <w:tr>
        <w:tc>
          <w:tcPr>
            <w:tcW w:type="dxa" w:w="3168"/>
            <w:shd w:fill="F8FAFC" w:color="auto" w:val="clear"/>
            <w:tcMar>
              <w:top w:w="60" w:type="dxa"/>
              <w:bottom w:w="60" w:type="dxa"/>
              <w:left w:w="100" w:type="dxa"/>
              <w:right w:w="80" w:type="dxa"/>
            </w:tcMar>
          </w:tcPr>
          <w:p>
            <w:r>
              <w:rPr>
                <w:rFonts w:ascii="Calibri" w:hAnsi="Calibri"/>
                <w:b/>
                <w:color w:val="0F172A"/>
                <w:sz w:val="18"/>
              </w:rPr>
              <w:t>Date of Submission:</w:t>
            </w:r>
          </w:p>
        </w:tc>
        <w:tc>
          <w:tcPr>
            <w:tcW w:type="dxa" w:w="7200"/>
            <w:shd w:fill="F8FAFC" w:color="auto" w:val="clear"/>
            <w:tcMar>
              <w:top w:w="60" w:type="dxa"/>
              <w:bottom w:w="60" w:type="dxa"/>
              <w:left w:w="100" w:type="dxa"/>
              <w:right w:w="80" w:type="dxa"/>
            </w:tcMar>
          </w:tcPr>
          <w:p>
            <w:r>
              <w:rPr>
                <w:rFonts w:ascii="Calibri" w:hAnsi="Calibri"/>
                <w:color w:val="334155"/>
                <w:sz w:val="18"/>
              </w:rPr>
              <w:t>October 2026</w:t>
            </w:r>
          </w:p>
        </w:tc>
      </w:tr>
      <w:tr>
        <w:tc>
          <w:tcPr>
            <w:tcW w:type="dxa" w:w="3168"/>
            <w:shd w:fill="FFFFFF" w:color="auto" w:val="clear"/>
            <w:tcMar>
              <w:top w:w="60" w:type="dxa"/>
              <w:bottom w:w="60" w:type="dxa"/>
              <w:left w:w="100" w:type="dxa"/>
              <w:right w:w="80" w:type="dxa"/>
            </w:tcMar>
          </w:tcPr>
          <w:p>
            <w:r>
              <w:rPr>
                <w:rFonts w:ascii="Calibri" w:hAnsi="Calibri"/>
                <w:b/>
                <w:color w:val="0F172A"/>
                <w:sz w:val="18"/>
              </w:rPr>
              <w:t>Milestone Reference:</w:t>
            </w:r>
          </w:p>
        </w:tc>
        <w:tc>
          <w:tcPr>
            <w:tcW w:type="dxa" w:w="7200"/>
            <w:shd w:fill="FFFFFF" w:color="auto" w:val="clear"/>
            <w:tcMar>
              <w:top w:w="60" w:type="dxa"/>
              <w:bottom w:w="60" w:type="dxa"/>
              <w:left w:w="100" w:type="dxa"/>
              <w:right w:w="80" w:type="dxa"/>
            </w:tcMar>
          </w:tcPr>
          <w:p>
            <w:r>
              <w:rPr>
                <w:rFonts w:ascii="Calibri" w:hAnsi="Calibri"/>
                <w:color w:val="334155"/>
                <w:sz w:val="18"/>
              </w:rPr>
              <w:t>Final UAT Sign-off &amp; RM1,000 Milestone Release</w:t>
            </w:r>
          </w:p>
        </w:tc>
      </w:tr>
      <w:tr>
        <w:tc>
          <w:tcPr>
            <w:tcW w:type="dxa" w:w="3168"/>
            <w:shd w:fill="F8FAFC" w:color="auto" w:val="clear"/>
            <w:tcMar>
              <w:top w:w="60" w:type="dxa"/>
              <w:bottom w:w="60" w:type="dxa"/>
              <w:left w:w="100" w:type="dxa"/>
              <w:right w:w="80" w:type="dxa"/>
            </w:tcMar>
          </w:tcPr>
          <w:p>
            <w:r>
              <w:rPr>
                <w:rFonts w:ascii="Calibri" w:hAnsi="Calibri"/>
                <w:b/>
                <w:color w:val="0F172A"/>
                <w:sz w:val="18"/>
              </w:rPr>
              <w:t>Overall System Status:</w:t>
            </w:r>
          </w:p>
        </w:tc>
        <w:tc>
          <w:tcPr>
            <w:tcW w:type="dxa" w:w="7200"/>
            <w:shd w:fill="F8FAFC" w:color="auto" w:val="clear"/>
            <w:tcMar>
              <w:top w:w="60" w:type="dxa"/>
              <w:bottom w:w="60" w:type="dxa"/>
              <w:left w:w="100" w:type="dxa"/>
              <w:right w:w="80" w:type="dxa"/>
            </w:tcMar>
          </w:tcPr>
          <w:p>
            <w:r>
              <w:rPr>
                <w:rFonts w:ascii="Calibri" w:hAnsi="Calibri"/>
                <w:b/>
                <w:color w:val="166534"/>
                <w:sz w:val="18"/>
              </w:rPr>
              <w:t>✓ 100% Clarified, Database Aligned &amp; Ready for Final Customer UAT Sign-off</w:t>
            </w:r>
          </w:p>
        </w:tc>
      </w:tr>
    </w:tbl>
    <w:p/>
    <w:p>
      <w:pPr>
        <w:keepNext/>
        <w:spacing w:before="160" w:after="80"/>
      </w:pPr>
      <w:r>
        <w:rPr>
          <w:rFonts w:ascii="Calibri" w:hAnsi="Calibri"/>
          <w:b/>
          <w:color w:val="091A36"/>
          <w:sz w:val="28"/>
        </w:rPr>
        <w:t>1. Executive Summary &amp; Clarification Overview</w:t>
      </w:r>
    </w:p>
    <w:p>
      <w:pPr>
        <w:spacing w:before="40" w:after="120"/>
      </w:pPr>
      <w:r>
        <w:rPr>
          <w:rFonts w:ascii="Calibri" w:hAnsi="Calibri"/>
          <w:b w:val="0"/>
          <w:i w:val="0"/>
          <w:color w:val="334155"/>
          <w:sz w:val="20"/>
        </w:rPr>
        <w:t>Dear Wendy, thank you for your structured review. We have thoroughly audited the codebase, production database configurations, and logistics calculation engine in response to your feedback. Below is the direct summary of findings followed by detailed technical proof for each item.</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84"/>
        <w:gridCol w:w="2484"/>
        <w:gridCol w:w="2484"/>
        <w:gridCol w:w="2484"/>
      </w:tblGrid>
      <w:tr>
        <w:tc>
          <w:tcPr>
            <w:tcW w:type="dxa" w:w="2160"/>
            <w:shd w:fill="091A36" w:color="auto" w:val="clear"/>
            <w:tcMar>
              <w:top w:w="80" w:type="dxa"/>
              <w:bottom w:w="80" w:type="dxa"/>
              <w:left w:w="100" w:type="dxa"/>
              <w:right w:w="80" w:type="dxa"/>
            </w:tcMar>
          </w:tcPr>
          <w:p>
            <w:r>
              <w:rPr>
                <w:rFonts w:ascii="Calibri" w:hAnsi="Calibri"/>
                <w:b/>
                <w:color w:val="FFFFFF"/>
                <w:sz w:val="18"/>
              </w:rPr>
              <w:t>Item # &amp; Topic</w:t>
            </w:r>
          </w:p>
        </w:tc>
        <w:tc>
          <w:tcPr>
            <w:tcW w:type="dxa" w:w="2880"/>
            <w:shd w:fill="091A36" w:color="auto" w:val="clear"/>
            <w:tcMar>
              <w:top w:w="80" w:type="dxa"/>
              <w:bottom w:w="80" w:type="dxa"/>
              <w:left w:w="100" w:type="dxa"/>
              <w:right w:w="80" w:type="dxa"/>
            </w:tcMar>
          </w:tcPr>
          <w:p>
            <w:r>
              <w:rPr>
                <w:rFonts w:ascii="Calibri" w:hAnsi="Calibri"/>
                <w:b/>
                <w:color w:val="FFFFFF"/>
                <w:sz w:val="18"/>
              </w:rPr>
              <w:t>Client Inquiry / Observation</w:t>
            </w:r>
          </w:p>
        </w:tc>
        <w:tc>
          <w:tcPr>
            <w:tcW w:type="dxa" w:w="2880"/>
            <w:shd w:fill="091A36" w:color="auto" w:val="clear"/>
            <w:tcMar>
              <w:top w:w="80" w:type="dxa"/>
              <w:bottom w:w="80" w:type="dxa"/>
              <w:left w:w="100" w:type="dxa"/>
              <w:right w:w="80" w:type="dxa"/>
            </w:tcMar>
          </w:tcPr>
          <w:p>
            <w:r>
              <w:rPr>
                <w:rFonts w:ascii="Calibri" w:hAnsi="Calibri"/>
                <w:b/>
                <w:color w:val="FFFFFF"/>
                <w:sz w:val="18"/>
              </w:rPr>
              <w:t>System / Database Reality</w:t>
            </w:r>
          </w:p>
        </w:tc>
        <w:tc>
          <w:tcPr>
            <w:tcW w:type="dxa" w:w="2448"/>
            <w:shd w:fill="091A36" w:color="auto" w:val="clear"/>
            <w:tcMar>
              <w:top w:w="80" w:type="dxa"/>
              <w:bottom w:w="80" w:type="dxa"/>
              <w:left w:w="100" w:type="dxa"/>
              <w:right w:w="80" w:type="dxa"/>
            </w:tcMar>
          </w:tcPr>
          <w:p>
            <w:r>
              <w:rPr>
                <w:rFonts w:ascii="Calibri" w:hAnsi="Calibri"/>
                <w:b/>
                <w:color w:val="FFFFFF"/>
                <w:sz w:val="18"/>
              </w:rPr>
              <w:t>Action / Final Status</w:t>
            </w:r>
          </w:p>
        </w:tc>
      </w:tr>
      <w:tr>
        <w:tc>
          <w:tcPr>
            <w:tcW w:type="dxa" w:w="2160"/>
            <w:shd w:fill="F8FAFC" w:color="auto" w:val="clear"/>
            <w:tcMar>
              <w:top w:w="70" w:type="dxa"/>
              <w:bottom w:w="70" w:type="dxa"/>
              <w:left w:w="100" w:type="dxa"/>
              <w:right w:w="80" w:type="dxa"/>
            </w:tcMar>
          </w:tcPr>
          <w:p>
            <w:r>
              <w:rPr>
                <w:rFonts w:ascii="Calibri" w:hAnsi="Calibri"/>
                <w:b/>
                <w:color w:val="0F172A"/>
                <w:sz w:val="17"/>
              </w:rPr>
              <w:t>Point 1:</w:t>
              <w:br/>
              <w:t>Variable-Weight Mud Crab Price</w:t>
            </w:r>
          </w:p>
        </w:tc>
        <w:tc>
          <w:tcPr>
            <w:tcW w:type="dxa" w:w="2880"/>
            <w:shd w:fill="F8FAFC" w:color="auto" w:val="clear"/>
            <w:tcMar>
              <w:top w:w="70" w:type="dxa"/>
              <w:bottom w:w="70" w:type="dxa"/>
              <w:left w:w="100" w:type="dxa"/>
              <w:right w:w="80" w:type="dxa"/>
            </w:tcMar>
          </w:tcPr>
          <w:p>
            <w:r>
              <w:rPr>
                <w:rFonts w:ascii="Calibri" w:hAnsi="Calibri"/>
                <w:color w:val="334155"/>
                <w:sz w:val="17"/>
              </w:rPr>
              <w:t>Report stated RM88.00/pair, but website showed RM58.00/pair.</w:t>
            </w:r>
          </w:p>
        </w:tc>
        <w:tc>
          <w:tcPr>
            <w:tcW w:type="dxa" w:w="2880"/>
            <w:shd w:fill="F8FAFC" w:color="auto" w:val="clear"/>
            <w:tcMar>
              <w:top w:w="70" w:type="dxa"/>
              <w:bottom w:w="70" w:type="dxa"/>
              <w:left w:w="100" w:type="dxa"/>
              <w:right w:w="80" w:type="dxa"/>
            </w:tcMar>
          </w:tcPr>
          <w:p>
            <w:r>
              <w:rPr>
                <w:rFonts w:ascii="Calibri" w:hAnsi="Calibri"/>
                <w:color w:val="334155"/>
                <w:sz w:val="17"/>
              </w:rPr>
              <w:t>Live database catalog is active at RM58.00/pair (±800g). RM88.00 was an illustrative typo in the report document.</w:t>
            </w:r>
          </w:p>
        </w:tc>
        <w:tc>
          <w:tcPr>
            <w:tcW w:type="dxa" w:w="2448"/>
            <w:shd w:fill="F8FAFC" w:color="auto" w:val="clear"/>
            <w:tcMar>
              <w:top w:w="70" w:type="dxa"/>
              <w:bottom w:w="70" w:type="dxa"/>
              <w:left w:w="100" w:type="dxa"/>
              <w:right w:w="80" w:type="dxa"/>
            </w:tcMar>
          </w:tcPr>
          <w:p>
            <w:r>
              <w:rPr>
                <w:rFonts w:ascii="Calibri" w:hAnsi="Calibri"/>
                <w:b/>
                <w:color w:val="166534"/>
                <w:sz w:val="17"/>
              </w:rPr>
              <w:t>✓ CONFIRMED PASS</w:t>
              <w:br/>
              <w:t>Live price of RM58.00 verified and active.</w:t>
            </w:r>
          </w:p>
        </w:tc>
      </w:tr>
      <w:tr>
        <w:tc>
          <w:tcPr>
            <w:tcW w:type="dxa" w:w="2160"/>
            <w:shd w:fill="FFFFFF" w:color="auto" w:val="clear"/>
            <w:tcMar>
              <w:top w:w="70" w:type="dxa"/>
              <w:bottom w:w="70" w:type="dxa"/>
              <w:left w:w="100" w:type="dxa"/>
              <w:right w:w="80" w:type="dxa"/>
            </w:tcMar>
          </w:tcPr>
          <w:p>
            <w:r>
              <w:rPr>
                <w:rFonts w:ascii="Calibri" w:hAnsi="Calibri"/>
                <w:b/>
                <w:color w:val="0F172A"/>
                <w:sz w:val="17"/>
              </w:rPr>
              <w:t>Point 2:</w:t>
              <w:br/>
              <w:t>Skudai (81300) Zone B Mapping</w:t>
            </w:r>
          </w:p>
        </w:tc>
        <w:tc>
          <w:tcPr>
            <w:tcW w:type="dxa" w:w="2880"/>
            <w:shd w:fill="FFFFFF" w:color="auto" w:val="clear"/>
            <w:tcMar>
              <w:top w:w="70" w:type="dxa"/>
              <w:bottom w:w="70" w:type="dxa"/>
              <w:left w:w="100" w:type="dxa"/>
              <w:right w:w="80" w:type="dxa"/>
            </w:tcMar>
          </w:tcPr>
          <w:p>
            <w:r>
              <w:rPr>
                <w:rFonts w:ascii="Calibri" w:hAnsi="Calibri"/>
                <w:color w:val="334155"/>
                <w:sz w:val="17"/>
              </w:rPr>
              <w:t>Postcode 81300 at RM164.50 showed Zone A Free Delivery instead of Zone B Outstation quotation.</w:t>
            </w:r>
          </w:p>
        </w:tc>
        <w:tc>
          <w:tcPr>
            <w:tcW w:type="dxa" w:w="2880"/>
            <w:shd w:fill="FFFFFF" w:color="auto" w:val="clear"/>
            <w:tcMar>
              <w:top w:w="70" w:type="dxa"/>
              <w:bottom w:w="70" w:type="dxa"/>
              <w:left w:w="100" w:type="dxa"/>
              <w:right w:w="80" w:type="dxa"/>
            </w:tcMar>
          </w:tcPr>
          <w:p>
            <w:r>
              <w:rPr>
                <w:rFonts w:ascii="Calibri" w:hAnsi="Calibri"/>
                <w:color w:val="334155"/>
                <w:sz w:val="17"/>
              </w:rPr>
              <w:t>Identified broad 'Johor' state fallback in matcher. Fixed `DeliveryZone` &amp; `DeliveryService` to strictly isolate 81300 to Zone B.</w:t>
            </w:r>
          </w:p>
        </w:tc>
        <w:tc>
          <w:tcPr>
            <w:tcW w:type="dxa" w:w="2448"/>
            <w:shd w:fill="FFFFFF" w:color="auto" w:val="clear"/>
            <w:tcMar>
              <w:top w:w="70" w:type="dxa"/>
              <w:bottom w:w="70" w:type="dxa"/>
              <w:left w:w="100" w:type="dxa"/>
              <w:right w:w="80" w:type="dxa"/>
            </w:tcMar>
          </w:tcPr>
          <w:p>
            <w:r>
              <w:rPr>
                <w:rFonts w:ascii="Calibri" w:hAnsi="Calibri"/>
                <w:b/>
                <w:color w:val="166534"/>
                <w:sz w:val="17"/>
              </w:rPr>
              <w:t>✓ FIXED &amp; VERIFIED</w:t>
              <w:br/>
              <w:t>81300 routes to Zone B quotation; no Zone A free delivery.</w:t>
            </w:r>
          </w:p>
        </w:tc>
      </w:tr>
      <w:tr>
        <w:tc>
          <w:tcPr>
            <w:tcW w:type="dxa" w:w="2160"/>
            <w:shd w:fill="F8FAFC" w:color="auto" w:val="clear"/>
            <w:tcMar>
              <w:top w:w="70" w:type="dxa"/>
              <w:bottom w:w="70" w:type="dxa"/>
              <w:left w:w="100" w:type="dxa"/>
              <w:right w:w="80" w:type="dxa"/>
            </w:tcMar>
          </w:tcPr>
          <w:p>
            <w:r>
              <w:rPr>
                <w:rFonts w:ascii="Calibri" w:hAnsi="Calibri"/>
                <w:b/>
                <w:color w:val="0F172A"/>
                <w:sz w:val="17"/>
              </w:rPr>
              <w:t>Point 3:</w:t>
              <w:br/>
              <w:t>RM10 Delivery Fee for Orders &lt; RM150</w:t>
            </w:r>
          </w:p>
        </w:tc>
        <w:tc>
          <w:tcPr>
            <w:tcW w:type="dxa" w:w="2880"/>
            <w:shd w:fill="F8FAFC" w:color="auto" w:val="clear"/>
            <w:tcMar>
              <w:top w:w="70" w:type="dxa"/>
              <w:bottom w:w="70" w:type="dxa"/>
              <w:left w:w="100" w:type="dxa"/>
              <w:right w:w="80" w:type="dxa"/>
            </w:tcMar>
          </w:tcPr>
          <w:p>
            <w:r>
              <w:rPr>
                <w:rFonts w:ascii="Calibri" w:hAnsi="Calibri"/>
                <w:color w:val="334155"/>
                <w:sz w:val="17"/>
              </w:rPr>
              <w:t>Confirm if RM10.00 is final fixed charge or temporary test rate.</w:t>
            </w:r>
          </w:p>
        </w:tc>
        <w:tc>
          <w:tcPr>
            <w:tcW w:type="dxa" w:w="2880"/>
            <w:shd w:fill="F8FAFC" w:color="auto" w:val="clear"/>
            <w:tcMar>
              <w:top w:w="70" w:type="dxa"/>
              <w:bottom w:w="70" w:type="dxa"/>
              <w:left w:w="100" w:type="dxa"/>
              <w:right w:w="80" w:type="dxa"/>
            </w:tcMar>
          </w:tcPr>
          <w:p>
            <w:r>
              <w:rPr>
                <w:rFonts w:ascii="Calibri" w:hAnsi="Calibri"/>
                <w:color w:val="334155"/>
                <w:sz w:val="17"/>
              </w:rPr>
              <w:t>RM10.00 is the intentional standard local delivery charge for Zone A orders &lt; RM150. Fully dynamic in Admin Portal.</w:t>
            </w:r>
          </w:p>
        </w:tc>
        <w:tc>
          <w:tcPr>
            <w:tcW w:type="dxa" w:w="2448"/>
            <w:shd w:fill="F8FAFC" w:color="auto" w:val="clear"/>
            <w:tcMar>
              <w:top w:w="70" w:type="dxa"/>
              <w:bottom w:w="70" w:type="dxa"/>
              <w:left w:w="100" w:type="dxa"/>
              <w:right w:w="80" w:type="dxa"/>
            </w:tcMar>
          </w:tcPr>
          <w:p>
            <w:r>
              <w:rPr>
                <w:rFonts w:ascii="Calibri" w:hAnsi="Calibri"/>
                <w:b/>
                <w:color w:val="166534"/>
                <w:sz w:val="17"/>
              </w:rPr>
              <w:t>✓ CONFIRMED PASS</w:t>
              <w:br/>
              <w:t>Verified in UAT (RM115.70 + RM10 = RM125.70).</w:t>
            </w:r>
          </w:p>
        </w:tc>
      </w:tr>
      <w:tr>
        <w:tc>
          <w:tcPr>
            <w:tcW w:type="dxa" w:w="2160"/>
            <w:shd w:fill="FFFFFF" w:color="auto" w:val="clear"/>
            <w:tcMar>
              <w:top w:w="70" w:type="dxa"/>
              <w:bottom w:w="70" w:type="dxa"/>
              <w:left w:w="100" w:type="dxa"/>
              <w:right w:w="80" w:type="dxa"/>
            </w:tcMar>
          </w:tcPr>
          <w:p>
            <w:r>
              <w:rPr>
                <w:rFonts w:ascii="Calibri" w:hAnsi="Calibri"/>
                <w:b/>
                <w:color w:val="0F172A"/>
                <w:sz w:val="17"/>
              </w:rPr>
              <w:t>Point 4:</w:t>
              <w:br/>
              <w:t>Payment Methods on Stripe Checkout</w:t>
            </w:r>
          </w:p>
        </w:tc>
        <w:tc>
          <w:tcPr>
            <w:tcW w:type="dxa" w:w="2880"/>
            <w:shd w:fill="FFFFFF" w:color="auto" w:val="clear"/>
            <w:tcMar>
              <w:top w:w="70" w:type="dxa"/>
              <w:bottom w:w="70" w:type="dxa"/>
              <w:left w:w="100" w:type="dxa"/>
              <w:right w:w="80" w:type="dxa"/>
            </w:tcMar>
          </w:tcPr>
          <w:p>
            <w:r>
              <w:rPr>
                <w:rFonts w:ascii="Calibri" w:hAnsi="Calibri"/>
                <w:color w:val="334155"/>
                <w:sz w:val="17"/>
              </w:rPr>
              <w:t>Website advertises FPX, Apple Pay, Cards, but Stripe Hosted Checkout only showed Card.</w:t>
            </w:r>
          </w:p>
        </w:tc>
        <w:tc>
          <w:tcPr>
            <w:tcW w:type="dxa" w:w="2880"/>
            <w:shd w:fill="FFFFFF" w:color="auto" w:val="clear"/>
            <w:tcMar>
              <w:top w:w="70" w:type="dxa"/>
              <w:bottom w:w="70" w:type="dxa"/>
              <w:left w:w="100" w:type="dxa"/>
              <w:right w:w="80" w:type="dxa"/>
            </w:tcMar>
          </w:tcPr>
          <w:p>
            <w:r>
              <w:rPr>
                <w:rFonts w:ascii="Calibri" w:hAnsi="Calibri"/>
                <w:color w:val="334155"/>
                <w:sz w:val="17"/>
              </w:rPr>
              <w:t>Developer sandbox test account only supports test Card (4242...). When switching to MST's live account, only requested active options are enabled.</w:t>
            </w:r>
          </w:p>
        </w:tc>
        <w:tc>
          <w:tcPr>
            <w:tcW w:type="dxa" w:w="2448"/>
            <w:shd w:fill="FFFFFF" w:color="auto" w:val="clear"/>
            <w:tcMar>
              <w:top w:w="70" w:type="dxa"/>
              <w:bottom w:w="70" w:type="dxa"/>
              <w:left w:w="100" w:type="dxa"/>
              <w:right w:w="80" w:type="dxa"/>
            </w:tcMar>
          </w:tcPr>
          <w:p>
            <w:r>
              <w:rPr>
                <w:rFonts w:ascii="Calibri" w:hAnsi="Calibri"/>
                <w:b/>
                <w:color w:val="166534"/>
                <w:sz w:val="17"/>
              </w:rPr>
              <w:t>✓ CLARIFIED ARCHITECTURE</w:t>
              <w:br/>
              <w:t>Live account transition will activate MST's selected methods.</w:t>
            </w:r>
          </w:p>
        </w:tc>
      </w:tr>
    </w:tbl>
    <w:p>
      <w:pPr>
        <w:spacing w:before="80" w:after="80"/>
        <w:pBdr>
          <w:bottom w:val="single" w:sz="4" w:space="1" w:color="CBD5E1"/>
        </w:pBdr>
      </w:pPr>
    </w:p>
    <w:p>
      <w:pPr>
        <w:keepNext/>
        <w:spacing w:before="200" w:after="80"/>
      </w:pPr>
      <w:r>
        <w:rPr>
          <w:rFonts w:ascii="Calibri" w:hAnsi="Calibri"/>
          <w:b/>
          <w:color w:val="091A36"/>
          <w:sz w:val="28"/>
        </w:rPr>
        <w:t>2. Point 1: Variable-Weight Product Price Clarification (Live Mud Crabs / Ketam Nipah)</w:t>
      </w:r>
    </w:p>
    <w:tbl>
      <w:tblPr>
        <w:tblW w:type="auto" w:w="0"/>
        <w:jc w:val="left"/>
        <w:tblLook w:firstColumn="1" w:firstRow="1" w:lastColumn="0" w:lastRow="0" w:noHBand="0" w:noVBand="1" w:val="04A0"/>
      </w:tblPr>
      <w:tblGrid>
        <w:gridCol w:w="9936"/>
      </w:tblGrid>
      <w:tr>
        <w:tc>
          <w:tcPr>
            <w:tcW w:type="dxa" w:w="9936"/>
            <w:shd w:fill="ECFDF5" w:color="auto" w:val="clear"/>
            <w:tcMar>
              <w:top w:w="100" w:type="dxa"/>
              <w:bottom w:w="100" w:type="dxa"/>
              <w:left w:w="140" w:type="dxa"/>
              <w:right w:w="140" w:type="dxa"/>
            </w:tcMar>
            <w:tcBorders>
              <w:top w:val="none"/>
              <w:left w:val="single" w:sz="24" w:space="0" w:color="10B981"/>
              <w:bottom w:val="none"/>
              <w:right w:val="none"/>
            </w:tcBorders>
          </w:tcPr>
          <w:p>
            <w:pPr>
              <w:spacing w:before="40" w:after="40"/>
            </w:pPr>
            <w:r>
              <w:rPr>
                <w:rFonts w:ascii="Calibri" w:hAnsi="Calibri"/>
                <w:b/>
                <w:color w:val="065F46"/>
                <w:sz w:val="20"/>
              </w:rPr>
              <w:t>📌 CLARIFICATION VERIFIED: RM58.00 IS THE CORRECT CATALOG PRICE</w:t>
              <w:br/>
            </w:r>
            <w:r>
              <w:rPr>
                <w:rFonts w:ascii="Calibri" w:hAnsi="Calibri"/>
                <w:color w:val="1F2937"/>
                <w:sz w:val="19"/>
              </w:rPr>
              <w:t>The live store and database price of RM 58.00 per pair (±800g) is 100% CORRECT and ACTIVE. The mention of RM 88.00/pair in Item 10 of the previous report was an illustrative clerical typo in the text. No pricing anomalies exist on the website or in the database.</w:t>
            </w:r>
          </w:p>
        </w:tc>
      </w:tr>
    </w:tbl>
    <w:p>
      <w:pPr>
        <w:spacing w:before="40" w:after="80"/>
      </w:pPr>
    </w:p>
    <w:p>
      <w:pPr>
        <w:keepNext/>
        <w:spacing w:before="120" w:after="40"/>
      </w:pPr>
      <w:r>
        <w:rPr>
          <w:rFonts w:ascii="Calibri" w:hAnsi="Calibri"/>
          <w:b/>
          <w:color w:val="0284C7"/>
          <w:sz w:val="23"/>
        </w:rPr>
        <w:t>2.1 Database &amp; Catalog Pricing Architecture</w:t>
      </w:r>
    </w:p>
    <w:p>
      <w:pPr>
        <w:spacing w:before="40" w:after="80"/>
      </w:pPr>
      <w:r>
        <w:rPr>
          <w:rFonts w:ascii="Calibri" w:hAnsi="Calibri"/>
          <w:b w:val="0"/>
          <w:i w:val="0"/>
          <w:color w:val="334155"/>
          <w:sz w:val="20"/>
        </w:rPr>
        <w:t>The live product configuration in the production catalog (`SeafoodCatalogSeeder.php` / MySQL database) is strictly configured as follows:</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68"/>
        <w:gridCol w:w="4968"/>
      </w:tblGrid>
      <w:tr>
        <w:tc>
          <w:tcPr>
            <w:tcW w:type="dxa" w:w="3744"/>
            <w:shd w:fill="F1F5F9" w:color="auto" w:val="clear"/>
            <w:tcMar>
              <w:top w:w="60" w:type="dxa"/>
              <w:bottom w:w="60" w:type="dxa"/>
              <w:left w:w="100" w:type="dxa"/>
              <w:right w:w="80" w:type="dxa"/>
            </w:tcMar>
          </w:tcPr>
          <w:p>
            <w:r>
              <w:rPr>
                <w:rFonts w:ascii="Calibri" w:hAnsi="Calibri"/>
                <w:b/>
                <w:color w:val="0F172A"/>
                <w:sz w:val="18"/>
              </w:rPr>
              <w:t>Product Name:</w:t>
            </w:r>
          </w:p>
        </w:tc>
        <w:tc>
          <w:tcPr>
            <w:tcW w:type="dxa" w:w="6624"/>
            <w:shd w:fill="F1F5F9" w:color="auto" w:val="clear"/>
            <w:tcMar>
              <w:top w:w="60" w:type="dxa"/>
              <w:bottom w:w="60" w:type="dxa"/>
              <w:left w:w="100" w:type="dxa"/>
              <w:right w:w="80" w:type="dxa"/>
            </w:tcMar>
          </w:tcPr>
          <w:p>
            <w:r>
              <w:rPr>
                <w:rFonts w:ascii="Calibri" w:hAnsi="Calibri"/>
                <w:color w:val="334155"/>
                <w:sz w:val="18"/>
              </w:rPr>
              <w:t>Live Mud Crabs / Ketam Nipah (±800g / pair)</w:t>
            </w:r>
          </w:p>
        </w:tc>
      </w:tr>
      <w:tr>
        <w:tc>
          <w:tcPr>
            <w:tcW w:type="dxa" w:w="3744"/>
            <w:shd w:fill="FFFFFF" w:color="auto" w:val="clear"/>
            <w:tcMar>
              <w:top w:w="60" w:type="dxa"/>
              <w:bottom w:w="60" w:type="dxa"/>
              <w:left w:w="100" w:type="dxa"/>
              <w:right w:w="80" w:type="dxa"/>
            </w:tcMar>
          </w:tcPr>
          <w:p>
            <w:r>
              <w:rPr>
                <w:rFonts w:ascii="Calibri" w:hAnsi="Calibri"/>
                <w:b/>
                <w:color w:val="0F172A"/>
                <w:sz w:val="18"/>
              </w:rPr>
              <w:t>SKU &amp; Slug:</w:t>
            </w:r>
          </w:p>
        </w:tc>
        <w:tc>
          <w:tcPr>
            <w:tcW w:type="dxa" w:w="6624"/>
            <w:shd w:fill="FFFFFF" w:color="auto" w:val="clear"/>
            <w:tcMar>
              <w:top w:w="60" w:type="dxa"/>
              <w:bottom w:w="60" w:type="dxa"/>
              <w:left w:w="100" w:type="dxa"/>
              <w:right w:w="80" w:type="dxa"/>
            </w:tcMar>
          </w:tcPr>
          <w:p>
            <w:r>
              <w:rPr>
                <w:rFonts w:ascii="Calibri" w:hAnsi="Calibri"/>
                <w:color w:val="334155"/>
                <w:sz w:val="18"/>
              </w:rPr>
              <w:t>CRAB-MUD-800 | live-mud-crabs-ketam-nipah-800g</w:t>
            </w:r>
          </w:p>
        </w:tc>
      </w:tr>
      <w:tr>
        <w:tc>
          <w:tcPr>
            <w:tcW w:type="dxa" w:w="3744"/>
            <w:shd w:fill="F1F5F9" w:color="auto" w:val="clear"/>
            <w:tcMar>
              <w:top w:w="60" w:type="dxa"/>
              <w:bottom w:w="60" w:type="dxa"/>
              <w:left w:w="100" w:type="dxa"/>
              <w:right w:w="80" w:type="dxa"/>
            </w:tcMar>
          </w:tcPr>
          <w:p>
            <w:r>
              <w:rPr>
                <w:rFonts w:ascii="Calibri" w:hAnsi="Calibri"/>
                <w:b/>
                <w:color w:val="0F172A"/>
                <w:sz w:val="18"/>
              </w:rPr>
              <w:t>Pricing Model:</w:t>
            </w:r>
          </w:p>
        </w:tc>
        <w:tc>
          <w:tcPr>
            <w:tcW w:type="dxa" w:w="6624"/>
            <w:shd w:fill="F1F5F9" w:color="auto" w:val="clear"/>
            <w:tcMar>
              <w:top w:w="60" w:type="dxa"/>
              <w:bottom w:w="60" w:type="dxa"/>
              <w:left w:w="100" w:type="dxa"/>
              <w:right w:w="80" w:type="dxa"/>
            </w:tcMar>
          </w:tcPr>
          <w:p>
            <w:r>
              <w:rPr>
                <w:rFonts w:ascii="Calibri" w:hAnsi="Calibri"/>
                <w:b/>
                <w:color w:val="0F766E"/>
                <w:sz w:val="18"/>
              </w:rPr>
              <w:t>variable_weight (Live Weight Confirmation)</w:t>
            </w:r>
          </w:p>
        </w:tc>
      </w:tr>
      <w:tr>
        <w:tc>
          <w:tcPr>
            <w:tcW w:type="dxa" w:w="3744"/>
            <w:shd w:fill="FFFFFF" w:color="auto" w:val="clear"/>
            <w:tcMar>
              <w:top w:w="60" w:type="dxa"/>
              <w:bottom w:w="60" w:type="dxa"/>
              <w:left w:w="100" w:type="dxa"/>
              <w:right w:w="80" w:type="dxa"/>
            </w:tcMar>
          </w:tcPr>
          <w:p>
            <w:r>
              <w:rPr>
                <w:rFonts w:ascii="Calibri" w:hAnsi="Calibri"/>
                <w:b/>
                <w:color w:val="0F172A"/>
                <w:sz w:val="18"/>
              </w:rPr>
              <w:t>Reference Unit / Weight:</w:t>
            </w:r>
          </w:p>
        </w:tc>
        <w:tc>
          <w:tcPr>
            <w:tcW w:type="dxa" w:w="6624"/>
            <w:shd w:fill="FFFFFF" w:color="auto" w:val="clear"/>
            <w:tcMar>
              <w:top w:w="60" w:type="dxa"/>
              <w:bottom w:w="60" w:type="dxa"/>
              <w:left w:w="100" w:type="dxa"/>
              <w:right w:w="80" w:type="dxa"/>
            </w:tcMar>
          </w:tcPr>
          <w:p>
            <w:r>
              <w:rPr>
                <w:rFonts w:ascii="Calibri" w:hAnsi="Calibri"/>
                <w:color w:val="334155"/>
                <w:sz w:val="18"/>
              </w:rPr>
              <w:t>1 pair / Reference Weight: ±800g</w:t>
            </w:r>
          </w:p>
        </w:tc>
      </w:tr>
      <w:tr>
        <w:tc>
          <w:tcPr>
            <w:tcW w:type="dxa" w:w="3744"/>
            <w:shd w:fill="F1F5F9" w:color="auto" w:val="clear"/>
            <w:tcMar>
              <w:top w:w="60" w:type="dxa"/>
              <w:bottom w:w="60" w:type="dxa"/>
              <w:left w:w="100" w:type="dxa"/>
              <w:right w:w="80" w:type="dxa"/>
            </w:tcMar>
          </w:tcPr>
          <w:p>
            <w:r>
              <w:rPr>
                <w:rFonts w:ascii="Calibri" w:hAnsi="Calibri"/>
                <w:b/>
                <w:color w:val="0F172A"/>
                <w:sz w:val="18"/>
              </w:rPr>
              <w:t>B2C Retail Price:</w:t>
            </w:r>
          </w:p>
        </w:tc>
        <w:tc>
          <w:tcPr>
            <w:tcW w:type="dxa" w:w="6624"/>
            <w:shd w:fill="F1F5F9" w:color="auto" w:val="clear"/>
            <w:tcMar>
              <w:top w:w="60" w:type="dxa"/>
              <w:bottom w:w="60" w:type="dxa"/>
              <w:left w:w="100" w:type="dxa"/>
              <w:right w:w="80" w:type="dxa"/>
            </w:tcMar>
          </w:tcPr>
          <w:p>
            <w:r>
              <w:rPr>
                <w:rFonts w:ascii="Calibri" w:hAnsi="Calibri"/>
                <w:b/>
                <w:color w:val="0F766E"/>
                <w:sz w:val="18"/>
              </w:rPr>
              <w:t>RM 58.00 / pair (Equivalent to ~RM 72.50 / kg)</w:t>
            </w:r>
          </w:p>
        </w:tc>
      </w:tr>
      <w:tr>
        <w:tc>
          <w:tcPr>
            <w:tcW w:type="dxa" w:w="3744"/>
            <w:shd w:fill="FFFFFF" w:color="auto" w:val="clear"/>
            <w:tcMar>
              <w:top w:w="60" w:type="dxa"/>
              <w:bottom w:w="60" w:type="dxa"/>
              <w:left w:w="100" w:type="dxa"/>
              <w:right w:w="80" w:type="dxa"/>
            </w:tcMar>
          </w:tcPr>
          <w:p>
            <w:r>
              <w:rPr>
                <w:rFonts w:ascii="Calibri" w:hAnsi="Calibri"/>
                <w:b/>
                <w:color w:val="0F172A"/>
                <w:sz w:val="18"/>
              </w:rPr>
              <w:t>Walk-in / In-Store Collection Price:</w:t>
            </w:r>
          </w:p>
        </w:tc>
        <w:tc>
          <w:tcPr>
            <w:tcW w:type="dxa" w:w="6624"/>
            <w:shd w:fill="FFFFFF" w:color="auto" w:val="clear"/>
            <w:tcMar>
              <w:top w:w="60" w:type="dxa"/>
              <w:bottom w:w="60" w:type="dxa"/>
              <w:left w:w="100" w:type="dxa"/>
              <w:right w:w="80" w:type="dxa"/>
            </w:tcMar>
          </w:tcPr>
          <w:p>
            <w:r>
              <w:rPr>
                <w:rFonts w:ascii="Calibri" w:hAnsi="Calibri"/>
                <w:color w:val="334155"/>
                <w:sz w:val="18"/>
              </w:rPr>
              <w:t>RM 54.00 / pair</w:t>
            </w:r>
          </w:p>
        </w:tc>
      </w:tr>
      <w:tr>
        <w:tc>
          <w:tcPr>
            <w:tcW w:type="dxa" w:w="3744"/>
            <w:shd w:fill="F1F5F9" w:color="auto" w:val="clear"/>
            <w:tcMar>
              <w:top w:w="60" w:type="dxa"/>
              <w:bottom w:w="60" w:type="dxa"/>
              <w:left w:w="100" w:type="dxa"/>
              <w:right w:w="80" w:type="dxa"/>
            </w:tcMar>
          </w:tcPr>
          <w:p>
            <w:r>
              <w:rPr>
                <w:rFonts w:ascii="Calibri" w:hAnsi="Calibri"/>
                <w:b/>
                <w:color w:val="0F172A"/>
                <w:sz w:val="18"/>
              </w:rPr>
              <w:t>B2B Wholesale Price (Tier 1):</w:t>
            </w:r>
          </w:p>
        </w:tc>
        <w:tc>
          <w:tcPr>
            <w:tcW w:type="dxa" w:w="6624"/>
            <w:shd w:fill="F1F5F9" w:color="auto" w:val="clear"/>
            <w:tcMar>
              <w:top w:w="60" w:type="dxa"/>
              <w:bottom w:w="60" w:type="dxa"/>
              <w:left w:w="100" w:type="dxa"/>
              <w:right w:w="80" w:type="dxa"/>
            </w:tcMar>
          </w:tcPr>
          <w:p>
            <w:r>
              <w:rPr>
                <w:rFonts w:ascii="Calibri" w:hAnsi="Calibri"/>
                <w:color w:val="334155"/>
                <w:sz w:val="18"/>
              </w:rPr>
              <w:t>RM 46.00 / pair (MOQ: 5 pairs)</w:t>
            </w:r>
          </w:p>
        </w:tc>
      </w:tr>
      <w:tr>
        <w:tc>
          <w:tcPr>
            <w:tcW w:type="dxa" w:w="3744"/>
            <w:shd w:fill="FFFFFF" w:color="auto" w:val="clear"/>
            <w:tcMar>
              <w:top w:w="60" w:type="dxa"/>
              <w:bottom w:w="60" w:type="dxa"/>
              <w:left w:w="100" w:type="dxa"/>
              <w:right w:w="80" w:type="dxa"/>
            </w:tcMar>
          </w:tcPr>
          <w:p>
            <w:r>
              <w:rPr>
                <w:rFonts w:ascii="Calibri" w:hAnsi="Calibri"/>
                <w:b/>
                <w:color w:val="0F172A"/>
                <w:sz w:val="18"/>
              </w:rPr>
              <w:t>Commercial Bulk Trading Price (Tier 2):</w:t>
            </w:r>
          </w:p>
        </w:tc>
        <w:tc>
          <w:tcPr>
            <w:tcW w:type="dxa" w:w="6624"/>
            <w:shd w:fill="FFFFFF" w:color="auto" w:val="clear"/>
            <w:tcMar>
              <w:top w:w="60" w:type="dxa"/>
              <w:bottom w:w="60" w:type="dxa"/>
              <w:left w:w="100" w:type="dxa"/>
              <w:right w:w="80" w:type="dxa"/>
            </w:tcMar>
          </w:tcPr>
          <w:p>
            <w:r>
              <w:rPr>
                <w:rFonts w:ascii="Calibri" w:hAnsi="Calibri"/>
                <w:color w:val="334155"/>
                <w:sz w:val="18"/>
              </w:rPr>
              <w:t>RM 42.00 / pair (MOQ: 25 pairs)</w:t>
            </w:r>
          </w:p>
        </w:tc>
      </w:tr>
    </w:tbl>
    <w:p>
      <w:pPr>
        <w:keepNext/>
        <w:spacing w:before="160" w:after="40"/>
      </w:pPr>
      <w:r>
        <w:rPr>
          <w:rFonts w:ascii="Calibri" w:hAnsi="Calibri"/>
          <w:b/>
          <w:color w:val="0284C7"/>
          <w:sz w:val="23"/>
        </w:rPr>
        <w:t>2.2 Variable-Weight Mechanism &amp; Calculation Logic</w:t>
      </w:r>
    </w:p>
    <w:p>
      <w:pPr>
        <w:spacing w:before="40" w:after="80"/>
      </w:pPr>
      <w:r>
        <w:rPr>
          <w:rFonts w:ascii="Calibri" w:hAnsi="Calibri"/>
          <w:b w:val="0"/>
          <w:i w:val="0"/>
          <w:color w:val="334155"/>
          <w:sz w:val="20"/>
        </w:rPr>
        <w:t>Because live mud crabs naturally vary in harvest size (crabs cannot be manufactured to exact grams), the platform implements MST's Business Rule #21 for variable-weight items:</w:t>
      </w:r>
    </w:p>
    <w:p>
      <w:pPr>
        <w:pStyle w:val="ListBullet"/>
        <w:spacing w:before="30" w:after="50"/>
        <w:ind w:left="360"/>
      </w:pPr>
      <w:r>
        <w:rPr>
          <w:rFonts w:ascii="Calibri" w:hAnsi="Calibri"/>
          <w:b/>
          <w:color w:val="334155"/>
          <w:sz w:val="19"/>
        </w:rPr>
        <w:t xml:space="preserve">1. Reference Booking at Checkout: </w:t>
      </w:r>
      <w:r>
        <w:rPr>
          <w:rFonts w:ascii="Calibri" w:hAnsi="Calibri"/>
          <w:color w:val="334155"/>
          <w:sz w:val="19"/>
        </w:rPr>
        <w:t>When a customer adds Live Mud Crabs to cart, the checkout displays the reference estimated price of RM 58.00 per pair.</w:t>
      </w:r>
    </w:p>
    <w:p>
      <w:pPr>
        <w:pStyle w:val="ListBullet"/>
        <w:spacing w:before="30" w:after="50"/>
        <w:ind w:left="360"/>
      </w:pPr>
      <w:r>
        <w:rPr>
          <w:rFonts w:ascii="Calibri" w:hAnsi="Calibri"/>
          <w:b/>
          <w:color w:val="334155"/>
          <w:sz w:val="19"/>
        </w:rPr>
        <w:t xml:space="preserve">2. Physical Scale Weighing: </w:t>
      </w:r>
      <w:r>
        <w:rPr>
          <w:rFonts w:ascii="Calibri" w:hAnsi="Calibri"/>
          <w:color w:val="334155"/>
          <w:sz w:val="19"/>
        </w:rPr>
        <w:t>MST warehouse handlers retrieve the live crabs from the tank and weigh them on a certified digital scale.</w:t>
      </w:r>
    </w:p>
    <w:p>
      <w:pPr>
        <w:pStyle w:val="ListBullet"/>
        <w:spacing w:before="30" w:after="50"/>
        <w:ind w:left="360"/>
      </w:pPr>
      <w:r>
        <w:rPr>
          <w:rFonts w:ascii="Calibri" w:hAnsi="Calibri"/>
          <w:b/>
          <w:color w:val="334155"/>
          <w:sz w:val="19"/>
        </w:rPr>
        <w:t xml:space="preserve">3. Pro-Rata Formula: </w:t>
      </w:r>
      <w:r>
        <w:rPr>
          <w:rFonts w:ascii="Calibri" w:hAnsi="Calibri"/>
          <w:color w:val="334155"/>
          <w:sz w:val="19"/>
        </w:rPr>
        <w:t>Final price = (Actual Net Weight in Grams ÷ 800g) × RM 58.00. For example, if a pair weighs 840g, the exact value is RM 60.90; if a pair weighs 760g, the exact value is RM 55.10.</w:t>
      </w:r>
    </w:p>
    <w:p>
      <w:pPr>
        <w:pStyle w:val="ListBullet"/>
        <w:spacing w:before="30" w:after="50"/>
        <w:ind w:left="360"/>
      </w:pPr>
      <w:r>
        <w:rPr>
          <w:rFonts w:ascii="Calibri" w:hAnsi="Calibri"/>
          <w:b/>
          <w:color w:val="334155"/>
          <w:sz w:val="19"/>
        </w:rPr>
        <w:t xml:space="preserve">4. WhatsApp Notification: </w:t>
      </w:r>
      <w:r>
        <w:rPr>
          <w:rFonts w:ascii="Calibri" w:hAnsi="Calibri"/>
          <w:color w:val="334155"/>
          <w:sz w:val="19"/>
        </w:rPr>
        <w:t>The weighing slip and final adjusted balance are sent to the customer via WhatsApp before dispatch.</w:t>
      </w:r>
    </w:p>
    <w:p>
      <w:pPr>
        <w:spacing w:before="80" w:after="80"/>
        <w:pBdr>
          <w:bottom w:val="single" w:sz="4" w:space="1" w:color="CBD5E1"/>
        </w:pBdr>
      </w:pPr>
    </w:p>
    <w:p>
      <w:pPr>
        <w:keepNext/>
        <w:spacing w:before="200" w:after="80"/>
      </w:pPr>
      <w:r>
        <w:rPr>
          <w:rFonts w:ascii="Calibri" w:hAnsi="Calibri"/>
          <w:b/>
          <w:color w:val="091A36"/>
          <w:sz w:val="28"/>
        </w:rPr>
        <w:t>3. Point 2: Skudai (81300) Zone B Demarcation &amp; Resolution Fix</w:t>
      </w:r>
    </w:p>
    <w:tbl>
      <w:tblPr>
        <w:tblW w:type="auto" w:w="0"/>
        <w:jc w:val="left"/>
        <w:tblLook w:firstColumn="1" w:firstRow="1" w:lastColumn="0" w:lastRow="0" w:noHBand="0" w:noVBand="1" w:val="04A0"/>
      </w:tblPr>
      <w:tblGrid>
        <w:gridCol w:w="9936"/>
      </w:tblGrid>
      <w:tr>
        <w:tc>
          <w:tcPr>
            <w:tcW w:type="dxa" w:w="9936"/>
            <w:shd w:fill="FEF2F2" w:color="auto" w:val="clear"/>
            <w:tcMar>
              <w:top w:w="100" w:type="dxa"/>
              <w:bottom w:w="100" w:type="dxa"/>
              <w:left w:w="140" w:type="dxa"/>
              <w:right w:w="140" w:type="dxa"/>
            </w:tcMar>
            <w:tcBorders>
              <w:top w:val="none"/>
              <w:left w:val="single" w:sz="24" w:space="0" w:color="EF4444"/>
              <w:bottom w:val="none"/>
              <w:right w:val="none"/>
            </w:tcBorders>
          </w:tcPr>
          <w:p>
            <w:pPr>
              <w:spacing w:before="40" w:after="40"/>
            </w:pPr>
            <w:r>
              <w:rPr>
                <w:rFonts w:ascii="Calibri" w:hAnsi="Calibri"/>
                <w:b/>
                <w:color w:val="991B1B"/>
                <w:sz w:val="20"/>
              </w:rPr>
              <w:t>📌 ZONE B LOCK: SKUDAI (81300) ROUTED TO OUTSTATION COLD-CHAIN QUOTATION</w:t>
              <w:br/>
            </w:r>
            <w:r>
              <w:rPr>
                <w:rFonts w:ascii="Calibri" w:hAnsi="Calibri"/>
                <w:color w:val="1F2937"/>
                <w:sz w:val="19"/>
              </w:rPr>
              <w:t>ROOT CAUSE IDENTIFIED &amp; RESOLVED: When testing 81300 with State 'Johor', the hierarchical zone resolver previously fell back to matching the generic state 'Johor' on Zone A because Zone A is ordered first. We have restructured `DeliveryZone::matchesLocation` and `DeliveryService::resolveZone` to strictly isolate 81300 to Zone B. Skudai orders at RM164.50 now 100% trigger the Outstation WhatsApp Cold-Chain Quotation flow without Zone A Free Delivery.</w:t>
            </w:r>
          </w:p>
        </w:tc>
      </w:tr>
    </w:tbl>
    <w:p>
      <w:pPr>
        <w:spacing w:before="40" w:after="80"/>
      </w:pPr>
    </w:p>
    <w:p>
      <w:pPr>
        <w:keepNext/>
        <w:spacing w:before="120" w:after="40"/>
      </w:pPr>
      <w:r>
        <w:rPr>
          <w:rFonts w:ascii="Calibri" w:hAnsi="Calibri"/>
          <w:b/>
          <w:color w:val="0284C7"/>
          <w:sz w:val="23"/>
        </w:rPr>
        <w:t>3.1 Technical Root Cause &amp; Architecture Fix</w:t>
      </w:r>
    </w:p>
    <w:p>
      <w:pPr>
        <w:spacing w:before="40" w:after="80"/>
      </w:pPr>
      <w:r>
        <w:rPr>
          <w:rFonts w:ascii="Calibri" w:hAnsi="Calibri"/>
          <w:b w:val="0"/>
          <w:i w:val="0"/>
          <w:color w:val="334155"/>
          <w:sz w:val="20"/>
        </w:rPr>
        <w:t>To ensure 81300 never falls into Zone A regardless of user inputs or state selections, four defensive layers were implemented:</w:t>
      </w:r>
    </w:p>
    <w:p>
      <w:pPr>
        <w:pStyle w:val="ListBullet"/>
        <w:spacing w:before="30" w:after="50"/>
        <w:ind w:left="360"/>
      </w:pPr>
      <w:r>
        <w:rPr>
          <w:rFonts w:ascii="Calibri" w:hAnsi="Calibri"/>
          <w:b/>
          <w:color w:val="334155"/>
          <w:sz w:val="19"/>
        </w:rPr>
        <w:t xml:space="preserve">1. Explicit Exclusion Guard: </w:t>
      </w:r>
      <w:r>
        <w:rPr>
          <w:rFonts w:ascii="Calibri" w:hAnsi="Calibri"/>
          <w:color w:val="334155"/>
          <w:sz w:val="19"/>
        </w:rPr>
        <w:t>In `DeliveryZone.php`, `matchesLocation` now explicitly blocks Zone A if postcode is '81300' or city contains 'skudai'.</w:t>
      </w:r>
    </w:p>
    <w:p>
      <w:pPr>
        <w:pStyle w:val="ListBullet"/>
        <w:spacing w:before="30" w:after="50"/>
        <w:ind w:left="360"/>
      </w:pPr>
      <w:r>
        <w:rPr>
          <w:rFonts w:ascii="Calibri" w:hAnsi="Calibri"/>
          <w:b/>
          <w:color w:val="334155"/>
          <w:sz w:val="19"/>
        </w:rPr>
        <w:t xml:space="preserve">2. Strict Hierarchy Isolation: </w:t>
      </w:r>
      <w:r>
        <w:rPr>
          <w:rFonts w:ascii="Calibri" w:hAnsi="Calibri"/>
          <w:color w:val="334155"/>
          <w:sz w:val="19"/>
        </w:rPr>
        <w:t>Local zones with defined postcodes/areas (Zone A) are forbidden from falling back to state matching when customer inputs fail postcode/area checks.</w:t>
      </w:r>
    </w:p>
    <w:p>
      <w:pPr>
        <w:pStyle w:val="ListBullet"/>
        <w:spacing w:before="30" w:after="50"/>
        <w:ind w:left="360"/>
      </w:pPr>
      <w:r>
        <w:rPr>
          <w:rFonts w:ascii="Calibri" w:hAnsi="Calibri"/>
          <w:b/>
          <w:color w:val="334155"/>
          <w:sz w:val="19"/>
        </w:rPr>
        <w:t xml:space="preserve">3. Hardcoded Service Route: </w:t>
      </w:r>
      <w:r>
        <w:rPr>
          <w:rFonts w:ascii="Calibri" w:hAnsi="Calibri"/>
          <w:color w:val="334155"/>
          <w:sz w:val="19"/>
        </w:rPr>
        <w:t>In `DeliveryService.php`, `resolveZone` directly captures `81300` and `Skudai` and routes immediately to `ZONE-B` before general iteration.</w:t>
      </w:r>
    </w:p>
    <w:p>
      <w:pPr>
        <w:pStyle w:val="ListBullet"/>
        <w:spacing w:before="30" w:after="50"/>
        <w:ind w:left="360"/>
      </w:pPr>
      <w:r>
        <w:rPr>
          <w:rFonts w:ascii="Calibri" w:hAnsi="Calibri"/>
          <w:b/>
          <w:color w:val="334155"/>
          <w:sz w:val="19"/>
        </w:rPr>
        <w:t xml:space="preserve">4. Database Level Decoupling: </w:t>
      </w:r>
      <w:r>
        <w:rPr>
          <w:rFonts w:ascii="Calibri" w:hAnsi="Calibri"/>
          <w:color w:val="334155"/>
          <w:sz w:val="19"/>
        </w:rPr>
        <w:t>Zone A database record updated with `states = NULL`, ensuring it only ever matches specific JB/Iskandar Puteri/Nusajaya postcodes.</w:t>
      </w:r>
    </w:p>
    <w:p>
      <w:pPr>
        <w:keepNext/>
        <w:spacing w:before="160" w:after="40"/>
      </w:pPr>
      <w:r>
        <w:rPr>
          <w:rFonts w:ascii="Calibri" w:hAnsi="Calibri"/>
          <w:b/>
          <w:color w:val="0284C7"/>
          <w:sz w:val="23"/>
        </w:rPr>
        <w:t>3.2 Updated Delivery Zone Demarcation Table</w:t>
      </w:r>
    </w:p>
    <w:p>
      <w:pPr>
        <w:spacing w:before="40" w:after="80"/>
      </w:pPr>
      <w:r>
        <w:rPr>
          <w:rFonts w:ascii="Calibri" w:hAnsi="Calibri"/>
          <w:b w:val="0"/>
          <w:i w:val="0"/>
          <w:color w:val="334155"/>
          <w:sz w:val="20"/>
        </w:rPr>
        <w:t>The table below details the exact postcodes, coverage areas, threshold rules, and pricing logic across all zones in the system:</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87"/>
        <w:gridCol w:w="1987"/>
        <w:gridCol w:w="1987"/>
        <w:gridCol w:w="1987"/>
        <w:gridCol w:w="1987"/>
      </w:tblGrid>
      <w:tr>
        <w:tc>
          <w:tcPr>
            <w:tcW w:type="dxa" w:w="2016"/>
            <w:shd w:fill="091A36" w:color="auto" w:val="clear"/>
            <w:tcMar>
              <w:top w:w="80" w:type="dxa"/>
              <w:bottom w:w="80" w:type="dxa"/>
              <w:left w:w="80" w:type="dxa"/>
              <w:right w:w="80" w:type="dxa"/>
            </w:tcMar>
          </w:tcPr>
          <w:p>
            <w:r>
              <w:rPr>
                <w:rFonts w:ascii="Calibri" w:hAnsi="Calibri"/>
                <w:b/>
                <w:color w:val="FFFFFF"/>
                <w:sz w:val="17"/>
              </w:rPr>
              <w:t>Zone Identifier</w:t>
            </w:r>
          </w:p>
        </w:tc>
        <w:tc>
          <w:tcPr>
            <w:tcW w:type="dxa" w:w="2592"/>
            <w:shd w:fill="091A36" w:color="auto" w:val="clear"/>
            <w:tcMar>
              <w:top w:w="80" w:type="dxa"/>
              <w:bottom w:w="80" w:type="dxa"/>
              <w:left w:w="80" w:type="dxa"/>
              <w:right w:w="80" w:type="dxa"/>
            </w:tcMar>
          </w:tcPr>
          <w:p>
            <w:r>
              <w:rPr>
                <w:rFonts w:ascii="Calibri" w:hAnsi="Calibri"/>
                <w:b/>
                <w:color w:val="FFFFFF"/>
                <w:sz w:val="17"/>
              </w:rPr>
              <w:t>Coverage Areas</w:t>
            </w:r>
          </w:p>
        </w:tc>
        <w:tc>
          <w:tcPr>
            <w:tcW w:type="dxa" w:w="2016"/>
            <w:shd w:fill="091A36" w:color="auto" w:val="clear"/>
            <w:tcMar>
              <w:top w:w="80" w:type="dxa"/>
              <w:bottom w:w="80" w:type="dxa"/>
              <w:left w:w="80" w:type="dxa"/>
              <w:right w:w="80" w:type="dxa"/>
            </w:tcMar>
          </w:tcPr>
          <w:p>
            <w:r>
              <w:rPr>
                <w:rFonts w:ascii="Calibri" w:hAnsi="Calibri"/>
                <w:b/>
                <w:color w:val="FFFFFF"/>
                <w:sz w:val="17"/>
              </w:rPr>
              <w:t>Postcodes Included</w:t>
            </w:r>
          </w:p>
        </w:tc>
        <w:tc>
          <w:tcPr>
            <w:tcW w:type="dxa" w:w="1872"/>
            <w:shd w:fill="091A36" w:color="auto" w:val="clear"/>
            <w:tcMar>
              <w:top w:w="80" w:type="dxa"/>
              <w:bottom w:w="80" w:type="dxa"/>
              <w:left w:w="80" w:type="dxa"/>
              <w:right w:w="80" w:type="dxa"/>
            </w:tcMar>
          </w:tcPr>
          <w:p>
            <w:r>
              <w:rPr>
                <w:rFonts w:ascii="Calibri" w:hAnsi="Calibri"/>
                <w:b/>
                <w:color w:val="FFFFFF"/>
                <w:sz w:val="17"/>
              </w:rPr>
              <w:t>Delivery Fee (≥ RM150)</w:t>
            </w:r>
          </w:p>
        </w:tc>
        <w:tc>
          <w:tcPr>
            <w:tcW w:type="dxa" w:w="1872"/>
            <w:shd w:fill="091A36" w:color="auto" w:val="clear"/>
            <w:tcMar>
              <w:top w:w="80" w:type="dxa"/>
              <w:bottom w:w="80" w:type="dxa"/>
              <w:left w:w="80" w:type="dxa"/>
              <w:right w:w="80" w:type="dxa"/>
            </w:tcMar>
          </w:tcPr>
          <w:p>
            <w:r>
              <w:rPr>
                <w:rFonts w:ascii="Calibri" w:hAnsi="Calibri"/>
                <w:b/>
                <w:color w:val="FFFFFF"/>
                <w:sz w:val="17"/>
              </w:rPr>
              <w:t>Delivery Fee (&lt; RM150)</w:t>
            </w:r>
          </w:p>
        </w:tc>
      </w:tr>
      <w:tr>
        <w:tc>
          <w:tcPr>
            <w:tcW w:type="dxa" w:w="2016"/>
            <w:shd w:fill="F8FAFC" w:color="auto" w:val="clear"/>
            <w:tcMar>
              <w:top w:w="60" w:type="dxa"/>
              <w:bottom w:w="60" w:type="dxa"/>
              <w:left w:w="80" w:type="dxa"/>
              <w:right w:w="80" w:type="dxa"/>
            </w:tcMar>
          </w:tcPr>
          <w:p>
            <w:r>
              <w:rPr>
                <w:rFonts w:ascii="Calibri" w:hAnsi="Calibri"/>
                <w:b/>
                <w:color w:val="091A36"/>
                <w:sz w:val="16"/>
              </w:rPr>
              <w:t>ZONE A</w:t>
              <w:br/>
              <w:t>(Local Direct Hub)</w:t>
            </w:r>
          </w:p>
        </w:tc>
        <w:tc>
          <w:tcPr>
            <w:tcW w:type="dxa" w:w="2592"/>
            <w:shd w:fill="F8FAFC" w:color="auto" w:val="clear"/>
            <w:tcMar>
              <w:top w:w="60" w:type="dxa"/>
              <w:bottom w:w="60" w:type="dxa"/>
              <w:left w:w="80" w:type="dxa"/>
              <w:right w:w="80" w:type="dxa"/>
            </w:tcMar>
          </w:tcPr>
          <w:p>
            <w:r>
              <w:rPr>
                <w:rFonts w:ascii="Calibri" w:hAnsi="Calibri"/>
                <w:color w:val="334155"/>
                <w:sz w:val="16"/>
              </w:rPr>
              <w:t>Johor Bahru, Iskandar Puteri, Nusajaya, Medini, Puteri Harbour, Gelang Patah, Tampoi, Perling, Bukit Indah</w:t>
            </w:r>
          </w:p>
        </w:tc>
        <w:tc>
          <w:tcPr>
            <w:tcW w:type="dxa" w:w="2016"/>
            <w:shd w:fill="F8FAFC" w:color="auto" w:val="clear"/>
            <w:tcMar>
              <w:top w:w="60" w:type="dxa"/>
              <w:bottom w:w="60" w:type="dxa"/>
              <w:left w:w="80" w:type="dxa"/>
              <w:right w:w="80" w:type="dxa"/>
            </w:tcMar>
          </w:tcPr>
          <w:p>
            <w:r>
              <w:rPr>
                <w:rFonts w:ascii="Calibri" w:hAnsi="Calibri"/>
                <w:color w:val="334155"/>
                <w:sz w:val="16"/>
              </w:rPr>
              <w:t>79000, 79100, 79200, 79250, 79500,</w:t>
              <w:br/>
              <w:t>80000, 80050, 80100, 80150, 80200, 80250, 80300, 80350, 80400, 80500, 81100, 81200</w:t>
            </w:r>
          </w:p>
        </w:tc>
        <w:tc>
          <w:tcPr>
            <w:tcW w:type="dxa" w:w="1872"/>
            <w:shd w:fill="F8FAFC" w:color="auto" w:val="clear"/>
            <w:tcMar>
              <w:top w:w="60" w:type="dxa"/>
              <w:bottom w:w="60" w:type="dxa"/>
              <w:left w:w="80" w:type="dxa"/>
              <w:right w:w="80" w:type="dxa"/>
            </w:tcMar>
          </w:tcPr>
          <w:p>
            <w:r>
              <w:rPr>
                <w:rFonts w:ascii="Calibri" w:hAnsi="Calibri"/>
                <w:b/>
                <w:color w:val="166534"/>
                <w:sz w:val="16"/>
              </w:rPr>
              <w:t>RM 0.00</w:t>
              <w:br/>
              <w:t>(FREE Standard Delivery)</w:t>
            </w:r>
          </w:p>
        </w:tc>
        <w:tc>
          <w:tcPr>
            <w:tcW w:type="dxa" w:w="1872"/>
            <w:shd w:fill="F8FAFC" w:color="auto" w:val="clear"/>
            <w:tcMar>
              <w:top w:w="60" w:type="dxa"/>
              <w:bottom w:w="60" w:type="dxa"/>
              <w:left w:w="80" w:type="dxa"/>
              <w:right w:w="80" w:type="dxa"/>
            </w:tcMar>
          </w:tcPr>
          <w:p>
            <w:r>
              <w:rPr>
                <w:rFonts w:ascii="Calibri" w:hAnsi="Calibri"/>
                <w:color w:val="334155"/>
                <w:sz w:val="16"/>
              </w:rPr>
              <w:t>RM 10.00</w:t>
              <w:br/>
              <w:t>(Standard Local Dispatch Fee)</w:t>
            </w:r>
          </w:p>
        </w:tc>
      </w:tr>
      <w:tr>
        <w:tc>
          <w:tcPr>
            <w:tcW w:type="dxa" w:w="2016"/>
            <w:shd w:fill="FFFFFF" w:color="auto" w:val="clear"/>
            <w:tcMar>
              <w:top w:w="60" w:type="dxa"/>
              <w:bottom w:w="60" w:type="dxa"/>
              <w:left w:w="80" w:type="dxa"/>
              <w:right w:w="80" w:type="dxa"/>
            </w:tcMar>
          </w:tcPr>
          <w:p>
            <w:r>
              <w:rPr>
                <w:rFonts w:ascii="Calibri" w:hAnsi="Calibri"/>
                <w:b/>
                <w:color w:val="091A36"/>
                <w:sz w:val="16"/>
              </w:rPr>
              <w:t>ZONE B</w:t>
              <w:br/>
              <w:t>(Extended Johor &amp; Melaka)</w:t>
            </w:r>
          </w:p>
        </w:tc>
        <w:tc>
          <w:tcPr>
            <w:tcW w:type="dxa" w:w="2592"/>
            <w:shd w:fill="FFFFFF" w:color="auto" w:val="clear"/>
            <w:tcMar>
              <w:top w:w="60" w:type="dxa"/>
              <w:bottom w:w="60" w:type="dxa"/>
              <w:left w:w="80" w:type="dxa"/>
              <w:right w:w="80" w:type="dxa"/>
            </w:tcMar>
          </w:tcPr>
          <w:p>
            <w:r>
              <w:rPr>
                <w:rFonts w:ascii="Calibri" w:hAnsi="Calibri"/>
                <w:color w:val="334155"/>
                <w:sz w:val="16"/>
              </w:rPr>
              <w:t>Skudai, Kulai, Senai, Batu Pahat, Muar, Kluang, Pontian, Kota Tinggi, Mersing, Melaka</w:t>
            </w:r>
          </w:p>
        </w:tc>
        <w:tc>
          <w:tcPr>
            <w:tcW w:type="dxa" w:w="2016"/>
            <w:shd w:fill="FFFFFF" w:color="auto" w:val="clear"/>
            <w:tcMar>
              <w:top w:w="60" w:type="dxa"/>
              <w:bottom w:w="60" w:type="dxa"/>
              <w:left w:w="80" w:type="dxa"/>
              <w:right w:w="80" w:type="dxa"/>
            </w:tcMar>
          </w:tcPr>
          <w:p>
            <w:r>
              <w:rPr>
                <w:rFonts w:ascii="Calibri" w:hAnsi="Calibri"/>
                <w:color w:val="334155"/>
                <w:sz w:val="16"/>
              </w:rPr>
              <w:t>81300 (Skudai),</w:t>
              <w:br/>
              <w:t>81400 (Kulai/Senai),</w:t>
              <w:br/>
              <w:t>82000 - 86000,</w:t>
              <w:br/>
              <w:t>75000 - 77000</w:t>
            </w:r>
          </w:p>
        </w:tc>
        <w:tc>
          <w:tcPr>
            <w:tcW w:type="dxa" w:w="1872"/>
            <w:shd w:fill="FFFFFF" w:color="auto" w:val="clear"/>
            <w:tcMar>
              <w:top w:w="60" w:type="dxa"/>
              <w:bottom w:w="60" w:type="dxa"/>
              <w:left w:w="80" w:type="dxa"/>
              <w:right w:w="80" w:type="dxa"/>
            </w:tcMar>
          </w:tcPr>
          <w:p>
            <w:r>
              <w:rPr>
                <w:rFonts w:ascii="Calibri" w:hAnsi="Calibri"/>
                <w:b/>
                <w:color w:val="0284C7"/>
                <w:sz w:val="16"/>
              </w:rPr>
              <w:t>WhatsApp Quotation</w:t>
              <w:br/>
              <w:t>(NOT eligible for auto-free)</w:t>
            </w:r>
          </w:p>
        </w:tc>
        <w:tc>
          <w:tcPr>
            <w:tcW w:type="dxa" w:w="1872"/>
            <w:shd w:fill="FFFFFF" w:color="auto" w:val="clear"/>
            <w:tcMar>
              <w:top w:w="60" w:type="dxa"/>
              <w:bottom w:w="60" w:type="dxa"/>
              <w:left w:w="80" w:type="dxa"/>
              <w:right w:w="80" w:type="dxa"/>
            </w:tcMar>
          </w:tcPr>
          <w:p>
            <w:r>
              <w:rPr>
                <w:rFonts w:ascii="Calibri" w:hAnsi="Calibri"/>
                <w:b/>
                <w:color w:val="0284C7"/>
                <w:sz w:val="16"/>
              </w:rPr>
              <w:t>WhatsApp Quotation</w:t>
              <w:br/>
              <w:t>(Insulated box &amp; ice packs quoted)</w:t>
            </w:r>
          </w:p>
        </w:tc>
      </w:tr>
      <w:tr>
        <w:tc>
          <w:tcPr>
            <w:tcW w:type="dxa" w:w="2016"/>
            <w:shd w:fill="F8FAFC" w:color="auto" w:val="clear"/>
            <w:tcMar>
              <w:top w:w="60" w:type="dxa"/>
              <w:bottom w:w="60" w:type="dxa"/>
              <w:left w:w="80" w:type="dxa"/>
              <w:right w:w="80" w:type="dxa"/>
            </w:tcMar>
          </w:tcPr>
          <w:p>
            <w:r>
              <w:rPr>
                <w:rFonts w:ascii="Calibri" w:hAnsi="Calibri"/>
                <w:b/>
                <w:color w:val="091A36"/>
                <w:sz w:val="16"/>
              </w:rPr>
              <w:t>ZONE C</w:t>
              <w:br/>
              <w:t>(West Malaysia Outstation)</w:t>
            </w:r>
          </w:p>
        </w:tc>
        <w:tc>
          <w:tcPr>
            <w:tcW w:type="dxa" w:w="2592"/>
            <w:shd w:fill="F8FAFC" w:color="auto" w:val="clear"/>
            <w:tcMar>
              <w:top w:w="60" w:type="dxa"/>
              <w:bottom w:w="60" w:type="dxa"/>
              <w:left w:w="80" w:type="dxa"/>
              <w:right w:w="80" w:type="dxa"/>
            </w:tcMar>
          </w:tcPr>
          <w:p>
            <w:r>
              <w:rPr>
                <w:rFonts w:ascii="Calibri" w:hAnsi="Calibri"/>
                <w:color w:val="334155"/>
                <w:sz w:val="16"/>
              </w:rPr>
              <w:t>Kuala Lumpur, Selangor, Penang, Perak, Pahang, Negeri Sembilan, Kedah, Perlis, Terengganu, Kelantan</w:t>
            </w:r>
          </w:p>
        </w:tc>
        <w:tc>
          <w:tcPr>
            <w:tcW w:type="dxa" w:w="2016"/>
            <w:shd w:fill="F8FAFC" w:color="auto" w:val="clear"/>
            <w:tcMar>
              <w:top w:w="60" w:type="dxa"/>
              <w:bottom w:w="60" w:type="dxa"/>
              <w:left w:w="80" w:type="dxa"/>
              <w:right w:w="80" w:type="dxa"/>
            </w:tcMar>
          </w:tcPr>
          <w:p>
            <w:r>
              <w:rPr>
                <w:rFonts w:ascii="Calibri" w:hAnsi="Calibri"/>
                <w:color w:val="334155"/>
                <w:sz w:val="16"/>
              </w:rPr>
              <w:t>All West Malaysia postcodes outside Zones A &amp; B (e.g. 50000 - 68000)</w:t>
            </w:r>
          </w:p>
        </w:tc>
        <w:tc>
          <w:tcPr>
            <w:tcW w:type="dxa" w:w="1872"/>
            <w:shd w:fill="F8FAFC" w:color="auto" w:val="clear"/>
            <w:tcMar>
              <w:top w:w="60" w:type="dxa"/>
              <w:bottom w:w="60" w:type="dxa"/>
              <w:left w:w="80" w:type="dxa"/>
              <w:right w:w="80" w:type="dxa"/>
            </w:tcMar>
          </w:tcPr>
          <w:p>
            <w:r>
              <w:rPr>
                <w:rFonts w:ascii="Calibri" w:hAnsi="Calibri"/>
                <w:b/>
                <w:color w:val="0284C7"/>
                <w:sz w:val="16"/>
              </w:rPr>
              <w:t>WhatsApp Quotation</w:t>
              <w:br/>
              <w:t>(Cold-chain courier quote)</w:t>
            </w:r>
          </w:p>
        </w:tc>
        <w:tc>
          <w:tcPr>
            <w:tcW w:type="dxa" w:w="1872"/>
            <w:shd w:fill="F8FAFC" w:color="auto" w:val="clear"/>
            <w:tcMar>
              <w:top w:w="60" w:type="dxa"/>
              <w:bottom w:w="60" w:type="dxa"/>
              <w:left w:w="80" w:type="dxa"/>
              <w:right w:w="80" w:type="dxa"/>
            </w:tcMar>
          </w:tcPr>
          <w:p>
            <w:r>
              <w:rPr>
                <w:rFonts w:ascii="Calibri" w:hAnsi="Calibri"/>
                <w:b/>
                <w:color w:val="0284C7"/>
                <w:sz w:val="16"/>
              </w:rPr>
              <w:t>WhatsApp Quotation</w:t>
              <w:br/>
              <w:t>(Cold-chain courier quote)</w:t>
            </w:r>
          </w:p>
        </w:tc>
      </w:tr>
    </w:tbl>
    <w:p>
      <w:pPr>
        <w:spacing w:before="80" w:after="80"/>
        <w:pBdr>
          <w:bottom w:val="single" w:sz="4" w:space="1" w:color="CBD5E1"/>
        </w:pBdr>
      </w:pPr>
    </w:p>
    <w:p>
      <w:pPr>
        <w:keepNext/>
        <w:spacing w:before="200" w:after="80"/>
      </w:pPr>
      <w:r>
        <w:rPr>
          <w:rFonts w:ascii="Calibri" w:hAnsi="Calibri"/>
          <w:b/>
          <w:color w:val="091A36"/>
          <w:sz w:val="28"/>
        </w:rPr>
        <w:t>4. Point 3: RM10.00 Zone A Delivery Fee Clarification</w:t>
      </w:r>
    </w:p>
    <w:tbl>
      <w:tblPr>
        <w:tblW w:type="auto" w:w="0"/>
        <w:jc w:val="left"/>
        <w:tblLook w:firstColumn="1" w:firstRow="1" w:lastColumn="0" w:lastRow="0" w:noHBand="0" w:noVBand="1" w:val="04A0"/>
      </w:tblPr>
      <w:tblGrid>
        <w:gridCol w:w="9936"/>
      </w:tblGrid>
      <w:tr>
        <w:tc>
          <w:tcPr>
            <w:tcW w:type="dxa" w:w="9936"/>
            <w:shd w:fill="EFF6FF" w:color="auto" w:val="clear"/>
            <w:tcMar>
              <w:top w:w="100" w:type="dxa"/>
              <w:bottom w:w="100" w:type="dxa"/>
              <w:left w:w="140" w:type="dxa"/>
              <w:right w:w="140" w:type="dxa"/>
            </w:tcMar>
            <w:tcBorders>
              <w:top w:val="none"/>
              <w:left w:val="single" w:sz="24" w:space="0" w:color="3B82F6"/>
              <w:bottom w:val="none"/>
              <w:right w:val="none"/>
            </w:tcBorders>
          </w:tcPr>
          <w:p>
            <w:pPr>
              <w:spacing w:before="40" w:after="40"/>
            </w:pPr>
            <w:r>
              <w:rPr>
                <w:rFonts w:ascii="Calibri" w:hAnsi="Calibri"/>
                <w:b/>
                <w:color w:val="1E40AF"/>
                <w:sz w:val="20"/>
              </w:rPr>
              <w:t>📌 CONFIRMED FINAL: RM10.00 IS THE OFFICIAL ZONE A LOCAL DELIVERY RATE</w:t>
              <w:br/>
            </w:r>
            <w:r>
              <w:rPr>
                <w:rFonts w:ascii="Calibri" w:hAnsi="Calibri"/>
                <w:color w:val="1F2937"/>
                <w:sz w:val="19"/>
              </w:rPr>
              <w:t>RM 10.00 is INTENTIONALLY the final standard local delivery charge for Zone A orders below RM 150.00. It is verified and passed in your customer-side testing (Test Order Subtotal RM115.70 + Delivery RM10.00 = RM125.70).</w:t>
            </w:r>
          </w:p>
        </w:tc>
      </w:tr>
    </w:tbl>
    <w:p>
      <w:pPr>
        <w:spacing w:before="40" w:after="80"/>
      </w:pPr>
    </w:p>
    <w:p>
      <w:pPr>
        <w:keepNext/>
        <w:spacing w:before="120" w:after="40"/>
      </w:pPr>
      <w:r>
        <w:rPr>
          <w:rFonts w:ascii="Calibri" w:hAnsi="Calibri"/>
          <w:b/>
          <w:color w:val="0284C7"/>
          <w:sz w:val="23"/>
        </w:rPr>
        <w:t>4.1 Commercial Rationale &amp; Profit Protection</w:t>
      </w:r>
    </w:p>
    <w:p>
      <w:pPr>
        <w:pStyle w:val="ListBullet"/>
        <w:spacing w:before="30" w:after="50"/>
        <w:ind w:left="360"/>
      </w:pPr>
      <w:r>
        <w:rPr>
          <w:rFonts w:ascii="Calibri" w:hAnsi="Calibri"/>
          <w:b/>
          <w:color w:val="334155"/>
          <w:sz w:val="19"/>
        </w:rPr>
        <w:t xml:space="preserve">Cost Coverage: </w:t>
      </w:r>
      <w:r>
        <w:rPr>
          <w:rFonts w:ascii="Calibri" w:hAnsi="Calibri"/>
          <w:color w:val="334155"/>
          <w:sz w:val="19"/>
        </w:rPr>
        <w:t>For smaller orders (e.g. RM 30 - RM 149), the RM 10 fee offsets direct driver fuel and thermal ice packaging expenses, preventing MST from taking a loss on low-ticket deliveries.</w:t>
      </w:r>
    </w:p>
    <w:p>
      <w:pPr>
        <w:pStyle w:val="ListBullet"/>
        <w:spacing w:before="30" w:after="50"/>
        <w:ind w:left="360"/>
      </w:pPr>
      <w:r>
        <w:rPr>
          <w:rFonts w:ascii="Calibri" w:hAnsi="Calibri"/>
          <w:b/>
          <w:color w:val="334155"/>
          <w:sz w:val="19"/>
        </w:rPr>
        <w:t xml:space="preserve">Cart Upsell Driver: </w:t>
      </w:r>
      <w:r>
        <w:rPr>
          <w:rFonts w:ascii="Calibri" w:hAnsi="Calibri"/>
          <w:color w:val="334155"/>
          <w:sz w:val="19"/>
        </w:rPr>
        <w:t>A clear RM 10 charge provides strong psychological incentive for customers to add 1-2 more seafood items (e.g., Tiger Prawns or Fish Fillets) to reach the RM 150 Free Delivery mark, increasing Average Order Value (AOV).</w:t>
      </w:r>
    </w:p>
    <w:p>
      <w:pPr>
        <w:keepNext/>
        <w:spacing w:before="160" w:after="40"/>
      </w:pPr>
      <w:r>
        <w:rPr>
          <w:rFonts w:ascii="Calibri" w:hAnsi="Calibri"/>
          <w:b/>
          <w:color w:val="0284C7"/>
          <w:sz w:val="23"/>
        </w:rPr>
        <w:t>4.2 Zero-Code Admin Portal Rate Management</w:t>
      </w:r>
    </w:p>
    <w:p>
      <w:pPr>
        <w:spacing w:before="40" w:after="80"/>
      </w:pPr>
      <w:r>
        <w:rPr>
          <w:rFonts w:ascii="Calibri" w:hAnsi="Calibri"/>
          <w:b w:val="0"/>
          <w:i w:val="0"/>
          <w:color w:val="334155"/>
          <w:sz w:val="20"/>
        </w:rPr>
        <w:t>MST management can modify this fee anytime in under 5 seconds directly at `/admin/delivery-zones` without touching code.</w:t>
      </w:r>
    </w:p>
    <w:p>
      <w:pPr>
        <w:spacing w:before="80" w:after="80"/>
        <w:pBdr>
          <w:bottom w:val="single" w:sz="4" w:space="1" w:color="CBD5E1"/>
        </w:pBdr>
      </w:pPr>
    </w:p>
    <w:p>
      <w:pPr>
        <w:keepNext/>
        <w:spacing w:before="200" w:after="80"/>
      </w:pPr>
      <w:r>
        <w:rPr>
          <w:rFonts w:ascii="Calibri" w:hAnsi="Calibri"/>
          <w:b/>
          <w:color w:val="091A36"/>
          <w:sz w:val="28"/>
        </w:rPr>
        <w:t>5. Point 4: Payment Method Display vs. Stripe Hosted Checkout Verification</w:t>
      </w:r>
    </w:p>
    <w:tbl>
      <w:tblPr>
        <w:tblW w:type="auto" w:w="0"/>
        <w:jc w:val="left"/>
        <w:tblLook w:firstColumn="1" w:firstRow="1" w:lastColumn="0" w:lastRow="0" w:noHBand="0" w:noVBand="1" w:val="04A0"/>
      </w:tblPr>
      <w:tblGrid>
        <w:gridCol w:w="9936"/>
      </w:tblGrid>
      <w:tr>
        <w:tc>
          <w:tcPr>
            <w:tcW w:type="dxa" w:w="9936"/>
            <w:shd w:fill="EFF6FF" w:color="auto" w:val="clear"/>
            <w:tcMar>
              <w:top w:w="100" w:type="dxa"/>
              <w:bottom w:w="100" w:type="dxa"/>
              <w:left w:w="140" w:type="dxa"/>
              <w:right w:w="140" w:type="dxa"/>
            </w:tcMar>
            <w:tcBorders>
              <w:top w:val="none"/>
              <w:left w:val="single" w:sz="24" w:space="0" w:color="3B82F6"/>
              <w:bottom w:val="none"/>
              <w:right w:val="none"/>
            </w:tcBorders>
          </w:tcPr>
          <w:p>
            <w:pPr>
              <w:spacing w:before="40" w:after="40"/>
            </w:pPr>
            <w:r>
              <w:rPr>
                <w:rFonts w:ascii="Calibri" w:hAnsi="Calibri"/>
                <w:b/>
                <w:color w:val="1E40AF"/>
                <w:sz w:val="20"/>
              </w:rPr>
              <w:t>📌 PAYMENT GATEWAY CONFIGURATION: TEST MODE VS. LIVE CLIENT ACCOUNT TRANSITION</w:t>
              <w:br/>
            </w:r>
            <w:r>
              <w:rPr>
                <w:rFonts w:ascii="Calibri" w:hAnsi="Calibri"/>
                <w:color w:val="1F2937"/>
                <w:sz w:val="19"/>
              </w:rPr>
              <w:t>Currently, the platform is connected to our developer sandbox/test Stripe account, which is restricted to Card test payments. When we connect MST's official live Stripe account credentials (API Keys), we will configure and enable only MST's requested and approved payment options (e.g., FPX, Credit/Debit Cards, Apple Pay, Google Pay).</w:t>
            </w:r>
          </w:p>
        </w:tc>
      </w:tr>
    </w:tbl>
    <w:p>
      <w:pPr>
        <w:spacing w:before="40" w:after="80"/>
      </w:pPr>
    </w:p>
    <w:p>
      <w:pPr>
        <w:keepNext/>
        <w:spacing w:before="120" w:after="40"/>
      </w:pPr>
      <w:r>
        <w:rPr>
          <w:rFonts w:ascii="Calibri" w:hAnsi="Calibri"/>
          <w:b/>
          <w:color w:val="0284C7"/>
          <w:sz w:val="23"/>
        </w:rPr>
        <w:t>5.1 Why Only Card Appeared During Sandbox Testing</w:t>
      </w:r>
    </w:p>
    <w:p>
      <w:pPr>
        <w:spacing w:before="40" w:after="80"/>
      </w:pPr>
      <w:r>
        <w:rPr>
          <w:rFonts w:ascii="Calibri" w:hAnsi="Calibri"/>
          <w:b w:val="0"/>
          <w:i w:val="0"/>
          <w:color w:val="334155"/>
          <w:sz w:val="20"/>
        </w:rPr>
        <w:t>During pre-launch UAT, the platform operates on engineering sandbox API credentials (`STRIPE_KEY` / `STRIPE_SECRET`). In Stripe's architecture:</w:t>
      </w:r>
    </w:p>
    <w:p>
      <w:pPr>
        <w:pStyle w:val="ListBullet"/>
        <w:spacing w:before="30" w:after="50"/>
        <w:ind w:left="360"/>
      </w:pPr>
      <w:r>
        <w:rPr>
          <w:rFonts w:ascii="Calibri" w:hAnsi="Calibri"/>
          <w:b/>
          <w:color w:val="334155"/>
          <w:sz w:val="19"/>
        </w:rPr>
        <w:t xml:space="preserve">1. Sandbox Card Simulation: </w:t>
      </w:r>
      <w:r>
        <w:rPr>
          <w:rFonts w:ascii="Calibri" w:hAnsi="Calibri"/>
          <w:color w:val="334155"/>
          <w:sz w:val="19"/>
        </w:rPr>
        <w:t>Card testing in Stripe Test Mode uses standard test numbers (`4242 4242...`) to simulate successful payments without moving real money.</w:t>
      </w:r>
    </w:p>
    <w:p>
      <w:pPr>
        <w:pStyle w:val="ListBullet"/>
        <w:spacing w:before="30" w:after="50"/>
        <w:ind w:left="360"/>
      </w:pPr>
      <w:r>
        <w:rPr>
          <w:rFonts w:ascii="Calibri" w:hAnsi="Calibri"/>
          <w:b/>
          <w:color w:val="334155"/>
          <w:sz w:val="19"/>
        </w:rPr>
        <w:t xml:space="preserve">2. Live Entity Registration: </w:t>
      </w:r>
      <w:r>
        <w:rPr>
          <w:rFonts w:ascii="Calibri" w:hAnsi="Calibri"/>
          <w:color w:val="334155"/>
          <w:sz w:val="19"/>
        </w:rPr>
        <w:t>Payment methods such as FPX (Malaysian online banking), GrabPay, Apple Pay, and Google Pay are tied to a merchant's live registered Malaysian entity (SSM registration &amp; Malaysian corporate bank account).</w:t>
      </w:r>
    </w:p>
    <w:p>
      <w:pPr>
        <w:pStyle w:val="ListBullet"/>
        <w:spacing w:before="30" w:after="50"/>
        <w:ind w:left="360"/>
      </w:pPr>
      <w:r>
        <w:rPr>
          <w:rFonts w:ascii="Calibri" w:hAnsi="Calibri"/>
          <w:b/>
          <w:color w:val="334155"/>
          <w:sz w:val="19"/>
        </w:rPr>
        <w:t xml:space="preserve">3. Dynamic Display Logic: </w:t>
      </w:r>
      <w:r>
        <w:rPr>
          <w:rFonts w:ascii="Calibri" w:hAnsi="Calibri"/>
          <w:color w:val="334155"/>
          <w:sz w:val="19"/>
        </w:rPr>
        <w:t>Stripe Hosted Checkout dynamically displays only payment methods that are active, verified, and enabled on the specific Stripe account currently connected.</w:t>
      </w:r>
    </w:p>
    <w:p>
      <w:pPr>
        <w:keepNext/>
        <w:spacing w:before="160" w:after="40"/>
      </w:pPr>
      <w:r>
        <w:rPr>
          <w:rFonts w:ascii="Calibri" w:hAnsi="Calibri"/>
          <w:b/>
          <w:color w:val="0284C7"/>
          <w:sz w:val="23"/>
        </w:rPr>
        <w:t>5.2 Live Account Onboarding &amp; Method Activation Protocol</w:t>
      </w:r>
    </w:p>
    <w:p>
      <w:pPr>
        <w:spacing w:before="40" w:after="80"/>
      </w:pPr>
      <w:r>
        <w:rPr>
          <w:rFonts w:ascii="Calibri" w:hAnsi="Calibri"/>
          <w:b w:val="0"/>
          <w:i w:val="0"/>
          <w:color w:val="334155"/>
          <w:sz w:val="20"/>
        </w:rPr>
        <w:t>Upon project sign-off and final handover:</w:t>
      </w:r>
    </w:p>
    <w:p>
      <w:pPr>
        <w:pStyle w:val="ListBullet"/>
        <w:spacing w:before="30" w:after="50"/>
        <w:ind w:left="360"/>
      </w:pPr>
      <w:r>
        <w:rPr>
          <w:rFonts w:ascii="Calibri" w:hAnsi="Calibri"/>
          <w:b/>
          <w:color w:val="334155"/>
          <w:sz w:val="19"/>
        </w:rPr>
        <w:t xml:space="preserve">Step 1: </w:t>
      </w:r>
      <w:r>
        <w:rPr>
          <w:rFonts w:ascii="Calibri" w:hAnsi="Calibri"/>
          <w:color w:val="334155"/>
          <w:sz w:val="19"/>
        </w:rPr>
        <w:t>MST provides their official Stripe Live API Keys (`pk_live_...` and `sk_live_...`).</w:t>
      </w:r>
    </w:p>
    <w:p>
      <w:pPr>
        <w:pStyle w:val="ListBullet"/>
        <w:spacing w:before="30" w:after="50"/>
        <w:ind w:left="360"/>
      </w:pPr>
      <w:r>
        <w:rPr>
          <w:rFonts w:ascii="Calibri" w:hAnsi="Calibri"/>
          <w:b/>
          <w:color w:val="334155"/>
          <w:sz w:val="19"/>
        </w:rPr>
        <w:t xml:space="preserve">Step 2: </w:t>
      </w:r>
      <w:r>
        <w:rPr>
          <w:rFonts w:ascii="Calibri" w:hAnsi="Calibri"/>
          <w:color w:val="334155"/>
          <w:sz w:val="19"/>
        </w:rPr>
        <w:t>In MST's Stripe Dashboard (`dashboard.stripe.com/settings/payment_methods`), MST activates only their desired payment rails (Cards, FPX, Apple Pay, Google Pay).</w:t>
      </w:r>
    </w:p>
    <w:p>
      <w:pPr>
        <w:pStyle w:val="ListBullet"/>
        <w:spacing w:before="30" w:after="50"/>
        <w:ind w:left="360"/>
      </w:pPr>
      <w:r>
        <w:rPr>
          <w:rFonts w:ascii="Calibri" w:hAnsi="Calibri"/>
          <w:b/>
          <w:color w:val="334155"/>
          <w:sz w:val="19"/>
        </w:rPr>
        <w:t xml:space="preserve">Step 3: </w:t>
      </w:r>
      <w:r>
        <w:rPr>
          <w:rFonts w:ascii="Calibri" w:hAnsi="Calibri"/>
          <w:color w:val="334155"/>
          <w:sz w:val="19"/>
        </w:rPr>
        <w:t>The platform's Stripe session automatically syncs with MST's activated methods, presenting exactly what MST has authorized for production customers.</w:t>
      </w:r>
    </w:p>
    <w:p>
      <w:pPr>
        <w:spacing w:before="80" w:after="80"/>
        <w:pBdr>
          <w:bottom w:val="single" w:sz="4" w:space="1" w:color="CBD5E1"/>
        </w:pBdr>
      </w:pPr>
    </w:p>
    <w:p>
      <w:pPr>
        <w:keepNext/>
        <w:spacing w:before="200" w:after="80"/>
      </w:pPr>
      <w:r>
        <w:rPr>
          <w:rFonts w:ascii="Calibri" w:hAnsi="Calibri"/>
          <w:b/>
          <w:color w:val="091A36"/>
          <w:sz w:val="28"/>
        </w:rPr>
        <w:t>6. Final Customer-Side UAT Verification Protocol</w:t>
      </w:r>
    </w:p>
    <w:p>
      <w:pPr>
        <w:spacing w:before="40" w:after="120"/>
      </w:pPr>
      <w:r>
        <w:rPr>
          <w:rFonts w:ascii="Calibri" w:hAnsi="Calibri"/>
          <w:b w:val="0"/>
          <w:i w:val="0"/>
          <w:color w:val="334155"/>
          <w:sz w:val="20"/>
        </w:rPr>
        <w:t>To verify the Skudai Zone B resolution, please run the following test on the live platform:</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84"/>
        <w:gridCol w:w="2484"/>
        <w:gridCol w:w="2484"/>
        <w:gridCol w:w="2484"/>
      </w:tblGrid>
      <w:tr>
        <w:tc>
          <w:tcPr>
            <w:tcW w:type="dxa" w:w="1728"/>
            <w:shd w:fill="091A36" w:color="auto" w:val="clear"/>
            <w:tcMar>
              <w:top w:w="80" w:type="dxa"/>
              <w:bottom w:w="80" w:type="dxa"/>
              <w:left w:w="80" w:type="dxa"/>
              <w:right w:w="80" w:type="dxa"/>
            </w:tcMar>
          </w:tcPr>
          <w:p>
            <w:r>
              <w:rPr>
                <w:rFonts w:ascii="Calibri" w:hAnsi="Calibri"/>
                <w:b/>
                <w:color w:val="FFFFFF"/>
                <w:sz w:val="17"/>
              </w:rPr>
              <w:t>Test Case</w:t>
            </w:r>
          </w:p>
        </w:tc>
        <w:tc>
          <w:tcPr>
            <w:tcW w:type="dxa" w:w="3168"/>
            <w:shd w:fill="091A36" w:color="auto" w:val="clear"/>
            <w:tcMar>
              <w:top w:w="80" w:type="dxa"/>
              <w:bottom w:w="80" w:type="dxa"/>
              <w:left w:w="80" w:type="dxa"/>
              <w:right w:w="80" w:type="dxa"/>
            </w:tcMar>
          </w:tcPr>
          <w:p>
            <w:r>
              <w:rPr>
                <w:rFonts w:ascii="Calibri" w:hAnsi="Calibri"/>
                <w:b/>
                <w:color w:val="FFFFFF"/>
                <w:sz w:val="17"/>
              </w:rPr>
              <w:t>Action to Execute</w:t>
            </w:r>
          </w:p>
        </w:tc>
        <w:tc>
          <w:tcPr>
            <w:tcW w:type="dxa" w:w="3312"/>
            <w:shd w:fill="091A36" w:color="auto" w:val="clear"/>
            <w:tcMar>
              <w:top w:w="80" w:type="dxa"/>
              <w:bottom w:w="80" w:type="dxa"/>
              <w:left w:w="80" w:type="dxa"/>
              <w:right w:w="80" w:type="dxa"/>
            </w:tcMar>
          </w:tcPr>
          <w:p>
            <w:r>
              <w:rPr>
                <w:rFonts w:ascii="Calibri" w:hAnsi="Calibri"/>
                <w:b/>
                <w:color w:val="FFFFFF"/>
                <w:sz w:val="17"/>
              </w:rPr>
              <w:t>Expected System Behaviour</w:t>
            </w:r>
          </w:p>
        </w:tc>
        <w:tc>
          <w:tcPr>
            <w:tcW w:type="dxa" w:w="2160"/>
            <w:shd w:fill="091A36" w:color="auto" w:val="clear"/>
            <w:tcMar>
              <w:top w:w="80" w:type="dxa"/>
              <w:bottom w:w="80" w:type="dxa"/>
              <w:left w:w="80" w:type="dxa"/>
              <w:right w:w="80" w:type="dxa"/>
            </w:tcMar>
          </w:tcPr>
          <w:p>
            <w:r>
              <w:rPr>
                <w:rFonts w:ascii="Calibri" w:hAnsi="Calibri"/>
                <w:b/>
                <w:color w:val="FFFFFF"/>
                <w:sz w:val="17"/>
              </w:rPr>
              <w:t>Verification Check</w:t>
            </w:r>
          </w:p>
        </w:tc>
      </w:tr>
      <w:tr>
        <w:tc>
          <w:tcPr>
            <w:tcW w:type="dxa" w:w="1728"/>
            <w:shd w:fill="F8FAFC" w:color="auto" w:val="clear"/>
            <w:tcMar>
              <w:top w:w="60" w:type="dxa"/>
              <w:bottom w:w="60" w:type="dxa"/>
              <w:left w:w="80" w:type="dxa"/>
              <w:right w:w="80" w:type="dxa"/>
            </w:tcMar>
          </w:tcPr>
          <w:p>
            <w:r>
              <w:rPr>
                <w:rFonts w:ascii="Calibri" w:hAnsi="Calibri"/>
                <w:b/>
                <w:color w:val="0F172A"/>
                <w:sz w:val="16"/>
              </w:rPr>
              <w:t>Test 1:</w:t>
              <w:br/>
              <w:t>Live Crab Price</w:t>
            </w:r>
          </w:p>
        </w:tc>
        <w:tc>
          <w:tcPr>
            <w:tcW w:type="dxa" w:w="3168"/>
            <w:shd w:fill="F8FAFC" w:color="auto" w:val="clear"/>
            <w:tcMar>
              <w:top w:w="60" w:type="dxa"/>
              <w:bottom w:w="60" w:type="dxa"/>
              <w:left w:w="80" w:type="dxa"/>
              <w:right w:w="80" w:type="dxa"/>
            </w:tcMar>
          </w:tcPr>
          <w:p>
            <w:r>
              <w:rPr>
                <w:rFonts w:ascii="Calibri" w:hAnsi="Calibri"/>
                <w:color w:val="334155"/>
                <w:sz w:val="16"/>
              </w:rPr>
              <w:t>Visit `/en/products` and open 'Live Mud Crabs / Ketam Nipah'. Add 1 pair to cart.</w:t>
            </w:r>
          </w:p>
        </w:tc>
        <w:tc>
          <w:tcPr>
            <w:tcW w:type="dxa" w:w="3312"/>
            <w:shd w:fill="F8FAFC" w:color="auto" w:val="clear"/>
            <w:tcMar>
              <w:top w:w="60" w:type="dxa"/>
              <w:bottom w:w="60" w:type="dxa"/>
              <w:left w:w="80" w:type="dxa"/>
              <w:right w:w="80" w:type="dxa"/>
            </w:tcMar>
          </w:tcPr>
          <w:p>
            <w:r>
              <w:rPr>
                <w:rFonts w:ascii="Calibri" w:hAnsi="Calibri"/>
                <w:color w:val="334155"/>
                <w:sz w:val="16"/>
              </w:rPr>
              <w:t>Displays Reference Weight ±800g / pair @ RM 58.00. Cart subtotal equals RM 58.00.</w:t>
            </w:r>
          </w:p>
        </w:tc>
        <w:tc>
          <w:tcPr>
            <w:tcW w:type="dxa" w:w="2160"/>
            <w:shd w:fill="F8FAFC" w:color="auto" w:val="clear"/>
            <w:tcMar>
              <w:top w:w="60" w:type="dxa"/>
              <w:bottom w:w="60" w:type="dxa"/>
              <w:left w:w="80" w:type="dxa"/>
              <w:right w:w="80" w:type="dxa"/>
            </w:tcMar>
          </w:tcPr>
          <w:p>
            <w:r>
              <w:rPr>
                <w:rFonts w:ascii="Calibri" w:hAnsi="Calibri"/>
                <w:b/>
                <w:color w:val="166534"/>
                <w:sz w:val="16"/>
              </w:rPr>
              <w:t>✅ PASSED</w:t>
            </w:r>
          </w:p>
        </w:tc>
      </w:tr>
      <w:tr>
        <w:tc>
          <w:tcPr>
            <w:tcW w:type="dxa" w:w="1728"/>
            <w:shd w:fill="FFFFFF" w:color="auto" w:val="clear"/>
            <w:tcMar>
              <w:top w:w="60" w:type="dxa"/>
              <w:bottom w:w="60" w:type="dxa"/>
              <w:left w:w="80" w:type="dxa"/>
              <w:right w:w="80" w:type="dxa"/>
            </w:tcMar>
          </w:tcPr>
          <w:p>
            <w:r>
              <w:rPr>
                <w:rFonts w:ascii="Calibri" w:hAnsi="Calibri"/>
                <w:b/>
                <w:color w:val="0F172A"/>
                <w:sz w:val="16"/>
              </w:rPr>
              <w:t>Test 2:</w:t>
              <w:br/>
              <w:t>Zone A &lt; RM150</w:t>
            </w:r>
          </w:p>
        </w:tc>
        <w:tc>
          <w:tcPr>
            <w:tcW w:type="dxa" w:w="3168"/>
            <w:shd w:fill="FFFFFF" w:color="auto" w:val="clear"/>
            <w:tcMar>
              <w:top w:w="60" w:type="dxa"/>
              <w:bottom w:w="60" w:type="dxa"/>
              <w:left w:w="80" w:type="dxa"/>
              <w:right w:w="80" w:type="dxa"/>
            </w:tcMar>
          </w:tcPr>
          <w:p>
            <w:r>
              <w:rPr>
                <w:rFonts w:ascii="Calibri" w:hAnsi="Calibri"/>
                <w:color w:val="334155"/>
                <w:sz w:val="16"/>
              </w:rPr>
              <w:t>Order subtotal RM 115.70 in Zone A (e.g. 79100 / Iskandar Puteri).</w:t>
            </w:r>
          </w:p>
        </w:tc>
        <w:tc>
          <w:tcPr>
            <w:tcW w:type="dxa" w:w="3312"/>
            <w:shd w:fill="FFFFFF" w:color="auto" w:val="clear"/>
            <w:tcMar>
              <w:top w:w="60" w:type="dxa"/>
              <w:bottom w:w="60" w:type="dxa"/>
              <w:left w:w="80" w:type="dxa"/>
              <w:right w:w="80" w:type="dxa"/>
            </w:tcMar>
          </w:tcPr>
          <w:p>
            <w:r>
              <w:rPr>
                <w:rFonts w:ascii="Calibri" w:hAnsi="Calibri"/>
                <w:color w:val="334155"/>
                <w:sz w:val="16"/>
              </w:rPr>
              <w:t>Subtotal RM 115.70 + Delivery Fee RM 10.00 = Grand Total RM 125.70.</w:t>
            </w:r>
          </w:p>
        </w:tc>
        <w:tc>
          <w:tcPr>
            <w:tcW w:type="dxa" w:w="2160"/>
            <w:shd w:fill="FFFFFF" w:color="auto" w:val="clear"/>
            <w:tcMar>
              <w:top w:w="60" w:type="dxa"/>
              <w:bottom w:w="60" w:type="dxa"/>
              <w:left w:w="80" w:type="dxa"/>
              <w:right w:w="80" w:type="dxa"/>
            </w:tcMar>
          </w:tcPr>
          <w:p>
            <w:r>
              <w:rPr>
                <w:rFonts w:ascii="Calibri" w:hAnsi="Calibri"/>
                <w:b/>
                <w:color w:val="166534"/>
                <w:sz w:val="16"/>
              </w:rPr>
              <w:t>✅ PASSED</w:t>
            </w:r>
          </w:p>
        </w:tc>
      </w:tr>
      <w:tr>
        <w:tc>
          <w:tcPr>
            <w:tcW w:type="dxa" w:w="1728"/>
            <w:shd w:fill="F8FAFC" w:color="auto" w:val="clear"/>
            <w:tcMar>
              <w:top w:w="60" w:type="dxa"/>
              <w:bottom w:w="60" w:type="dxa"/>
              <w:left w:w="80" w:type="dxa"/>
              <w:right w:w="80" w:type="dxa"/>
            </w:tcMar>
          </w:tcPr>
          <w:p>
            <w:r>
              <w:rPr>
                <w:rFonts w:ascii="Calibri" w:hAnsi="Calibri"/>
                <w:b/>
                <w:color w:val="0F172A"/>
                <w:sz w:val="16"/>
              </w:rPr>
              <w:t>Test 3:</w:t>
              <w:br/>
              <w:t>Zone A ≥ RM150</w:t>
            </w:r>
          </w:p>
        </w:tc>
        <w:tc>
          <w:tcPr>
            <w:tcW w:type="dxa" w:w="3168"/>
            <w:shd w:fill="F8FAFC" w:color="auto" w:val="clear"/>
            <w:tcMar>
              <w:top w:w="60" w:type="dxa"/>
              <w:bottom w:w="60" w:type="dxa"/>
              <w:left w:w="80" w:type="dxa"/>
              <w:right w:w="80" w:type="dxa"/>
            </w:tcMar>
          </w:tcPr>
          <w:p>
            <w:r>
              <w:rPr>
                <w:rFonts w:ascii="Calibri" w:hAnsi="Calibri"/>
                <w:color w:val="334155"/>
                <w:sz w:val="16"/>
              </w:rPr>
              <w:t>Order subtotal RM 164.50 in Zone A (e.g. 80000 / Johor Bahru).</w:t>
            </w:r>
          </w:p>
        </w:tc>
        <w:tc>
          <w:tcPr>
            <w:tcW w:type="dxa" w:w="3312"/>
            <w:shd w:fill="F8FAFC" w:color="auto" w:val="clear"/>
            <w:tcMar>
              <w:top w:w="60" w:type="dxa"/>
              <w:bottom w:w="60" w:type="dxa"/>
              <w:left w:w="80" w:type="dxa"/>
              <w:right w:w="80" w:type="dxa"/>
            </w:tcMar>
          </w:tcPr>
          <w:p>
            <w:r>
              <w:rPr>
                <w:rFonts w:ascii="Calibri" w:hAnsi="Calibri"/>
                <w:color w:val="334155"/>
                <w:sz w:val="16"/>
              </w:rPr>
              <w:t>Free Standard Delivery Unlocked. Delivery Fee = RM 0.00. Grand Total = RM 164.50.</w:t>
            </w:r>
          </w:p>
        </w:tc>
        <w:tc>
          <w:tcPr>
            <w:tcW w:type="dxa" w:w="2160"/>
            <w:shd w:fill="F8FAFC" w:color="auto" w:val="clear"/>
            <w:tcMar>
              <w:top w:w="60" w:type="dxa"/>
              <w:bottom w:w="60" w:type="dxa"/>
              <w:left w:w="80" w:type="dxa"/>
              <w:right w:w="80" w:type="dxa"/>
            </w:tcMar>
          </w:tcPr>
          <w:p>
            <w:r>
              <w:rPr>
                <w:rFonts w:ascii="Calibri" w:hAnsi="Calibri"/>
                <w:b/>
                <w:color w:val="166534"/>
                <w:sz w:val="16"/>
              </w:rPr>
              <w:t>✅ PASSED</w:t>
            </w:r>
          </w:p>
        </w:tc>
      </w:tr>
      <w:tr>
        <w:tc>
          <w:tcPr>
            <w:tcW w:type="dxa" w:w="1728"/>
            <w:shd w:fill="FFFFFF" w:color="auto" w:val="clear"/>
            <w:tcMar>
              <w:top w:w="60" w:type="dxa"/>
              <w:bottom w:w="60" w:type="dxa"/>
              <w:left w:w="80" w:type="dxa"/>
              <w:right w:w="80" w:type="dxa"/>
            </w:tcMar>
          </w:tcPr>
          <w:p>
            <w:r>
              <w:rPr>
                <w:rFonts w:ascii="Calibri" w:hAnsi="Calibri"/>
                <w:b/>
                <w:color w:val="0F172A"/>
                <w:sz w:val="16"/>
              </w:rPr>
              <w:t>Test 4:</w:t>
              <w:br/>
              <w:t>Skudai (81300)</w:t>
              <w:br/>
              <w:t>Zone B Verification</w:t>
            </w:r>
          </w:p>
        </w:tc>
        <w:tc>
          <w:tcPr>
            <w:tcW w:type="dxa" w:w="3168"/>
            <w:shd w:fill="FFFFFF" w:color="auto" w:val="clear"/>
            <w:tcMar>
              <w:top w:w="60" w:type="dxa"/>
              <w:bottom w:w="60" w:type="dxa"/>
              <w:left w:w="80" w:type="dxa"/>
              <w:right w:w="80" w:type="dxa"/>
            </w:tcMar>
          </w:tcPr>
          <w:p>
            <w:r>
              <w:rPr>
                <w:rFonts w:ascii="Calibri" w:hAnsi="Calibri"/>
                <w:color w:val="334155"/>
                <w:sz w:val="16"/>
              </w:rPr>
              <w:t>Order subtotal RM 164.50 with Postcode '81300', City 'Skudai', State 'Johor'.</w:t>
            </w:r>
          </w:p>
        </w:tc>
        <w:tc>
          <w:tcPr>
            <w:tcW w:type="dxa" w:w="3312"/>
            <w:shd w:fill="FFFFFF" w:color="auto" w:val="clear"/>
            <w:tcMar>
              <w:top w:w="60" w:type="dxa"/>
              <w:bottom w:w="60" w:type="dxa"/>
              <w:left w:w="80" w:type="dxa"/>
              <w:right w:w="80" w:type="dxa"/>
            </w:tcMar>
          </w:tcPr>
          <w:p>
            <w:r>
              <w:rPr>
                <w:rFonts w:ascii="Calibri" w:hAnsi="Calibri"/>
                <w:color w:val="334155"/>
                <w:sz w:val="16"/>
              </w:rPr>
              <w:t>System recognizes Zone B. Transportation Fee = 'To Be Confirmed'. Displays WhatsApp Cold-Chain Notice. No Zone A free delivery.</w:t>
            </w:r>
          </w:p>
        </w:tc>
        <w:tc>
          <w:tcPr>
            <w:tcW w:type="dxa" w:w="2160"/>
            <w:shd w:fill="FFFFFF" w:color="auto" w:val="clear"/>
            <w:tcMar>
              <w:top w:w="60" w:type="dxa"/>
              <w:bottom w:w="60" w:type="dxa"/>
              <w:left w:w="80" w:type="dxa"/>
              <w:right w:w="80" w:type="dxa"/>
            </w:tcMar>
          </w:tcPr>
          <w:p>
            <w:r>
              <w:rPr>
                <w:rFonts w:ascii="Calibri" w:hAnsi="Calibri"/>
                <w:b/>
                <w:color w:val="166534"/>
                <w:sz w:val="16"/>
              </w:rPr>
              <w:t>✅ READY FOR RE-TEST</w:t>
            </w:r>
          </w:p>
        </w:tc>
      </w:tr>
    </w:tbl>
    <w:p>
      <w:pPr>
        <w:spacing w:before="80" w:after="80"/>
        <w:pBdr>
          <w:bottom w:val="single" w:sz="4" w:space="1" w:color="CBD5E1"/>
        </w:pBdr>
      </w:pPr>
    </w:p>
    <w:p>
      <w:pPr>
        <w:keepNext/>
        <w:spacing w:before="200" w:after="80"/>
      </w:pPr>
      <w:r>
        <w:rPr>
          <w:rFonts w:ascii="Calibri" w:hAnsi="Calibri"/>
          <w:b/>
          <w:color w:val="091A36"/>
          <w:sz w:val="28"/>
        </w:rPr>
        <w:t>7. Sign-off &amp; Milestone Release Protocol</w:t>
      </w:r>
    </w:p>
    <w:p>
      <w:pPr>
        <w:spacing w:before="40" w:after="160"/>
      </w:pPr>
      <w:r>
        <w:rPr>
          <w:rFonts w:ascii="Calibri" w:hAnsi="Calibri"/>
          <w:b w:val="0"/>
          <w:i w:val="0"/>
          <w:color w:val="334155"/>
          <w:sz w:val="20"/>
        </w:rPr>
        <w:t>With the Skudai Zone B isolation implemented across all architectural layers, and the Stripe live account transition protocol established, the platform is ready for final sign-off and milestone release of RM1,000.</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68"/>
        <w:gridCol w:w="4968"/>
      </w:tblGrid>
      <w:tr>
        <w:tc>
          <w:tcPr>
            <w:tcW w:type="dxa" w:w="5184"/>
            <w:shd w:fill="F1F5F9" w:color="auto" w:val="clear"/>
            <w:tcMar>
              <w:top w:w="60" w:type="dxa"/>
              <w:bottom w:w="60" w:type="dxa"/>
              <w:left w:w="100" w:type="dxa"/>
              <w:right w:w="80" w:type="dxa"/>
            </w:tcMar>
          </w:tcPr>
          <w:p>
            <w:r>
              <w:rPr>
                <w:rFonts w:ascii="Calibri" w:hAnsi="Calibri"/>
                <w:b/>
                <w:color w:val="0F172A"/>
                <w:sz w:val="17"/>
              </w:rPr>
              <w:t>Prepared &amp; Verified by Engineering Lead:</w:t>
            </w:r>
          </w:p>
        </w:tc>
        <w:tc>
          <w:tcPr>
            <w:tcW w:type="dxa" w:w="5184"/>
            <w:shd w:fill="F1F5F9" w:color="auto" w:val="clear"/>
            <w:tcMar>
              <w:top w:w="60" w:type="dxa"/>
              <w:bottom w:w="60" w:type="dxa"/>
              <w:left w:w="100" w:type="dxa"/>
              <w:right w:w="80" w:type="dxa"/>
            </w:tcMar>
          </w:tcPr>
          <w:p>
            <w:r>
              <w:rPr>
                <w:rFonts w:ascii="Calibri" w:hAnsi="Calibri"/>
                <w:b/>
                <w:color w:val="0F172A"/>
                <w:sz w:val="17"/>
              </w:rPr>
              <w:t>Approved &amp; Accepted by Client Lead:</w:t>
            </w:r>
          </w:p>
        </w:tc>
      </w:tr>
      <w:tr>
        <w:tc>
          <w:tcPr>
            <w:tcW w:type="dxa" w:w="5184"/>
            <w:shd w:fill="FFFFFF" w:color="auto" w:val="clear"/>
            <w:tcMar>
              <w:top w:w="80" w:type="dxa"/>
              <w:bottom w:w="80" w:type="dxa"/>
              <w:left w:w="100" w:type="dxa"/>
              <w:right w:w="80" w:type="dxa"/>
            </w:tcMar>
          </w:tcPr>
          <w:p>
            <w:r>
              <w:rPr>
                <w:rFonts w:ascii="Calibri" w:hAnsi="Calibri"/>
                <w:color w:val="334155"/>
                <w:sz w:val="18"/>
              </w:rPr>
              <w:t>Abdul Rehman</w:t>
              <w:br/>
              <w:t>Lead Software Engineer / Architect</w:t>
              <w:br/>
              <w:t>MST E-Commerce Project</w:t>
            </w:r>
          </w:p>
        </w:tc>
        <w:tc>
          <w:tcPr>
            <w:tcW w:type="dxa" w:w="5184"/>
            <w:shd w:fill="FFFFFF" w:color="auto" w:val="clear"/>
            <w:tcMar>
              <w:top w:w="80" w:type="dxa"/>
              <w:bottom w:w="80" w:type="dxa"/>
              <w:left w:w="100" w:type="dxa"/>
              <w:right w:w="80" w:type="dxa"/>
            </w:tcMar>
          </w:tcPr>
          <w:p>
            <w:r>
              <w:rPr>
                <w:rFonts w:ascii="Calibri" w:hAnsi="Calibri"/>
                <w:color w:val="334155"/>
                <w:sz w:val="18"/>
              </w:rPr>
              <w:t>Wendy</w:t>
              <w:br/>
              <w:t>Executive Management &amp; Business Operations</w:t>
              <w:br/>
              <w:t>MST Import and Export Sdn. Bhd.</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