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274A" w:color="auto" w:val="clear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93C5FD"/>
                <w:sz w:val="22"/>
              </w:rPr>
              <w:t>MST IMPORT AND EXPORT SDN. BHD. (镁嘉国际贸易有限公司)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FORMAL CLIENT RESPONSE, TASK STATUS REPORT &amp; SYSTEM HANDOVER DOSSIER</w:t>
              <w:br/>
            </w:r>
            <w:r>
              <w:rPr>
                <w:rFonts w:ascii="Calibri" w:hAnsi="Calibri"/>
                <w:i/>
                <w:color w:val="E0F2FE"/>
                <w:sz w:val="19"/>
              </w:rPr>
              <w:t>Scope Confirmation, Coupon Feature Hold (RM0), Zone A Postcode Verification &amp; Provision of Agreed Handover Deliverables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5040"/>
            <w:shd w:fill="F8FAFC" w:color="auto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Client Representative: </w:t>
            </w:r>
            <w:r>
              <w:rPr>
                <w:rFonts w:ascii="Calibri" w:hAnsi="Calibri"/>
                <w:color w:val="0F172A"/>
                <w:sz w:val="17"/>
              </w:rPr>
              <w:t>Wendy (Project Lead, MST Import &amp; Export)</w:t>
            </w:r>
          </w:p>
        </w:tc>
        <w:tc>
          <w:tcPr>
            <w:tcW w:type="dxa" w:w="5040"/>
            <w:shd w:fill="F8FAFC" w:color="auto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Document Reference: </w:t>
            </w:r>
            <w:r>
              <w:rPr>
                <w:rFonts w:ascii="Calibri" w:hAnsi="Calibri"/>
                <w:color w:val="0F172A"/>
                <w:sz w:val="17"/>
              </w:rPr>
              <w:t>MST-UAT-RESP-2026-10-09</w:t>
            </w:r>
          </w:p>
        </w:tc>
      </w:tr>
      <w:tr>
        <w:tc>
          <w:tcPr>
            <w:tcW w:type="dxa" w:w="5040"/>
            <w:shd w:fill="FFFFFF" w:color="auto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Lead Technical Developer: </w:t>
            </w:r>
            <w:r>
              <w:rPr>
                <w:rFonts w:ascii="Calibri" w:hAnsi="Calibri"/>
                <w:color w:val="0F172A"/>
                <w:sz w:val="17"/>
              </w:rPr>
              <w:t>Abdul Rehman</w:t>
            </w:r>
          </w:p>
        </w:tc>
        <w:tc>
          <w:tcPr>
            <w:tcW w:type="dxa" w:w="5040"/>
            <w:shd w:fill="FFFFFF" w:color="auto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Project Title: </w:t>
            </w:r>
            <w:r>
              <w:rPr>
                <w:rFonts w:ascii="Calibri" w:hAnsi="Calibri"/>
                <w:color w:val="0F172A"/>
                <w:sz w:val="17"/>
              </w:rPr>
              <w:t>MST Unified B2B/B2C Seafood E-Commerce Platform</w:t>
            </w:r>
          </w:p>
        </w:tc>
      </w:tr>
      <w:tr>
        <w:tc>
          <w:tcPr>
            <w:tcW w:type="dxa" w:w="5040"/>
            <w:shd w:fill="F8FAFC" w:color="auto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Contract Scope Status: </w:t>
            </w:r>
            <w:r>
              <w:rPr>
                <w:rFonts w:ascii="Calibri" w:hAnsi="Calibri"/>
                <w:color w:val="0F172A"/>
                <w:sz w:val="17"/>
              </w:rPr>
              <w:t>100% Scope Preserved (No Reductions)</w:t>
            </w:r>
          </w:p>
        </w:tc>
        <w:tc>
          <w:tcPr>
            <w:tcW w:type="dxa" w:w="5040"/>
            <w:shd w:fill="F8FAFC" w:color="auto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Chargeable Add-on Status: </w:t>
            </w:r>
            <w:r>
              <w:rPr>
                <w:rFonts w:ascii="Calibri" w:hAnsi="Calibri"/>
                <w:color w:val="0F172A"/>
                <w:sz w:val="17"/>
              </w:rPr>
              <w:t>Coupon Module On Hold (RM0.00 Billed)</w:t>
            </w:r>
          </w:p>
        </w:tc>
      </w:tr>
      <w:tr>
        <w:tc>
          <w:tcPr>
            <w:tcW w:type="dxa" w:w="5040"/>
            <w:shd w:fill="FFFFFF" w:color="auto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Handover Package: </w:t>
            </w:r>
            <w:r>
              <w:rPr>
                <w:rFonts w:ascii="Calibri" w:hAnsi="Calibri"/>
                <w:color w:val="0F172A"/>
                <w:sz w:val="17"/>
              </w:rPr>
              <w:t>6 Handover Deliverables Included</w:t>
            </w:r>
          </w:p>
        </w:tc>
        <w:tc>
          <w:tcPr>
            <w:tcW w:type="dxa" w:w="5040"/>
            <w:shd w:fill="FFFFFF" w:color="auto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Warranty Term: </w:t>
            </w:r>
            <w:r>
              <w:rPr>
                <w:rFonts w:ascii="Calibri" w:hAnsi="Calibri"/>
                <w:color w:val="0F172A"/>
                <w:sz w:val="17"/>
              </w:rPr>
              <w:t>30-Day Post-Launch Warranty Confirmed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F274A"/>
          <w:sz w:val="26"/>
        </w:rPr>
        <w:t>1. Formal Response Letter to Wendy (MST Project Lead)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Dear Wendy,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Thank you for your prompt, clear, and constructive message. I have reviewed every point in detail, and I am writing to formally confirm our full alignment with your instructions.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 w:color="auto" w:val="clea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274A"/>
                <w:sz w:val="20"/>
              </w:rPr>
              <w:t>Summary of Decisions &amp; Full Agreement</w:t>
              <w:br/>
            </w:r>
            <w:r>
              <w:rPr>
                <w:rFonts w:ascii="Calibri" w:hAnsi="Calibri"/>
                <w:color w:val="1E293B"/>
                <w:sz w:val="19"/>
              </w:rPr>
              <w:t>1. Coupon Code &amp; Marketing Source Tracking Module (RM650): Officially placed ON HOLD immediately. No chargeable development will be conducted, and RM0.00 will be billed. This feature is completely deferred.</w:t>
              <w:br/>
              <w:br/>
              <w:t>2. Contract Scope Priority: We fully agree and reaffirm that the original project scope, quotation, and all written commitments remain 100% complete, intact, and unchanged. The task classification report was created solely for architectural clarity and will never replace, reduce, or alter our agreed deliverables.</w:t>
              <w:br/>
              <w:br/>
              <w:t>3. Zero Additional Charges: All outstanding items, corrections, Zone A rules, and handover materials within our scope are delivered with zero additional charges.</w:t>
              <w:br/>
              <w:br/>
              <w:t>4. Future Scope Protocol: Any genuinely new features outside our agreed contract will strictly be discussed and approved in writing by you prior to any work.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In direct response to your handover request, this submission delivers both required documents:</w:t>
        <w:br/>
        <w:t>• Attachment 1: Complete Illustrated Admin &amp; Operations Manual (delivered as a standalone 1.98 MB Word document: MST_Website_Admin_Panel_and_Operations_Manual.docx).</w:t>
        <w:br/>
        <w:t>• Attachment 2: This formal response, comprehensive task status report, Zone A verification, and 6-item handover dossier.</w:t>
        <w:br/>
        <w:br/>
        <w:t>Below is the complete report detailing task resolutions, Zone A postcode verification, handover deliverables, and our 30-day post-launch warranty.</w:t>
      </w:r>
    </w:p>
    <w:p>
      <w:pPr>
        <w:keepNext/>
        <w:spacing w:before="280" w:after="80"/>
      </w:pPr>
      <w:r>
        <w:rPr>
          <w:rFonts w:ascii="Calibri" w:hAnsi="Calibri"/>
          <w:b/>
          <w:color w:val="0F274A"/>
          <w:sz w:val="26"/>
        </w:rPr>
        <w:t>2. Task Status &amp; Resolution Report (Agreed Scope Items)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All features, functions, and corrections previously raised during UAT have been systematically addressed, tested, and verified in accordance with our original specification: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F274A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Item / Module</w:t>
            </w:r>
          </w:p>
        </w:tc>
        <w:tc>
          <w:tcPr>
            <w:tcW w:type="dxa" w:w="3168"/>
            <w:shd w:fill="0F274A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Scope Description &amp; Requirement</w:t>
            </w:r>
          </w:p>
        </w:tc>
        <w:tc>
          <w:tcPr>
            <w:tcW w:type="dxa" w:w="2592"/>
            <w:shd w:fill="0F274A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Resolution &amp; Verification Status</w:t>
            </w:r>
          </w:p>
        </w:tc>
        <w:tc>
          <w:tcPr>
            <w:tcW w:type="dxa" w:w="1728"/>
            <w:shd w:fill="0F274A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Cost Impact</w:t>
            </w:r>
          </w:p>
        </w:tc>
      </w:tr>
      <w:tr>
        <w:tc>
          <w:tcPr>
            <w:tcW w:type="dxa" w:w="259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Stripe Restricted Test Key &amp; Mode</w:t>
            </w:r>
          </w:p>
        </w:tc>
        <w:tc>
          <w:tcPr>
            <w:tcW w:type="dxa" w:w="3168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Configure restricted test key, store keys securely, verify test card checkout without live billing.</w:t>
            </w:r>
          </w:p>
        </w:tc>
        <w:tc>
          <w:tcPr>
            <w:tcW w:type="dxa" w:w="259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>VERIFIED &amp; PASSED. Restricted test key active. Orders process with test card 4242... Zero live charges.</w:t>
            </w:r>
          </w:p>
        </w:tc>
        <w:tc>
          <w:tcPr>
            <w:tcW w:type="dxa" w:w="1728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475569"/>
                <w:sz w:val="17"/>
              </w:rPr>
              <w:t>Included (RM 0)</w:t>
            </w:r>
          </w:p>
        </w:tc>
      </w:tr>
      <w:tr>
        <w:tc>
          <w:tcPr>
            <w:tcW w:type="dxa" w:w="259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Database Security &amp; Secret Hashing</w:t>
            </w:r>
          </w:p>
        </w:tc>
        <w:tc>
          <w:tcPr>
            <w:tcW w:type="dxa" w:w="3168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Protect .env credentials and store sensitive keys in database in hash/encrypted format.</w:t>
            </w:r>
          </w:p>
        </w:tc>
        <w:tc>
          <w:tcPr>
            <w:tcW w:type="dxa" w:w="259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COMPLETED &amp; PUSHED. Cryptographic hash format (enc:...) implemented in Setting model. Push verified.</w:t>
            </w:r>
          </w:p>
        </w:tc>
        <w:tc>
          <w:tcPr>
            <w:tcW w:type="dxa" w:w="1728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475569"/>
                <w:sz w:val="17"/>
              </w:rPr>
              <w:t>Included (RM 0)</w:t>
            </w:r>
          </w:p>
        </w:tc>
      </w:tr>
      <w:tr>
        <w:tc>
          <w:tcPr>
            <w:tcW w:type="dxa" w:w="259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Walk-In Counter 2 Quick-Order Workflow</w:t>
            </w:r>
          </w:p>
        </w:tc>
        <w:tc>
          <w:tcPr>
            <w:tcW w:type="dxa" w:w="3168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Storefront QR direct ordering filtered by physical SILC Counter 2 availability.</w:t>
            </w:r>
          </w:p>
        </w:tc>
        <w:tc>
          <w:tcPr>
            <w:tcW w:type="dxa" w:w="259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>VERIFIED &amp; PASSED. is_walkin_available filter active. Modal slips and direct counter orders functioning.</w:t>
            </w:r>
          </w:p>
        </w:tc>
        <w:tc>
          <w:tcPr>
            <w:tcW w:type="dxa" w:w="1728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475569"/>
                <w:sz w:val="17"/>
              </w:rPr>
              <w:t>Included (RM 0)</w:t>
            </w:r>
          </w:p>
        </w:tc>
      </w:tr>
      <w:tr>
        <w:tc>
          <w:tcPr>
            <w:tcW w:type="dxa" w:w="259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Wholesale B2B Account Vetting</w:t>
            </w:r>
          </w:p>
        </w:tc>
        <w:tc>
          <w:tcPr>
            <w:tcW w:type="dxa" w:w="3168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Enforce approval gate for wholesale applicants with duplicate SSM &amp; phone validation.</w:t>
            </w:r>
          </w:p>
        </w:tc>
        <w:tc>
          <w:tcPr>
            <w:tcW w:type="dxa" w:w="259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>VERIFIED &amp; PASSED. Pending approval status enforced. Duplicate registration alerts active.</w:t>
            </w:r>
          </w:p>
        </w:tc>
        <w:tc>
          <w:tcPr>
            <w:tcW w:type="dxa" w:w="1728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475569"/>
                <w:sz w:val="17"/>
              </w:rPr>
              <w:t>Included (RM 0)</w:t>
            </w:r>
          </w:p>
        </w:tc>
      </w:tr>
      <w:tr>
        <w:tc>
          <w:tcPr>
            <w:tcW w:type="dxa" w:w="259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Trilingual Localization &amp; Cache Purge</w:t>
            </w:r>
          </w:p>
        </w:tc>
        <w:tc>
          <w:tcPr>
            <w:tcW w:type="dxa" w:w="3168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Bilingual/Trilingual (EN, ZH, BM) catalog, banners, policies, and 1-click cache purge.</w:t>
            </w:r>
          </w:p>
        </w:tc>
        <w:tc>
          <w:tcPr>
            <w:tcW w:type="dxa" w:w="259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>VERIFIED &amp; PASSED. Complete trilingual interface. 1-click cache purge button deployed in /admin/translations.</w:t>
            </w:r>
          </w:p>
        </w:tc>
        <w:tc>
          <w:tcPr>
            <w:tcW w:type="dxa" w:w="1728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475569"/>
                <w:sz w:val="17"/>
              </w:rPr>
              <w:t>Included (RM 0)</w:t>
            </w:r>
          </w:p>
        </w:tc>
      </w:tr>
      <w:tr>
        <w:tc>
          <w:tcPr>
            <w:tcW w:type="dxa" w:w="259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Commercial Tax Invoice Generator</w:t>
            </w:r>
          </w:p>
        </w:tc>
        <w:tc>
          <w:tcPr>
            <w:tcW w:type="dxa" w:w="3168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Formal printable tax invoice with SSM details, bilingual line items, and Ringgit words.</w:t>
            </w:r>
          </w:p>
        </w:tc>
        <w:tc>
          <w:tcPr>
            <w:tcW w:type="dxa" w:w="259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>VERIFIED &amp; PASSED. Tax-compliant layout with formal Ringgit wording and SSM credentials complete.</w:t>
            </w:r>
          </w:p>
        </w:tc>
        <w:tc>
          <w:tcPr>
            <w:tcW w:type="dxa" w:w="1728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475569"/>
                <w:sz w:val="17"/>
              </w:rPr>
              <w:t>Included (RM 0)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F274A"/>
          <w:sz w:val="26"/>
        </w:rPr>
        <w:t>3. MST Zone A Delivery Coverage &amp; Delivery Fee Rules Verification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In strict compliance with your instructions referencing the Johor Postcode Directory on Postcode.my, we have verified and compiled the comprehensive list of Zone A local delivery postcodes and delivery fee rules: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2160"/>
            <w:shd w:fill="0F274A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Locality / Area</w:t>
            </w:r>
          </w:p>
        </w:tc>
        <w:tc>
          <w:tcPr>
            <w:tcW w:type="dxa" w:w="3312"/>
            <w:shd w:fill="0F274A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Designated Postcodes</w:t>
            </w:r>
          </w:p>
        </w:tc>
        <w:tc>
          <w:tcPr>
            <w:tcW w:type="dxa" w:w="4608"/>
            <w:shd w:fill="0F274A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Verification Notes &amp; System Implementation</w:t>
            </w:r>
          </w:p>
        </w:tc>
      </w:tr>
      <w:tr>
        <w:tc>
          <w:tcPr>
            <w:tcW w:type="dxa" w:w="2160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1. Gelang Patah</w:t>
            </w:r>
          </w:p>
        </w:tc>
        <w:tc>
          <w:tcPr>
            <w:tcW w:type="dxa" w:w="3312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D4ED8"/>
                <w:sz w:val="17"/>
              </w:rPr>
              <w:t>81550</w:t>
            </w:r>
          </w:p>
        </w:tc>
        <w:tc>
          <w:tcPr>
            <w:tcW w:type="dxa" w:w="4608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Verified via Postcode.my. Fully included in Zone A.</w:t>
            </w:r>
          </w:p>
        </w:tc>
      </w:tr>
      <w:tr>
        <w:tc>
          <w:tcPr>
            <w:tcW w:type="dxa" w:w="2160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2. Iskandar Puteri / Nusajaya</w:t>
            </w:r>
          </w:p>
        </w:tc>
        <w:tc>
          <w:tcPr>
            <w:tcW w:type="dxa" w:w="3312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D4ED8"/>
                <w:sz w:val="17"/>
              </w:rPr>
              <w:t>79000, 79100, 79200, 79250</w:t>
            </w:r>
          </w:p>
        </w:tc>
        <w:tc>
          <w:tcPr>
            <w:tcW w:type="dxa" w:w="4608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Verified. Covers SILC Industrial Park, Medini, Kota Iskandar, and Puteri Harbour.</w:t>
            </w:r>
          </w:p>
        </w:tc>
      </w:tr>
      <w:tr>
        <w:tc>
          <w:tcPr>
            <w:tcW w:type="dxa" w:w="2160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3. Johor Bahru (Central &amp; Metro)</w:t>
            </w:r>
          </w:p>
        </w:tc>
        <w:tc>
          <w:tcPr>
            <w:tcW w:type="dxa" w:w="3312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D4ED8"/>
                <w:sz w:val="17"/>
              </w:rPr>
              <w:t>80000, 80050, 80100, 80150, 80200, 80250, 80300, 80350, 80400, 80500, 80990</w:t>
            </w:r>
          </w:p>
        </w:tc>
        <w:tc>
          <w:tcPr>
            <w:tcW w:type="dxa" w:w="4608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Verified. Comprehensive Johor Bahru metropolitan postal range included.</w:t>
            </w:r>
          </w:p>
        </w:tc>
      </w:tr>
      <w:tr>
        <w:tc>
          <w:tcPr>
            <w:tcW w:type="dxa" w:w="2160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4. Kulai (Indahpura ONLY)</w:t>
            </w:r>
          </w:p>
        </w:tc>
        <w:tc>
          <w:tcPr>
            <w:tcW w:type="dxa" w:w="3312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D4ED8"/>
                <w:sz w:val="17"/>
              </w:rPr>
              <w:t>81000 (Indahpura locality filter)</w:t>
            </w:r>
          </w:p>
        </w:tc>
        <w:tc>
          <w:tcPr>
            <w:tcW w:type="dxa" w:w="4608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Important: Postcode 81000 is accepted ONLY if address contains 'Indahpura'. Rural Kulai routes to Zone B.</w:t>
            </w:r>
          </w:p>
        </w:tc>
      </w:tr>
      <w:tr>
        <w:tc>
          <w:tcPr>
            <w:tcW w:type="dxa" w:w="2160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5. Masai</w:t>
            </w:r>
          </w:p>
        </w:tc>
        <w:tc>
          <w:tcPr>
            <w:tcW w:type="dxa" w:w="3312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D4ED8"/>
                <w:sz w:val="17"/>
              </w:rPr>
              <w:t>81750</w:t>
            </w:r>
          </w:p>
        </w:tc>
        <w:tc>
          <w:tcPr>
            <w:tcW w:type="dxa" w:w="4608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Verified via Postcode.my. Fully included in Zone A.</w:t>
            </w:r>
          </w:p>
        </w:tc>
      </w:tr>
      <w:tr>
        <w:tc>
          <w:tcPr>
            <w:tcW w:type="dxa" w:w="2160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6. Senai</w:t>
            </w:r>
          </w:p>
        </w:tc>
        <w:tc>
          <w:tcPr>
            <w:tcW w:type="dxa" w:w="3312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D4ED8"/>
                <w:sz w:val="17"/>
              </w:rPr>
              <w:t>81400</w:t>
            </w:r>
          </w:p>
        </w:tc>
        <w:tc>
          <w:tcPr>
            <w:tcW w:type="dxa" w:w="4608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Verified via Postcode.my. Covers Senai industrial and residential areas.</w:t>
            </w:r>
          </w:p>
        </w:tc>
      </w:tr>
      <w:tr>
        <w:tc>
          <w:tcPr>
            <w:tcW w:type="dxa" w:w="2160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7. Skudai</w:t>
            </w:r>
          </w:p>
        </w:tc>
        <w:tc>
          <w:tcPr>
            <w:tcW w:type="dxa" w:w="3312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D4ED8"/>
                <w:sz w:val="17"/>
              </w:rPr>
              <w:t>81300, 81310</w:t>
            </w:r>
          </w:p>
        </w:tc>
        <w:tc>
          <w:tcPr>
            <w:tcW w:type="dxa" w:w="4608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Verified. Includes postcode 81300 and Skudai Central / UTM.</w:t>
            </w:r>
          </w:p>
        </w:tc>
      </w:tr>
      <w:tr>
        <w:tc>
          <w:tcPr>
            <w:tcW w:type="dxa" w:w="2160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8. Setia Eco Gardens</w:t>
            </w:r>
          </w:p>
        </w:tc>
        <w:tc>
          <w:tcPr>
            <w:tcW w:type="dxa" w:w="3312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D4ED8"/>
                <w:sz w:val="17"/>
              </w:rPr>
              <w:t>81550</w:t>
            </w:r>
          </w:p>
        </w:tc>
        <w:tc>
          <w:tcPr>
            <w:tcW w:type="dxa" w:w="4608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Verified. Located in the Gelang Patah postal corridor under 81550.</w:t>
            </w:r>
          </w:p>
        </w:tc>
      </w:tr>
      <w:tr>
        <w:tc>
          <w:tcPr>
            <w:tcW w:type="dxa" w:w="2160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9. Mount Austin</w:t>
            </w:r>
          </w:p>
        </w:tc>
        <w:tc>
          <w:tcPr>
            <w:tcW w:type="dxa" w:w="3312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D4ED8"/>
                <w:sz w:val="17"/>
              </w:rPr>
              <w:t>81100</w:t>
            </w:r>
          </w:p>
        </w:tc>
        <w:tc>
          <w:tcPr>
            <w:tcW w:type="dxa" w:w="4608"/>
            <w:shd w:fill="F8FAFC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Verified via Postcode.my. Covers Austin Heights and surrounding commercial zone.</w:t>
            </w:r>
          </w:p>
        </w:tc>
      </w:tr>
      <w:tr>
        <w:tc>
          <w:tcPr>
            <w:tcW w:type="dxa" w:w="2160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10. ICQ Area / Nusajaya Corridor</w:t>
            </w:r>
          </w:p>
        </w:tc>
        <w:tc>
          <w:tcPr>
            <w:tcW w:type="dxa" w:w="3312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D4ED8"/>
                <w:sz w:val="17"/>
              </w:rPr>
              <w:t>79200, 79250</w:t>
            </w:r>
          </w:p>
        </w:tc>
        <w:tc>
          <w:tcPr>
            <w:tcW w:type="dxa" w:w="4608"/>
            <w:shd w:fill="FFFFFF" w:color="auto" w:val="clea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Verified. Covers Sultan Abu Bakar CIQ Complex and Iskandar Puteri customs border zone.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2"/>
        </w:rPr>
        <w:t>3.1. Delivery Fee Calculation Rules Summary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Zone A Orders: </w:t>
      </w:r>
      <w:r>
        <w:rPr>
          <w:rFonts w:ascii="Calibri" w:hAnsi="Calibri"/>
          <w:color w:val="1E293B"/>
          <w:sz w:val="19"/>
        </w:rPr>
        <w:t>Order Subtotal &gt;= RM 150.00: Delivery fee is completely WAIVED (RM 0.00 Free Delivery).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Zone A Surcharge: </w:t>
      </w:r>
      <w:r>
        <w:rPr>
          <w:rFonts w:ascii="Calibri" w:hAnsi="Calibri"/>
          <w:color w:val="1E293B"/>
          <w:sz w:val="19"/>
        </w:rPr>
        <w:t>Order Subtotal &lt; RM 150.00: Standard cold-chain local delivery surcharge of RM 10.00 is applied automatically at checkout.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Zone B (Outstation): </w:t>
      </w:r>
      <w:r>
        <w:rPr>
          <w:rFonts w:ascii="Calibri" w:hAnsi="Calibri"/>
          <w:color w:val="1E293B"/>
          <w:sz w:val="19"/>
        </w:rPr>
        <w:t>Displays transparently: 'Outstation Transportation Fee — To Be Confirmed'. Customer is billed RM 0 shipping on Stripe, and MST operations coordinates the Styrofoam thermal box and freight quotation via WhatsApp before dispatch.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Self-Collection: </w:t>
      </w:r>
      <w:r>
        <w:rPr>
          <w:rFonts w:ascii="Calibri" w:hAnsi="Calibri"/>
          <w:color w:val="1E293B"/>
          <w:sz w:val="19"/>
        </w:rPr>
        <w:t>RM 0.00 delivery fee. Customer selects preferred pickup date and convenient time window at Counter 2, SILC Industrial Park.</w:t>
      </w:r>
    </w:p>
    <w:p>
      <w:pPr>
        <w:keepNext/>
        <w:spacing w:before="280" w:after="80"/>
      </w:pPr>
      <w:r>
        <w:rPr>
          <w:rFonts w:ascii="Calibri" w:hAnsi="Calibri"/>
          <w:b/>
          <w:color w:val="0F274A"/>
          <w:sz w:val="26"/>
        </w:rPr>
        <w:t>4. Complete Delivery of the 6 Agreed Handover Items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As requested in your message, here is the full itemization and delivery confirmation for all six (6) agreed handover items: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2"/>
        </w:rPr>
        <w:t>4.1. Handover Item 1: Complete Source Code &amp; Git Repository Access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Repository URL: </w:t>
      </w:r>
      <w:r>
        <w:rPr>
          <w:rFonts w:ascii="Calibri" w:hAnsi="Calibri"/>
          <w:color w:val="1E293B"/>
          <w:sz w:val="19"/>
        </w:rPr>
        <w:t>Official Git Remote Repository URL: https://github.com/Abdulrehman2015/seafood.git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Production Branch: </w:t>
      </w:r>
      <w:r>
        <w:rPr>
          <w:rFonts w:ascii="Calibri" w:hAnsi="Calibri"/>
          <w:color w:val="1E293B"/>
          <w:sz w:val="19"/>
        </w:rPr>
        <w:t>Branch: main (Clean, production-ready, fully tested branch with all secrets secured).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Commit History: </w:t>
      </w:r>
      <w:r>
        <w:rPr>
          <w:rFonts w:ascii="Calibri" w:hAnsi="Calibri"/>
          <w:color w:val="1E293B"/>
          <w:sz w:val="19"/>
        </w:rPr>
        <w:t>Includes 40+ atomic git commits tracing every architectural milestone, migration, controller, and security hardening update.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Transfer / Access: </w:t>
      </w:r>
      <w:r>
        <w:rPr>
          <w:rFonts w:ascii="Calibri" w:hAnsi="Calibri"/>
          <w:color w:val="1E293B"/>
          <w:sz w:val="19"/>
        </w:rPr>
        <w:t>Wendy and nominated MST technical staff can provide their GitHub accounts to receive immediate Admin / Owner collaborator access, or MST may fork the repository to an official organization account.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2"/>
        </w:rPr>
        <w:t>4.2. Handover Item 2: Database &amp; Backup / Export Files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Database Engine: </w:t>
      </w:r>
      <w:r>
        <w:rPr>
          <w:rFonts w:ascii="Calibri" w:hAnsi="Calibri"/>
          <w:color w:val="1E293B"/>
          <w:sz w:val="19"/>
        </w:rPr>
        <w:t>MySQL 8.0 relational schema with complete InnoDB relational integrity, foreign keys, and indexes.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1-Click Instant Export: </w:t>
      </w:r>
      <w:r>
        <w:rPr>
          <w:rFonts w:ascii="Calibri" w:hAnsi="Calibri"/>
          <w:color w:val="1E293B"/>
          <w:sz w:val="19"/>
        </w:rPr>
        <w:t>Located at Admin Panel → Store Settings → Database tab (/admin/settings?tab=database). MST administrators can download a full, complete .sql database export file with 1 single click at any time without needing cPanel or terminal access.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Seeders &amp; Schema: </w:t>
      </w:r>
      <w:r>
        <w:rPr>
          <w:rFonts w:ascii="Calibri" w:hAnsi="Calibri"/>
          <w:color w:val="1E293B"/>
          <w:sz w:val="19"/>
        </w:rPr>
        <w:t>All table structures, foreign keys, and default seeded categories, products, and translation strings are permanently preserved in /database/migrations and /database/seeders for automated rebuilds.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2"/>
        </w:rPr>
        <w:t>4.3. Handover Item 3: Administrator Login Credentials &amp; Admin Panel Access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Login URL: </w:t>
      </w:r>
      <w:r>
        <w:rPr>
          <w:rFonts w:ascii="Calibri" w:hAnsi="Calibri"/>
          <w:color w:val="1E293B"/>
          <w:sz w:val="19"/>
        </w:rPr>
        <w:t>Accessible at: https://[your-domain]/admin (or /login).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Superadmin Account: </w:t>
      </w:r>
      <w:r>
        <w:rPr>
          <w:rFonts w:ascii="Calibri" w:hAnsi="Calibri"/>
          <w:color w:val="1E293B"/>
          <w:sz w:val="19"/>
        </w:rPr>
        <w:t>admin@mst.my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Master Password: </w:t>
      </w:r>
      <w:r>
        <w:rPr>
          <w:rFonts w:ascii="Calibri" w:hAnsi="Calibri"/>
          <w:color w:val="1E293B"/>
          <w:sz w:val="19"/>
        </w:rPr>
        <w:t>Pre-configured secure master password (provided securely in the deployment credentials pack). Password can be updated directly from Admin Profile Settings.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Role Permissions: </w:t>
      </w:r>
      <w:r>
        <w:rPr>
          <w:rFonts w:ascii="Calibri" w:hAnsi="Calibri"/>
          <w:color w:val="1E293B"/>
          <w:sz w:val="19"/>
        </w:rPr>
        <w:t>Unrestricted access to Products, Orders, Customers, Delivery Zones, Media Gallery, Translations, Legal Policies, and Database Management.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2"/>
        </w:rPr>
        <w:t>4.4. Handover Item 4: Hosting / Server Access &amp; Deployment Files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Recommended Hosting: </w:t>
      </w:r>
      <w:r>
        <w:rPr>
          <w:rFonts w:ascii="Calibri" w:hAnsi="Calibri"/>
          <w:color w:val="1E293B"/>
          <w:sz w:val="19"/>
        </w:rPr>
        <w:t>Architecture configured for cost-effective deployment on standard cPanel/LiteSpeed or VPS hosting (e.g., Hostinger Business Cloud at ~RM30/mo, DigitalOcean at $6/mo, or Exabytes Malaysia cPanel).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Automated Deployment: </w:t>
      </w:r>
      <w:r>
        <w:rPr>
          <w:rFonts w:ascii="Calibri" w:hAnsi="Calibri"/>
          <w:color w:val="1E293B"/>
          <w:sz w:val="19"/>
        </w:rPr>
        <w:t>Automated GitHub Actions CI/CD workflow (.github/workflows/deploy.yml) pushes committed code directly to the live server via secure FTP/SSH upon pushing to the main branch.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Configuration File: </w:t>
      </w:r>
      <w:r>
        <w:rPr>
          <w:rFonts w:ascii="Calibri" w:hAnsi="Calibri"/>
          <w:color w:val="1E293B"/>
          <w:sz w:val="19"/>
        </w:rPr>
        <w:t>Fully documented .env.example with comprehensive variable descriptors, Stripe webhook endpoint configurations, and encrypted database key mappings.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Server Prerequisites: </w:t>
      </w:r>
      <w:r>
        <w:rPr>
          <w:rFonts w:ascii="Calibri" w:hAnsi="Calibri"/>
          <w:color w:val="1E293B"/>
          <w:sz w:val="19"/>
        </w:rPr>
        <w:t>PHP 8.2 or 8.3 with standard extensions (pdo_mysql, mbstring, openssl, gd, bcmath, curl, zip).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2"/>
        </w:rPr>
        <w:t>4.5. Handover Item 5: Admin &amp; Operations Manual and Technical Documentation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Operations Manual: </w:t>
      </w:r>
      <w:r>
        <w:rPr>
          <w:rFonts w:ascii="Calibri" w:hAnsi="Calibri"/>
          <w:color w:val="1E293B"/>
          <w:sz w:val="19"/>
        </w:rPr>
        <w:t>MST_Website_Admin_Panel_and_Operations_Manual.docx (1.98 MB Word attachment). Fully illustrated step-by-step guide explaining products, 4-tier pricing, translations, order processing, delivery zones, and backups.</w:t>
      </w:r>
    </w:p>
    <w:p>
      <w:pPr>
        <w:pStyle w:val="ListBullet"/>
        <w:spacing w:before="30" w:after="50" w:line="276" w:lineRule="auto"/>
        <w:ind w:left="360"/>
      </w:pPr>
      <w:r>
        <w:rPr>
          <w:rFonts w:ascii="Calibri" w:hAnsi="Calibri"/>
          <w:b/>
          <w:color w:val="0F274A"/>
          <w:sz w:val="19"/>
        </w:rPr>
        <w:t xml:space="preserve">• Repository Documentation: </w:t>
      </w:r>
      <w:r>
        <w:rPr>
          <w:rFonts w:ascii="Calibri" w:hAnsi="Calibri"/>
          <w:color w:val="1E293B"/>
          <w:sz w:val="19"/>
        </w:rPr>
        <w:t>Complete set of architectural markdown specifications maintained in the repository root for permanent technical reference:</w:t>
        <w:br/>
        <w:t xml:space="preserve">  - prd.md: Product Requirements Document &amp; Functional Scope</w:t>
        <w:br/>
        <w:t xml:space="preserve">  - architecture.md: Full System Architecture, Data Flows &amp; Security</w:t>
        <w:br/>
        <w:t xml:space="preserve">  - design.md: Design System, Typography, Colors &amp; Component Tokens</w:t>
        <w:br/>
        <w:t xml:space="preserve">  - rules.md: Development Rules, Coding Standards &amp; Constraints</w:t>
        <w:br/>
        <w:t xml:space="preserve">  - task.md: Task Execution History &amp; Resolution Log</w:t>
        <w:br/>
        <w:t xml:space="preserve">  - memory.md: Repository Knowledge, Edge Cases &amp; Critical Gotchas</w:t>
      </w:r>
    </w:p>
    <w:p>
      <w:pPr>
        <w:keepNext/>
        <w:spacing w:before="280" w:after="80"/>
      </w:pPr>
      <w:r>
        <w:rPr>
          <w:rFonts w:ascii="Calibri" w:hAnsi="Calibri"/>
          <w:b/>
          <w:color w:val="1D4ED8"/>
          <w:sz w:val="22"/>
        </w:rPr>
        <w:t>4.6. Handover Item 6: Confirmation of 30-Day Post-Launch Warranty &amp;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 w:color="auto" w:val="clea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F274A"/>
                <w:sz w:val="20"/>
              </w:rPr>
              <w:t>Official 30-Day Post-Launch Warranty Guarantee</w:t>
              <w:br/>
            </w:r>
            <w:r>
              <w:rPr>
                <w:rFonts w:ascii="Calibri" w:hAnsi="Calibri"/>
                <w:color w:val="1E293B"/>
                <w:sz w:val="19"/>
              </w:rPr>
              <w:t>We hereby formally confirm the 30-Day Post-Launch Warranty for the MST Seafood E-Commerce Platform.</w:t>
              <w:br/>
              <w:br/>
              <w:t>• Commencement Date: The 30-day warranty officially starts immediately upon formal UAT sign-off and live storefront launch.</w:t>
              <w:br/>
              <w:t>• Warranty Coverage:</w:t>
              <w:br/>
              <w:t xml:space="preserve">   1. Rapid Bug Remediation: Immediate resolution of any functional bugs, broken links, or calculation errors within the agreed scope.</w:t>
              <w:br/>
              <w:t xml:space="preserve">   2. Payment Gateway Stability: Monitoring and technical support for Stripe webhook callbacks and payment status synchronizations.</w:t>
              <w:br/>
              <w:t xml:space="preserve">   3. Delivery Zone &amp; Postcode Fine-Tuning: Ongoing calibration of Johor postal routing and cart threshold logic.</w:t>
              <w:br/>
              <w:t xml:space="preserve">   4. Device &amp; Browser Compatibility: Rectification of any unexpected mobile, tablet, or desktop display anomalies.</w:t>
              <w:br/>
              <w:t xml:space="preserve">   5. Administrative Guidance: Answering operational questions from Wendy or MST staff regarding the admin panel.</w:t>
              <w:br/>
              <w:br/>
              <w:t>• Support Response SLA: Critical issues addressed within 4–8 business hours; non-critical queries resolved within 24 hours.</w:t>
              <w:br/>
              <w:t>• Exclusions: Excludes third-party server hosting downtime, domain expiration, or external code modifications by unauthorized parties.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274A"/>
          <w:sz w:val="26"/>
        </w:rPr>
        <w:t>5. Final Acceptance Checklist &amp; Next Steps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To ensure a seamless and completely transparent handover, we welcome your final checks. Here is the consolidated checklist for your convenience before formal sign-off: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1152"/>
            <w:shd w:fill="0F274A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Step #</w:t>
            </w:r>
          </w:p>
        </w:tc>
        <w:tc>
          <w:tcPr>
            <w:tcW w:type="dxa" w:w="5472"/>
            <w:shd w:fill="0F274A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Handover / UAT Check Item</w:t>
            </w:r>
          </w:p>
        </w:tc>
        <w:tc>
          <w:tcPr>
            <w:tcW w:type="dxa" w:w="3456"/>
            <w:shd w:fill="0F274A" w:color="auto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Client Sign-Off Status</w:t>
            </w:r>
          </w:p>
        </w:tc>
      </w:tr>
      <w:tr>
        <w:tc>
          <w:tcPr>
            <w:tcW w:type="dxa" w:w="115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Step 1</w:t>
            </w:r>
          </w:p>
        </w:tc>
        <w:tc>
          <w:tcPr>
            <w:tcW w:type="dxa" w:w="547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Review Admin &amp; Operations Manual Word attachment (MST_Website_Admin_Panel_and_Operations_Manual.docx)</w:t>
            </w:r>
          </w:p>
        </w:tc>
        <w:tc>
          <w:tcPr>
            <w:tcW w:type="dxa" w:w="3456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766E"/>
                <w:sz w:val="17"/>
              </w:rPr>
              <w:t>[  ] Reviewed &amp; Accepted</w:t>
            </w:r>
          </w:p>
        </w:tc>
      </w:tr>
      <w:tr>
        <w:tc>
          <w:tcPr>
            <w:tcW w:type="dxa" w:w="115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Step 2</w:t>
            </w:r>
          </w:p>
        </w:tc>
        <w:tc>
          <w:tcPr>
            <w:tcW w:type="dxa" w:w="547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Verify Zone A delivery rules (RM10 &lt; RM150, Free &gt;= RM150, Indahpura filter, Skudai 81300)</w:t>
            </w:r>
          </w:p>
        </w:tc>
        <w:tc>
          <w:tcPr>
            <w:tcW w:type="dxa" w:w="3456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766E"/>
                <w:sz w:val="17"/>
              </w:rPr>
              <w:t>[  ] Verified &amp; Accepted</w:t>
            </w:r>
          </w:p>
        </w:tc>
      </w:tr>
      <w:tr>
        <w:tc>
          <w:tcPr>
            <w:tcW w:type="dxa" w:w="115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Step 3</w:t>
            </w:r>
          </w:p>
        </w:tc>
        <w:tc>
          <w:tcPr>
            <w:tcW w:type="dxa" w:w="547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Test checkout flow using Stripe restricted test key (test card 4242...)</w:t>
            </w:r>
          </w:p>
        </w:tc>
        <w:tc>
          <w:tcPr>
            <w:tcW w:type="dxa" w:w="3456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766E"/>
                <w:sz w:val="17"/>
              </w:rPr>
              <w:t>[  ] Tested &amp; Accepted</w:t>
            </w:r>
          </w:p>
        </w:tc>
      </w:tr>
      <w:tr>
        <w:tc>
          <w:tcPr>
            <w:tcW w:type="dxa" w:w="115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Step 4</w:t>
            </w:r>
          </w:p>
        </w:tc>
        <w:tc>
          <w:tcPr>
            <w:tcW w:type="dxa" w:w="547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Confirm access to Git Repository (GitHub) and source code branch 'main'</w:t>
            </w:r>
          </w:p>
        </w:tc>
        <w:tc>
          <w:tcPr>
            <w:tcW w:type="dxa" w:w="3456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766E"/>
                <w:sz w:val="17"/>
              </w:rPr>
              <w:t>[  ] Access Confirmed</w:t>
            </w:r>
          </w:p>
        </w:tc>
      </w:tr>
      <w:tr>
        <w:tc>
          <w:tcPr>
            <w:tcW w:type="dxa" w:w="115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Step 5</w:t>
            </w:r>
          </w:p>
        </w:tc>
        <w:tc>
          <w:tcPr>
            <w:tcW w:type="dxa" w:w="5472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Verify 1-click database backup export tool in Admin Panel (/admin/settings?tab=database)</w:t>
            </w:r>
          </w:p>
        </w:tc>
        <w:tc>
          <w:tcPr>
            <w:tcW w:type="dxa" w:w="3456"/>
            <w:shd w:fill="F8FAFC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766E"/>
                <w:sz w:val="17"/>
              </w:rPr>
              <w:t>[  ] Verified &amp; Accepted</w:t>
            </w:r>
          </w:p>
        </w:tc>
      </w:tr>
      <w:tr>
        <w:tc>
          <w:tcPr>
            <w:tcW w:type="dxa" w:w="115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274A"/>
                <w:sz w:val="17"/>
              </w:rPr>
              <w:t>Step 6</w:t>
            </w:r>
          </w:p>
        </w:tc>
        <w:tc>
          <w:tcPr>
            <w:tcW w:type="dxa" w:w="5472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7"/>
              </w:rPr>
              <w:t>Formal Acceptance Sign-Off &amp; Activation of 30-Day Post-Launch Warranty</w:t>
            </w:r>
          </w:p>
        </w:tc>
        <w:tc>
          <w:tcPr>
            <w:tcW w:type="dxa" w:w="3456"/>
            <w:shd w:fill="FFFFFF" w:color="auto" w:val="clea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F766E"/>
                <w:sz w:val="17"/>
              </w:rPr>
              <w:t>[  ] Formally Accepted</w:t>
            </w:r>
          </w:p>
        </w:tc>
      </w:tr>
    </w:tbl>
    <w:p>
      <w:pPr>
        <w:spacing w:after="200"/>
      </w:pPr>
    </w:p>
    <w:p>
      <w:pPr>
        <w:spacing w:before="200" w:after="40" w:line="276" w:lineRule="auto"/>
      </w:pPr>
      <w:r>
        <w:rPr>
          <w:rFonts w:ascii="Calibri" w:hAnsi="Calibri"/>
          <w:color w:val="475569"/>
          <w:sz w:val="19"/>
        </w:rPr>
        <w:t>Sincerely &amp; Professionally,</w:t>
        <w:br/>
        <w:br/>
      </w:r>
      <w:r>
        <w:rPr>
          <w:rFonts w:ascii="Calibri" w:hAnsi="Calibri"/>
          <w:b/>
          <w:color w:val="0F274A"/>
          <w:sz w:val="21"/>
        </w:rPr>
        <w:t>Abdul Rehman</w:t>
        <w:br/>
      </w:r>
      <w:r>
        <w:rPr>
          <w:rFonts w:ascii="Calibri" w:hAnsi="Calibri"/>
          <w:i/>
          <w:color w:val="475569"/>
          <w:sz w:val="18"/>
        </w:rPr>
        <w:t>Lead Full-Stack Developer &amp; Technical Architect</w:t>
        <w:br/>
        <w:t>MST E-Commerce Platform Project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