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Kaarobar Marketplace Analytics</w:t>
      </w:r>
    </w:p>
    <w:p>
      <w:pPr>
        <w:spacing w:after="40"/>
      </w:pPr>
      <w:r>
        <w:rPr>
          <w:color w:val="595959"/>
          <w:sz w:val="24"/>
        </w:rPr>
        <w:t>Where the money leaks: refused deliveries, delivery quality, and checkout conversion</w:t>
      </w:r>
    </w:p>
    <w:p>
      <w:pPr>
        <w:spacing w:after="320"/>
        <w:pBdr>
          <w:bottom w:val="single" w:sz="6" w:space="6" w:color="BFBFBF"/>
        </w:pBdr>
      </w:pPr>
      <w:r>
        <w:rPr>
          <w:color w:val="808080"/>
          <w:sz w:val="20"/>
        </w:rPr>
        <w:t>Abdul Samee   |   21 September 2026   |   SQL Server, T-SQL, Python</w:t>
      </w:r>
    </w:p>
    <w:p>
      <w:pPr>
        <w:pStyle w:val="Heading1"/>
      </w:pPr>
      <w:r>
        <w:t>Executive summary</w:t>
      </w:r>
    </w:p>
    <w:p>
      <w:r>
        <w:t>An online marketplace with 67,801 orders and Rs 460.1M in net revenue over two and a half years was losing roughly one parcel in ten to refusal at the door, and could not measure it. Order data sat across two systems with incompatible formats, duplicate records and test accounts, so no reported number could be defended.</w:t>
      </w:r>
    </w:p>
    <w:p>
      <w:r>
        <w:t>This project rebuilt that data into a tested, reproducible pipeline, then answered three questions the business could not previously ask.</w:t>
      </w:r>
    </w:p>
    <w:p>
      <w:pPr>
        <w:pStyle w:val="ListBullet"/>
      </w:pPr>
      <w:r>
        <w:t>Refused parcels cost Rs 63.4M of shipped goods and about Rs 2.7M of wasted freight. 94% of refusals were cash on delivery.</w:t>
      </w:r>
    </w:p>
    <w:p>
      <w:pPr>
        <w:pStyle w:val="ListBullet"/>
      </w:pPr>
      <w:r>
        <w:t>The loss is concentrated: a new customer paying cash for an order above Rs 15,000 refuses 24.34% of the time, against 1.08% for prepaid.</w:t>
      </w:r>
    </w:p>
    <w:p>
      <w:pPr>
        <w:pStyle w:val="ListBullet"/>
      </w:pPr>
      <w:r>
        <w:t>A late first delivery cuts the 90-day repeat rate from 55.44% to 28.90%, making delivery a retention driver rather than only an operations cost.</w:t>
      </w:r>
    </w:p>
    <w:p>
      <w:pPr>
        <w:pStyle w:val="ListBullet"/>
      </w:pPr>
      <w:r>
        <w:t>The redesigned checkout lifted conversion 4.54 points, but the entire gain is on mobile. Desktop moved 0.16 points, which is indistinguishable from nothing.</w:t>
      </w:r>
    </w:p>
    <w:p>
      <w:r>
        <w:t>The dataset is synthetic, generated to reproduce the defects and patterns of a real marketplace. The findings demonstrate the method rather than describe a real company.</w:t>
      </w:r>
    </w:p>
    <w:p>
      <w:pPr>
        <w:pStyle w:val="Heading1"/>
      </w:pPr>
      <w:r>
        <w:t>The problem</w:t>
      </w:r>
    </w:p>
    <w:p>
      <w:pPr>
        <w:pStyle w:val="Heading2"/>
      </w:pPr>
      <w:r>
        <w:t>The business problem</w:t>
      </w:r>
    </w:p>
    <w:p>
      <w:r>
        <w:t>Two kinds of loss were suspected but never quantified. Parcels were being refused at the door, which costs freight in both directions and earns nothing, and customers were not coming back, with no agreed explanation of why.</w:t>
      </w:r>
    </w:p>
    <w:p>
      <w:pPr>
        <w:pStyle w:val="Heading2"/>
      </w:pPr>
      <w:r>
        <w:t>The problem underneath it</w:t>
      </w:r>
    </w:p>
    <w:p>
      <w:r>
        <w:t>Neither question could be answered, because the data could not be trusted. The order system migrated on 1 January 2025, leaving two date formats in one column. Shipping fees were stored as text such as Rs. 150. One city appeared under 59 different spellings. Customers held duplicate accounts under the same email, and quality-assurance test orders sat inside production data.</w:t>
      </w:r>
    </w:p>
    <w:p>
      <w:r>
        <w:t>Any query written against that returned a number nobody could defend, so reporting was not acted on. Fixing it was the first deliverable.</w:t>
      </w:r>
    </w:p>
    <w:p>
      <w:pPr>
        <w:pStyle w:val="Heading1"/>
      </w:pPr>
      <w:r>
        <w:t>What was built</w:t>
      </w:r>
    </w:p>
    <w:p>
      <w:r>
        <w:t>A layered pipeline in T-SQL on SQL Server, driven from Python, that rebuilds the entire database from the source files in about a minute.</w:t>
      </w:r>
    </w:p>
    <w:tbl>
      <w:tblPr>
        <w:tblStyle w:val="TableGrid"/>
        <w:tblW w:type="auto" w:w="0"/>
        <w:jc w:val="left"/>
        <w:tblLayout w:type="fixed"/>
        <w:tblLook w:firstColumn="1" w:firstRow="1" w:lastColumn="0" w:lastRow="0" w:noHBand="0" w:noVBand="1" w:val="04A0"/>
      </w:tblPr>
      <w:tblGrid>
        <w:gridCol w:w="4680"/>
        <w:gridCol w:w="4680"/>
      </w:tblGrid>
      <w:tr>
        <w:tc>
          <w:tcPr>
            <w:tcW w:type="dxa" w:w="1728"/>
            <w:shd w:val="clear" w:color="auto" w:fill="EDF1F7"/>
          </w:tcPr>
          <w:p>
            <w:pPr>
              <w:jc w:val="left"/>
            </w:pPr>
            <w:r/>
            <w:r>
              <w:rPr>
                <w:b/>
                <w:sz w:val="20"/>
              </w:rPr>
              <w:t>Stage</w:t>
            </w:r>
          </w:p>
        </w:tc>
        <w:tc>
          <w:tcPr>
            <w:tcW w:type="dxa" w:w="7632"/>
            <w:shd w:val="clear" w:color="auto" w:fill="EDF1F7"/>
          </w:tcPr>
          <w:p>
            <w:pPr>
              <w:jc w:val="right"/>
            </w:pPr>
            <w:r/>
            <w:r>
              <w:rPr>
                <w:b/>
                <w:sz w:val="20"/>
              </w:rPr>
              <w:t>What it does</w:t>
            </w:r>
          </w:p>
        </w:tc>
      </w:tr>
      <w:tr>
        <w:tc>
          <w:tcPr>
            <w:tcW w:type="dxa" w:w="1728"/>
          </w:tcPr>
          <w:p>
            <w:pPr>
              <w:jc w:val="left"/>
            </w:pPr>
            <w:r/>
            <w:r>
              <w:rPr>
                <w:sz w:val="20"/>
              </w:rPr>
              <w:t>raw</w:t>
            </w:r>
          </w:p>
        </w:tc>
        <w:tc>
          <w:tcPr>
            <w:tcW w:type="dxa" w:w="7632"/>
          </w:tcPr>
          <w:p>
            <w:pPr>
              <w:jc w:val="right"/>
            </w:pPr>
            <w:r/>
            <w:r>
              <w:rPr>
                <w:sz w:val="20"/>
              </w:rPr>
              <w:t>Seven source files loaded exactly as received, every column as text so nothing is rejected on the way in</w:t>
            </w:r>
          </w:p>
        </w:tc>
      </w:tr>
      <w:tr>
        <w:tc>
          <w:tcPr>
            <w:tcW w:type="dxa" w:w="1728"/>
          </w:tcPr>
          <w:p>
            <w:pPr>
              <w:jc w:val="left"/>
            </w:pPr>
            <w:r/>
            <w:r>
              <w:rPr>
                <w:sz w:val="20"/>
              </w:rPr>
              <w:t>profile</w:t>
            </w:r>
          </w:p>
        </w:tc>
        <w:tc>
          <w:tcPr>
            <w:tcW w:type="dxa" w:w="7632"/>
          </w:tcPr>
          <w:p>
            <w:pPr>
              <w:jc w:val="right"/>
            </w:pPr>
            <w:r/>
            <w:r>
              <w:rPr>
                <w:sz w:val="20"/>
              </w:rPr>
              <w:t>Counts every defect before anything is changed, producing a data quality scorecard</w:t>
            </w:r>
          </w:p>
        </w:tc>
      </w:tr>
      <w:tr>
        <w:tc>
          <w:tcPr>
            <w:tcW w:type="dxa" w:w="1728"/>
          </w:tcPr>
          <w:p>
            <w:pPr>
              <w:jc w:val="left"/>
            </w:pPr>
            <w:r/>
            <w:r>
              <w:rPr>
                <w:sz w:val="20"/>
              </w:rPr>
              <w:t>clean</w:t>
            </w:r>
          </w:p>
        </w:tc>
        <w:tc>
          <w:tcPr>
            <w:tcW w:type="dxa" w:w="7632"/>
          </w:tcPr>
          <w:p>
            <w:pPr>
              <w:jc w:val="right"/>
            </w:pPr>
            <w:r/>
            <w:r>
              <w:rPr>
                <w:sz w:val="20"/>
              </w:rPr>
              <w:t>Applies one written rule per defect: date parsing, a city lookup table, account merges, price corrections</w:t>
            </w:r>
          </w:p>
        </w:tc>
      </w:tr>
      <w:tr>
        <w:tc>
          <w:tcPr>
            <w:tcW w:type="dxa" w:w="1728"/>
          </w:tcPr>
          <w:p>
            <w:pPr>
              <w:jc w:val="left"/>
            </w:pPr>
            <w:r/>
            <w:r>
              <w:rPr>
                <w:sz w:val="20"/>
              </w:rPr>
              <w:t>mart</w:t>
            </w:r>
          </w:p>
        </w:tc>
        <w:tc>
          <w:tcPr>
            <w:tcW w:type="dxa" w:w="7632"/>
          </w:tcPr>
          <w:p>
            <w:pPr>
              <w:jc w:val="right"/>
            </w:pPr>
            <w:r/>
            <w:r>
              <w:rPr>
                <w:sz w:val="20"/>
              </w:rPr>
              <w:t>A fact table at one row per order, and a customer dimension at one row per customer</w:t>
            </w:r>
          </w:p>
        </w:tc>
      </w:tr>
      <w:tr>
        <w:tc>
          <w:tcPr>
            <w:tcW w:type="dxa" w:w="1728"/>
          </w:tcPr>
          <w:p>
            <w:pPr>
              <w:jc w:val="left"/>
            </w:pPr>
            <w:r/>
            <w:r>
              <w:rPr>
                <w:sz w:val="20"/>
              </w:rPr>
              <w:t>analysis</w:t>
            </w:r>
          </w:p>
        </w:tc>
        <w:tc>
          <w:tcPr>
            <w:tcW w:type="dxa" w:w="7632"/>
          </w:tcPr>
          <w:p>
            <w:pPr>
              <w:jc w:val="right"/>
            </w:pPr>
            <w:r/>
            <w:r>
              <w:rPr>
                <w:sz w:val="20"/>
              </w:rPr>
              <w:t>Nineteen views, each answering one business question</w:t>
            </w:r>
          </w:p>
        </w:tc>
      </w:tr>
      <w:tr>
        <w:tc>
          <w:tcPr>
            <w:tcW w:type="dxa" w:w="1728"/>
          </w:tcPr>
          <w:p>
            <w:pPr>
              <w:jc w:val="left"/>
            </w:pPr>
            <w:r/>
            <w:r>
              <w:rPr>
                <w:sz w:val="20"/>
              </w:rPr>
              <w:t>checks</w:t>
            </w:r>
          </w:p>
        </w:tc>
        <w:tc>
          <w:tcPr>
            <w:tcW w:type="dxa" w:w="7632"/>
          </w:tcPr>
          <w:p>
            <w:pPr>
              <w:jc w:val="right"/>
            </w:pPr>
            <w:r/>
            <w:r>
              <w:rPr>
                <w:sz w:val="20"/>
              </w:rPr>
              <w:t>Eighteen automated tests that run on every build and fail loudly</w:t>
            </w:r>
          </w:p>
        </w:tc>
      </w:tr>
    </w:tbl>
    <w:p/>
    <w:p>
      <w:r>
        <w:t>Defects corrected included 272 duplicate order rows from an ingestion retry, 540 duplicate customer accounts merged into the earliest account with 282 orders re-attributed, 546 blank shipping cities filled from the customer record, 59 city spellings mapped to 16 cities, 18,203 legacy-format timestamps parsed, 266 prices with an extra zero divided back and flagged, and 45 test orders excluded.</w:t>
      </w:r>
    </w:p>
    <w:p>
      <w:r>
        <w:t>Sixteen of the eighteen quality checks must pass for the build to succeed. The other two are warnings, because the condition they describe is real business messiness rather than a defect. Deleting every output and rebuilding from the source files reproduces every figure in this report exactly.</w:t>
      </w:r>
    </w:p>
    <w:p>
      <w:pPr>
        <w:pStyle w:val="Heading1"/>
      </w:pPr>
      <w:r>
        <w:t>What was found</w:t>
      </w:r>
    </w:p>
    <w:p>
      <w:pPr>
        <w:pStyle w:val="Heading2"/>
      </w:pPr>
      <w:r>
        <w:t>1. Refusal is a cash-on-delivery problem, and a narrow one</w:t>
      </w:r>
    </w:p>
    <w:p>
      <w:r>
        <w:t>Cash on delivery accounts for 61.5% of orders and 94% of refusals. Splitting by customer history and order value shows the loss is not spread evenly.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4608"/>
            <w:shd w:val="clear" w:color="auto" w:fill="EDF1F7"/>
          </w:tcPr>
          <w:p>
            <w:pPr>
              <w:jc w:val="left"/>
            </w:pPr>
            <w:r/>
            <w:r>
              <w:rPr>
                <w:b/>
                <w:sz w:val="20"/>
              </w:rPr>
              <w:t>Segment</w:t>
            </w:r>
          </w:p>
        </w:tc>
        <w:tc>
          <w:tcPr>
            <w:tcW w:type="dxa" w:w="2304"/>
            <w:shd w:val="clear" w:color="auto" w:fill="EDF1F7"/>
          </w:tcPr>
          <w:p>
            <w:pPr>
              <w:jc w:val="right"/>
            </w:pPr>
            <w:r/>
            <w:r>
              <w:rPr>
                <w:b/>
                <w:sz w:val="20"/>
              </w:rPr>
              <w:t>Shipped orders</w:t>
            </w:r>
          </w:p>
        </w:tc>
        <w:tc>
          <w:tcPr>
            <w:tcW w:type="dxa" w:w="2448"/>
            <w:shd w:val="clear" w:color="auto" w:fill="EDF1F7"/>
          </w:tcPr>
          <w:p>
            <w:pPr>
              <w:jc w:val="right"/>
            </w:pPr>
            <w:r/>
            <w:r>
              <w:rPr>
                <w:b/>
                <w:sz w:val="20"/>
              </w:rPr>
              <w:t>Refusal rate</w:t>
            </w:r>
          </w:p>
        </w:tc>
      </w:tr>
      <w:tr>
        <w:tc>
          <w:tcPr>
            <w:tcW w:type="dxa" w:w="4608"/>
          </w:tcPr>
          <w:p>
            <w:pPr>
              <w:jc w:val="left"/>
            </w:pPr>
            <w:r/>
            <w:r>
              <w:rPr>
                <w:sz w:val="20"/>
              </w:rPr>
              <w:t>Cash, first order, above Rs 15,000</w:t>
            </w:r>
          </w:p>
        </w:tc>
        <w:tc>
          <w:tcPr>
            <w:tcW w:type="dxa" w:w="2304"/>
          </w:tcPr>
          <w:p>
            <w:pPr>
              <w:jc w:val="right"/>
            </w:pPr>
            <w:r/>
            <w:r>
              <w:rPr>
                <w:sz w:val="20"/>
              </w:rPr>
              <w:t>1,964</w:t>
            </w:r>
          </w:p>
        </w:tc>
        <w:tc>
          <w:tcPr>
            <w:tcW w:type="dxa" w:w="2448"/>
          </w:tcPr>
          <w:p>
            <w:pPr>
              <w:jc w:val="right"/>
            </w:pPr>
            <w:r/>
            <w:r>
              <w:rPr>
                <w:sz w:val="20"/>
              </w:rPr>
              <w:t>24.34%</w:t>
            </w:r>
          </w:p>
        </w:tc>
      </w:tr>
      <w:tr>
        <w:tc>
          <w:tcPr>
            <w:tcW w:type="dxa" w:w="4608"/>
          </w:tcPr>
          <w:p>
            <w:pPr>
              <w:jc w:val="left"/>
            </w:pPr>
            <w:r/>
            <w:r>
              <w:rPr>
                <w:sz w:val="20"/>
              </w:rPr>
              <w:t>Cash, first order, Rs 15,000 or less</w:t>
            </w:r>
          </w:p>
        </w:tc>
        <w:tc>
          <w:tcPr>
            <w:tcW w:type="dxa" w:w="2304"/>
          </w:tcPr>
          <w:p>
            <w:pPr>
              <w:jc w:val="right"/>
            </w:pPr>
            <w:r/>
            <w:r>
              <w:rPr>
                <w:sz w:val="20"/>
              </w:rPr>
              <w:t>17,242</w:t>
            </w:r>
          </w:p>
        </w:tc>
        <w:tc>
          <w:tcPr>
            <w:tcW w:type="dxa" w:w="2448"/>
          </w:tcPr>
          <w:p>
            <w:pPr>
              <w:jc w:val="right"/>
            </w:pPr>
            <w:r/>
            <w:r>
              <w:rPr>
                <w:sz w:val="20"/>
              </w:rPr>
              <w:t>19.18%</w:t>
            </w:r>
          </w:p>
        </w:tc>
      </w:tr>
      <w:tr>
        <w:tc>
          <w:tcPr>
            <w:tcW w:type="dxa" w:w="4608"/>
          </w:tcPr>
          <w:p>
            <w:pPr>
              <w:jc w:val="left"/>
            </w:pPr>
            <w:r/>
            <w:r>
              <w:rPr>
                <w:sz w:val="20"/>
              </w:rPr>
              <w:t>Cash, repeat order, above Rs 15,000</w:t>
            </w:r>
          </w:p>
        </w:tc>
        <w:tc>
          <w:tcPr>
            <w:tcW w:type="dxa" w:w="2304"/>
          </w:tcPr>
          <w:p>
            <w:pPr>
              <w:jc w:val="right"/>
            </w:pPr>
            <w:r/>
            <w:r>
              <w:rPr>
                <w:sz w:val="20"/>
              </w:rPr>
              <w:t>2,270</w:t>
            </w:r>
          </w:p>
        </w:tc>
        <w:tc>
          <w:tcPr>
            <w:tcW w:type="dxa" w:w="2448"/>
          </w:tcPr>
          <w:p>
            <w:pPr>
              <w:jc w:val="right"/>
            </w:pPr>
            <w:r/>
            <w:r>
              <w:rPr>
                <w:sz w:val="20"/>
              </w:rPr>
              <w:t>16.65%</w:t>
            </w:r>
          </w:p>
        </w:tc>
      </w:tr>
      <w:tr>
        <w:tc>
          <w:tcPr>
            <w:tcW w:type="dxa" w:w="4608"/>
          </w:tcPr>
          <w:p>
            <w:pPr>
              <w:jc w:val="left"/>
            </w:pPr>
            <w:r/>
            <w:r>
              <w:rPr>
                <w:sz w:val="20"/>
              </w:rPr>
              <w:t>Cash, repeat order, Rs 15,000 or less</w:t>
            </w:r>
          </w:p>
        </w:tc>
        <w:tc>
          <w:tcPr>
            <w:tcW w:type="dxa" w:w="2304"/>
          </w:tcPr>
          <w:p>
            <w:pPr>
              <w:jc w:val="right"/>
            </w:pPr>
            <w:r/>
            <w:r>
              <w:rPr>
                <w:sz w:val="20"/>
              </w:rPr>
              <w:t>17,749</w:t>
            </w:r>
          </w:p>
        </w:tc>
        <w:tc>
          <w:tcPr>
            <w:tcW w:type="dxa" w:w="2448"/>
          </w:tcPr>
          <w:p>
            <w:pPr>
              <w:jc w:val="right"/>
            </w:pPr>
            <w:r/>
            <w:r>
              <w:rPr>
                <w:sz w:val="20"/>
              </w:rPr>
              <w:t>10.60%</w:t>
            </w:r>
          </w:p>
        </w:tc>
      </w:tr>
      <w:tr>
        <w:tc>
          <w:tcPr>
            <w:tcW w:type="dxa" w:w="4608"/>
          </w:tcPr>
          <w:p>
            <w:pPr>
              <w:jc w:val="left"/>
            </w:pPr>
            <w:r/>
            <w:r>
              <w:rPr>
                <w:sz w:val="20"/>
              </w:rPr>
              <w:t>Prepaid, any segment</w:t>
            </w:r>
          </w:p>
        </w:tc>
        <w:tc>
          <w:tcPr>
            <w:tcW w:type="dxa" w:w="2304"/>
          </w:tcPr>
          <w:p>
            <w:pPr>
              <w:jc w:val="right"/>
            </w:pPr>
            <w:r/>
            <w:r>
              <w:rPr>
                <w:sz w:val="20"/>
              </w:rPr>
              <w:t>25,221</w:t>
            </w:r>
          </w:p>
        </w:tc>
        <w:tc>
          <w:tcPr>
            <w:tcW w:type="dxa" w:w="2448"/>
          </w:tcPr>
          <w:p>
            <w:pPr>
              <w:jc w:val="right"/>
            </w:pPr>
            <w:r/>
            <w:r>
              <w:rPr>
                <w:sz w:val="20"/>
              </w:rPr>
              <w:t>1.08% to 1.82%</w:t>
            </w:r>
          </w:p>
        </w:tc>
      </w:tr>
    </w:tbl>
    <w:p/>
    <w:p>
      <w:r>
        <w:t>By city tier the pattern widens: cash refusal runs 14.25% in tier 1, 15.32% in tier 2 and 18.69% in tier 3, while prepaid stays between 1.33% and 1.89% everywhere.</w:t>
      </w:r>
    </w:p>
    <w:p>
      <w:pPr>
        <w:pStyle w:val="Heading2"/>
      </w:pPr>
      <w:r>
        <w:t>2. A bad first delivery costs the customer</w:t>
      </w:r>
    </w:p>
    <w:p>
      <w:r>
        <w:t>Customers were grouped by how their very first order ended, then measured on whether they ordered again within 90 days.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744"/>
            <w:shd w:val="clear" w:color="auto" w:fill="EDF1F7"/>
          </w:tcPr>
          <w:p>
            <w:pPr>
              <w:jc w:val="left"/>
            </w:pPr>
            <w:r/>
            <w:r>
              <w:rPr>
                <w:b/>
                <w:sz w:val="20"/>
              </w:rPr>
              <w:t>First order outcome</w:t>
            </w:r>
          </w:p>
        </w:tc>
        <w:tc>
          <w:tcPr>
            <w:tcW w:type="dxa" w:w="2304"/>
            <w:shd w:val="clear" w:color="auto" w:fill="EDF1F7"/>
          </w:tcPr>
          <w:p>
            <w:pPr>
              <w:jc w:val="right"/>
            </w:pPr>
            <w:r/>
            <w:r>
              <w:rPr>
                <w:b/>
                <w:sz w:val="20"/>
              </w:rPr>
              <w:t>Customers</w:t>
            </w:r>
          </w:p>
        </w:tc>
        <w:tc>
          <w:tcPr>
            <w:tcW w:type="dxa" w:w="3312"/>
            <w:shd w:val="clear" w:color="auto" w:fill="EDF1F7"/>
          </w:tcPr>
          <w:p>
            <w:pPr>
              <w:jc w:val="right"/>
            </w:pPr>
            <w:r/>
            <w:r>
              <w:rPr>
                <w:b/>
                <w:sz w:val="20"/>
              </w:rPr>
              <w:t>Ordered again within 90 days</w:t>
            </w:r>
          </w:p>
        </w:tc>
      </w:tr>
      <w:tr>
        <w:tc>
          <w:tcPr>
            <w:tcW w:type="dxa" w:w="3744"/>
          </w:tcPr>
          <w:p>
            <w:pPr>
              <w:jc w:val="left"/>
            </w:pPr>
            <w:r/>
            <w:r>
              <w:rPr>
                <w:sz w:val="20"/>
              </w:rPr>
              <w:t>Delivered on time</w:t>
            </w:r>
          </w:p>
        </w:tc>
        <w:tc>
          <w:tcPr>
            <w:tcW w:type="dxa" w:w="2304"/>
          </w:tcPr>
          <w:p>
            <w:pPr>
              <w:jc w:val="right"/>
            </w:pPr>
            <w:r/>
            <w:r>
              <w:rPr>
                <w:sz w:val="20"/>
              </w:rPr>
              <w:t>16,912</w:t>
            </w:r>
          </w:p>
        </w:tc>
        <w:tc>
          <w:tcPr>
            <w:tcW w:type="dxa" w:w="3312"/>
          </w:tcPr>
          <w:p>
            <w:pPr>
              <w:jc w:val="right"/>
            </w:pPr>
            <w:r/>
            <w:r>
              <w:rPr>
                <w:sz w:val="20"/>
              </w:rPr>
              <w:t>55.44%</w:t>
            </w:r>
          </w:p>
        </w:tc>
      </w:tr>
      <w:tr>
        <w:tc>
          <w:tcPr>
            <w:tcW w:type="dxa" w:w="3744"/>
          </w:tcPr>
          <w:p>
            <w:pPr>
              <w:jc w:val="left"/>
            </w:pPr>
            <w:r/>
            <w:r>
              <w:rPr>
                <w:sz w:val="20"/>
              </w:rPr>
              <w:t>Cancelled</w:t>
            </w:r>
          </w:p>
        </w:tc>
        <w:tc>
          <w:tcPr>
            <w:tcW w:type="dxa" w:w="2304"/>
          </w:tcPr>
          <w:p>
            <w:pPr>
              <w:jc w:val="right"/>
            </w:pPr>
            <w:r/>
            <w:r>
              <w:rPr>
                <w:sz w:val="20"/>
              </w:rPr>
              <w:t>1,215</w:t>
            </w:r>
          </w:p>
        </w:tc>
        <w:tc>
          <w:tcPr>
            <w:tcW w:type="dxa" w:w="3312"/>
          </w:tcPr>
          <w:p>
            <w:pPr>
              <w:jc w:val="right"/>
            </w:pPr>
            <w:r/>
            <w:r>
              <w:rPr>
                <w:sz w:val="20"/>
              </w:rPr>
              <w:t>50.21%</w:t>
            </w:r>
          </w:p>
        </w:tc>
      </w:tr>
      <w:tr>
        <w:tc>
          <w:tcPr>
            <w:tcW w:type="dxa" w:w="3744"/>
          </w:tcPr>
          <w:p>
            <w:pPr>
              <w:jc w:val="left"/>
            </w:pPr>
            <w:r/>
            <w:r>
              <w:rPr>
                <w:sz w:val="20"/>
              </w:rPr>
              <w:t>Delivered late</w:t>
            </w:r>
          </w:p>
        </w:tc>
        <w:tc>
          <w:tcPr>
            <w:tcW w:type="dxa" w:w="2304"/>
          </w:tcPr>
          <w:p>
            <w:pPr>
              <w:jc w:val="right"/>
            </w:pPr>
            <w:r/>
            <w:r>
              <w:rPr>
                <w:sz w:val="20"/>
              </w:rPr>
              <w:t>5,177</w:t>
            </w:r>
          </w:p>
        </w:tc>
        <w:tc>
          <w:tcPr>
            <w:tcW w:type="dxa" w:w="3312"/>
          </w:tcPr>
          <w:p>
            <w:pPr>
              <w:jc w:val="right"/>
            </w:pPr>
            <w:r/>
            <w:r>
              <w:rPr>
                <w:sz w:val="20"/>
              </w:rPr>
              <w:t>28.90%</w:t>
            </w:r>
          </w:p>
        </w:tc>
      </w:tr>
      <w:tr>
        <w:tc>
          <w:tcPr>
            <w:tcW w:type="dxa" w:w="3744"/>
          </w:tcPr>
          <w:p>
            <w:pPr>
              <w:jc w:val="left"/>
            </w:pPr>
            <w:r/>
            <w:r>
              <w:rPr>
                <w:sz w:val="20"/>
              </w:rPr>
              <w:t>Refused at the door</w:t>
            </w:r>
          </w:p>
        </w:tc>
        <w:tc>
          <w:tcPr>
            <w:tcW w:type="dxa" w:w="2304"/>
          </w:tcPr>
          <w:p>
            <w:pPr>
              <w:jc w:val="right"/>
            </w:pPr>
            <w:r/>
            <w:r>
              <w:rPr>
                <w:sz w:val="20"/>
              </w:rPr>
              <w:t>3,422</w:t>
            </w:r>
          </w:p>
        </w:tc>
        <w:tc>
          <w:tcPr>
            <w:tcW w:type="dxa" w:w="3312"/>
          </w:tcPr>
          <w:p>
            <w:pPr>
              <w:jc w:val="right"/>
            </w:pPr>
            <w:r/>
            <w:r>
              <w:rPr>
                <w:sz w:val="20"/>
              </w:rPr>
              <w:t>24.58%</w:t>
            </w:r>
          </w:p>
        </w:tc>
      </w:tr>
    </w:tbl>
    <w:p/>
    <w:p>
      <w:r>
        <w:t>A late first delivery is associated with roughly half the repeat rate of an on-time one. A cancelled first order does less damage than a late one: customers forgive an order that never arrives more readily than one that arrives badly.</w:t>
      </w:r>
    </w:p>
    <w:p>
      <w:pPr>
        <w:pStyle w:val="Heading2"/>
      </w:pPr>
      <w:r>
        <w:t>3. The checkout redesign works on mobile only</w:t>
      </w:r>
    </w:p>
    <w:p>
      <w:r>
        <w:t>Conversion was compared with a two-proportion z-test at 95% confidence, after removing 1,261 sessions shorter than three seconds as automated traffic. A chi-square check confirmed the 50/50 split held, at 48,595 sessions against 48,463.</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EDF1F7"/>
          </w:tcPr>
          <w:p>
            <w:pPr>
              <w:jc w:val="left"/>
            </w:pPr>
            <w:r/>
            <w:r>
              <w:rPr>
                <w:b/>
                <w:sz w:val="20"/>
              </w:rPr>
              <w:t>Segment</w:t>
            </w:r>
          </w:p>
        </w:tc>
        <w:tc>
          <w:tcPr>
            <w:tcW w:type="dxa" w:w="1728"/>
            <w:shd w:val="clear" w:color="auto" w:fill="EDF1F7"/>
          </w:tcPr>
          <w:p>
            <w:pPr>
              <w:jc w:val="right"/>
            </w:pPr>
            <w:r/>
            <w:r>
              <w:rPr>
                <w:b/>
                <w:sz w:val="20"/>
              </w:rPr>
              <w:t>Control</w:t>
            </w:r>
          </w:p>
        </w:tc>
        <w:tc>
          <w:tcPr>
            <w:tcW w:type="dxa" w:w="1872"/>
            <w:shd w:val="clear" w:color="auto" w:fill="EDF1F7"/>
          </w:tcPr>
          <w:p>
            <w:pPr>
              <w:jc w:val="right"/>
            </w:pPr>
            <w:r/>
            <w:r>
              <w:rPr>
                <w:b/>
                <w:sz w:val="20"/>
              </w:rPr>
              <w:t>Treatment</w:t>
            </w:r>
          </w:p>
        </w:tc>
        <w:tc>
          <w:tcPr>
            <w:tcW w:type="dxa" w:w="1728"/>
            <w:shd w:val="clear" w:color="auto" w:fill="EDF1F7"/>
          </w:tcPr>
          <w:p>
            <w:pPr>
              <w:jc w:val="right"/>
            </w:pPr>
            <w:r/>
            <w:r>
              <w:rPr>
                <w:b/>
                <w:sz w:val="20"/>
              </w:rPr>
              <w:t>Lift</w:t>
            </w:r>
          </w:p>
        </w:tc>
        <w:tc>
          <w:tcPr>
            <w:tcW w:type="dxa" w:w="1872"/>
            <w:shd w:val="clear" w:color="auto" w:fill="EDF1F7"/>
          </w:tcPr>
          <w:p>
            <w:pPr>
              <w:jc w:val="right"/>
            </w:pPr>
            <w:r/>
            <w:r>
              <w:rPr>
                <w:b/>
                <w:sz w:val="20"/>
              </w:rPr>
              <w:t>95% interval</w:t>
            </w:r>
          </w:p>
        </w:tc>
      </w:tr>
      <w:tr>
        <w:tc>
          <w:tcPr>
            <w:tcW w:type="dxa" w:w="2160"/>
          </w:tcPr>
          <w:p>
            <w:pPr>
              <w:jc w:val="left"/>
            </w:pPr>
            <w:r/>
            <w:r>
              <w:rPr>
                <w:sz w:val="20"/>
              </w:rPr>
              <w:t>All devices</w:t>
            </w:r>
          </w:p>
        </w:tc>
        <w:tc>
          <w:tcPr>
            <w:tcW w:type="dxa" w:w="1728"/>
          </w:tcPr>
          <w:p>
            <w:pPr>
              <w:jc w:val="right"/>
            </w:pPr>
            <w:r/>
            <w:r>
              <w:rPr>
                <w:sz w:val="20"/>
              </w:rPr>
              <w:t>58.40%</w:t>
            </w:r>
          </w:p>
        </w:tc>
        <w:tc>
          <w:tcPr>
            <w:tcW w:type="dxa" w:w="1872"/>
          </w:tcPr>
          <w:p>
            <w:pPr>
              <w:jc w:val="right"/>
            </w:pPr>
            <w:r/>
            <w:r>
              <w:rPr>
                <w:sz w:val="20"/>
              </w:rPr>
              <w:t>62.94%</w:t>
            </w:r>
          </w:p>
        </w:tc>
        <w:tc>
          <w:tcPr>
            <w:tcW w:type="dxa" w:w="1728"/>
          </w:tcPr>
          <w:p>
            <w:pPr>
              <w:jc w:val="right"/>
            </w:pPr>
            <w:r/>
            <w:r>
              <w:rPr>
                <w:sz w:val="20"/>
              </w:rPr>
              <w:t>+4.54 pts</w:t>
            </w:r>
          </w:p>
        </w:tc>
        <w:tc>
          <w:tcPr>
            <w:tcW w:type="dxa" w:w="1872"/>
          </w:tcPr>
          <w:p>
            <w:pPr>
              <w:jc w:val="right"/>
            </w:pPr>
            <w:r/>
            <w:r>
              <w:rPr>
                <w:sz w:val="20"/>
              </w:rPr>
              <w:t>3.92 to 5.15</w:t>
            </w:r>
          </w:p>
        </w:tc>
      </w:tr>
      <w:tr>
        <w:tc>
          <w:tcPr>
            <w:tcW w:type="dxa" w:w="2160"/>
          </w:tcPr>
          <w:p>
            <w:pPr>
              <w:jc w:val="left"/>
            </w:pPr>
            <w:r/>
            <w:r>
              <w:rPr>
                <w:sz w:val="20"/>
              </w:rPr>
              <w:t>Android</w:t>
            </w:r>
          </w:p>
        </w:tc>
        <w:tc>
          <w:tcPr>
            <w:tcW w:type="dxa" w:w="1728"/>
          </w:tcPr>
          <w:p>
            <w:pPr>
              <w:jc w:val="right"/>
            </w:pPr>
            <w:r/>
            <w:r>
              <w:rPr>
                <w:sz w:val="20"/>
              </w:rPr>
              <w:t>54.96%</w:t>
            </w:r>
          </w:p>
        </w:tc>
        <w:tc>
          <w:tcPr>
            <w:tcW w:type="dxa" w:w="1872"/>
          </w:tcPr>
          <w:p>
            <w:pPr>
              <w:jc w:val="right"/>
            </w:pPr>
            <w:r/>
            <w:r>
              <w:rPr>
                <w:sz w:val="20"/>
              </w:rPr>
              <w:t>60.98%</w:t>
            </w:r>
          </w:p>
        </w:tc>
        <w:tc>
          <w:tcPr>
            <w:tcW w:type="dxa" w:w="1728"/>
          </w:tcPr>
          <w:p>
            <w:pPr>
              <w:jc w:val="right"/>
            </w:pPr>
            <w:r/>
            <w:r>
              <w:rPr>
                <w:sz w:val="20"/>
              </w:rPr>
              <w:t>+6.02 pts</w:t>
            </w:r>
          </w:p>
        </w:tc>
        <w:tc>
          <w:tcPr>
            <w:tcW w:type="dxa" w:w="1872"/>
          </w:tcPr>
          <w:p>
            <w:pPr>
              <w:jc w:val="right"/>
            </w:pPr>
            <w:r/>
            <w:r>
              <w:rPr>
                <w:sz w:val="20"/>
              </w:rPr>
              <w:t>5.23 to 6.81</w:t>
            </w:r>
          </w:p>
        </w:tc>
      </w:tr>
      <w:tr>
        <w:tc>
          <w:tcPr>
            <w:tcW w:type="dxa" w:w="2160"/>
          </w:tcPr>
          <w:p>
            <w:pPr>
              <w:jc w:val="left"/>
            </w:pPr>
            <w:r/>
            <w:r>
              <w:rPr>
                <w:sz w:val="20"/>
              </w:rPr>
              <w:t>iOS</w:t>
            </w:r>
          </w:p>
        </w:tc>
        <w:tc>
          <w:tcPr>
            <w:tcW w:type="dxa" w:w="1728"/>
          </w:tcPr>
          <w:p>
            <w:pPr>
              <w:jc w:val="right"/>
            </w:pPr>
            <w:r/>
            <w:r>
              <w:rPr>
                <w:sz w:val="20"/>
              </w:rPr>
              <w:t>62.18%</w:t>
            </w:r>
          </w:p>
        </w:tc>
        <w:tc>
          <w:tcPr>
            <w:tcW w:type="dxa" w:w="1872"/>
          </w:tcPr>
          <w:p>
            <w:pPr>
              <w:jc w:val="right"/>
            </w:pPr>
            <w:r/>
            <w:r>
              <w:rPr>
                <w:sz w:val="20"/>
              </w:rPr>
              <w:t>67.75%</w:t>
            </w:r>
          </w:p>
        </w:tc>
        <w:tc>
          <w:tcPr>
            <w:tcW w:type="dxa" w:w="1728"/>
          </w:tcPr>
          <w:p>
            <w:pPr>
              <w:jc w:val="right"/>
            </w:pPr>
            <w:r/>
            <w:r>
              <w:rPr>
                <w:sz w:val="20"/>
              </w:rPr>
              <w:t>+5.56 pts</w:t>
            </w:r>
          </w:p>
        </w:tc>
        <w:tc>
          <w:tcPr>
            <w:tcW w:type="dxa" w:w="1872"/>
          </w:tcPr>
          <w:p>
            <w:pPr>
              <w:jc w:val="right"/>
            </w:pPr>
            <w:r/>
            <w:r>
              <w:rPr>
                <w:sz w:val="20"/>
              </w:rPr>
              <w:t>3.95 to 7.17</w:t>
            </w:r>
          </w:p>
        </w:tc>
      </w:tr>
      <w:tr>
        <w:tc>
          <w:tcPr>
            <w:tcW w:type="dxa" w:w="2160"/>
          </w:tcPr>
          <w:p>
            <w:pPr>
              <w:jc w:val="left"/>
            </w:pPr>
            <w:r/>
            <w:r>
              <w:rPr>
                <w:sz w:val="20"/>
              </w:rPr>
              <w:t>Desktop</w:t>
            </w:r>
          </w:p>
        </w:tc>
        <w:tc>
          <w:tcPr>
            <w:tcW w:type="dxa" w:w="1728"/>
          </w:tcPr>
          <w:p>
            <w:pPr>
              <w:jc w:val="right"/>
            </w:pPr>
            <w:r/>
            <w:r>
              <w:rPr>
                <w:sz w:val="20"/>
              </w:rPr>
              <w:t>65.04%</w:t>
            </w:r>
          </w:p>
        </w:tc>
        <w:tc>
          <w:tcPr>
            <w:tcW w:type="dxa" w:w="1872"/>
          </w:tcPr>
          <w:p>
            <w:pPr>
              <w:jc w:val="right"/>
            </w:pPr>
            <w:r/>
            <w:r>
              <w:rPr>
                <w:sz w:val="20"/>
              </w:rPr>
              <w:t>65.21%</w:t>
            </w:r>
          </w:p>
        </w:tc>
        <w:tc>
          <w:tcPr>
            <w:tcW w:type="dxa" w:w="1728"/>
          </w:tcPr>
          <w:p>
            <w:pPr>
              <w:jc w:val="right"/>
            </w:pPr>
            <w:r/>
            <w:r>
              <w:rPr>
                <w:sz w:val="20"/>
              </w:rPr>
              <w:t>+0.16 pts</w:t>
            </w:r>
          </w:p>
        </w:tc>
        <w:tc>
          <w:tcPr>
            <w:tcW w:type="dxa" w:w="1872"/>
          </w:tcPr>
          <w:p>
            <w:pPr>
              <w:jc w:val="right"/>
            </w:pPr>
            <w:r/>
            <w:r>
              <w:rPr>
                <w:sz w:val="20"/>
              </w:rPr>
              <w:t>-1.06 to 1.38</w:t>
            </w:r>
          </w:p>
        </w:tc>
      </w:tr>
    </w:tbl>
    <w:p/>
    <w:p>
      <w:r>
        <w:t>The desktop interval crosses zero, so the honest reading is that the change did nothing there. Reporting only the headline 4.54 points would have hidden that.</w:t>
      </w:r>
    </w:p>
    <w:p>
      <w:pPr>
        <w:pStyle w:val="Heading2"/>
      </w:pPr>
      <w:r>
        <w:t>4. Five sellers return far more than their category does</w:t>
      </w:r>
    </w:p>
    <w:p>
      <w:r>
        <w:t>Return rates were tested against each seller's own category rate with a one-sided binomial z-test rather than ranked. Ranking rewards small sellers, where a handful of returns produces an extreme rate by chance. Five of 137 sellers are genuinely out of line and worth investigating.</w:t>
      </w:r>
    </w:p>
    <w:p>
      <w:pPr>
        <w:pStyle w:val="Heading1"/>
      </w:pPr>
      <w:r>
        <w:t>Recommendations</w:t>
      </w:r>
    </w:p>
    <w:p>
      <w:pPr>
        <w:pStyle w:val="ListBullet"/>
      </w:pPr>
      <w:r>
        <w:t>Require partial advance payment, or price in a prepaid incentive, on high-value first orders from new cash customers. That is the 24.34% segment, and it is small enough to police. Leave repeat cash customers with small baskets alone: that segment performs acceptably and a blanket policy would cost more than it saves.</w:t>
      </w:r>
    </w:p>
    <w:p>
      <w:pPr>
        <w:pStyle w:val="ListBullet"/>
      </w:pPr>
      <w:r>
        <w:t>Treat first-order delivery as a retention investment. Route first orders to the courier with the best on-time record for that city tier, even at higher cost, and measure the effect on the 90-day repeat rate rather than on delivery cost alone.</w:t>
      </w:r>
    </w:p>
    <w:p>
      <w:pPr>
        <w:pStyle w:val="ListBullet"/>
      </w:pPr>
      <w:r>
        <w:t>Ship the new checkout on mobile. Keep the desktop experiment running, or redesign for desktop separately, rather than rolling out on the strength of a blended number.</w:t>
      </w:r>
    </w:p>
    <w:p>
      <w:pPr>
        <w:pStyle w:val="ListBullet"/>
      </w:pPr>
      <w:r>
        <w:t>Put the five flagged sellers into a listing-accuracy review, since the dominant return reason in that group is that the item did not match its description.</w:t>
      </w:r>
    </w:p>
    <w:p>
      <w:r>
        <w:t>Each of these should be measured as an experiment rather than a rollout. For the payment rule, apply it to a random half of qualifying orders and read refusal rate, completed orders and net revenue per shipped order together, because refusal rate alone can always be improved by shipping fewer orders.</w:t>
      </w:r>
    </w:p>
    <w:p>
      <w:pPr>
        <w:pStyle w:val="Heading1"/>
      </w:pPr>
      <w:r>
        <w:t>Limitations</w:t>
      </w:r>
    </w:p>
    <w:p>
      <w:pPr>
        <w:pStyle w:val="ListBullet"/>
      </w:pPr>
      <w:r>
        <w:t>The data is synthetic. The patterns were designed into the generator, so this report demonstrates method and reasoning rather than facts about a real business.</w:t>
      </w:r>
    </w:p>
    <w:p>
      <w:pPr>
        <w:pStyle w:val="ListBullet"/>
      </w:pPr>
      <w:r>
        <w:t>The retention findings are associations, not causes. Establishing that faster first deliveries cause repeat orders requires an experiment, such as routing changes applied to a random subset.</w:t>
      </w:r>
    </w:p>
    <w:p>
      <w:pPr>
        <w:pStyle w:val="ListBullet"/>
      </w:pPr>
      <w:r>
        <w:t>Courier prices are not in the data, so the courier comparison weighs service quality only and cannot yet be turned into a cost decision.</w:t>
      </w:r>
    </w:p>
    <w:p>
      <w:pPr>
        <w:pStyle w:val="ListBullet"/>
      </w:pPr>
      <w:r>
        <w:t>Delivery attempt logs are absent, so a customer who refused cannot be separated from a courier who never arrived.</w:t>
      </w:r>
    </w:p>
    <w:p>
      <w:pPr>
        <w:pStyle w:val="ListBullet"/>
      </w:pPr>
      <w:r>
        <w:t>Segment scores use quintiles on order counts, where many customers tie, so ties break on customer identifier rather than on behaviour.</w:t>
      </w:r>
    </w:p>
    <w:p>
      <w:pPr>
        <w:pStyle w:val="Heading1"/>
      </w:pPr>
      <w:r>
        <w:t>Appendix: reproducing this</w:t>
      </w:r>
    </w:p>
    <w:p>
      <w:r>
        <w:t>Seven source files covering 36,543 customers, 637 products, 137 sellers, 68,155 orders, 106,765 order lines, 7,071 returns and 98,799 checkout sessions, spanning January 2024 to June 2026.</w:t>
      </w:r>
    </w:p>
    <w:p>
      <w:r>
        <w:t>Three commands rebuild everything: the pipeline builds the database and exports every analysis view, a second script runs the statistical tests, a third draws the charts. Every figure quoted here is regenerated from source each time, and the outputs are byte-identical between runs.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 xml:space="preserve">Kaarobar marketplace analytics   </w:t>
    </w:r>
    <w:r>
      <w:rPr>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