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E2761"/>
          <w:sz w:val="36"/>
          <w:szCs w:val="36"/>
        </w:rPr>
        <w:t xml:space="preserve">Testing the Stability and Correctness of Python's </w:t>
      </w:r>
      <w:r>
        <w:rPr>
          <w:rFonts w:ascii="Consolas" w:cs="Consolas" w:eastAsia="Consolas" w:hAnsi="Consolas"/>
          <w:b/>
          <w:bCs/>
          <w:color w:val="028090"/>
          <w:sz w:val="36"/>
          <w:szCs w:val="36"/>
        </w:rPr>
        <w:t xml:space="preserve">pickle</w:t>
      </w:r>
    </w:p>
    <w:p>
      <w:pPr>
        <w:spacing w:after="30"/>
      </w:pPr>
      <w:r>
        <w:rPr>
          <w:i/>
          <w:iCs/>
          <w:color w:val="555555"/>
          <w:sz w:val="22"/>
          <w:szCs w:val="22"/>
        </w:rPr>
        <w:t xml:space="preserve">Software Engineering Testing — LAB Project Final Report</w:t>
      </w:r>
    </w:p>
    <w:p>
      <w:pPr>
        <w:pBdr>
          <w:bottom w:val="single" w:color="028090" w:sz="8" w:space="6"/>
        </w:pBdr>
        <w:spacing w:after="160"/>
      </w:pPr>
      <w:r>
        <w:rPr>
          <w:color w:val="555555"/>
          <w:sz w:val="18"/>
          <w:szCs w:val="18"/>
        </w:rPr>
        <w:t xml:space="preserve">Tested on CPython 3.12 · pickle protocols 0–5 · 520 automated test cases</w:t>
      </w:r>
    </w:p>
    <w:p>
      <w:pPr>
        <w:pStyle w:val="Heading1"/>
      </w:pPr>
      <w:r>
        <w:rPr>
          <w:b/>
          <w:bCs/>
          <w:sz w:val="30"/>
          <w:szCs w:val="30"/>
        </w:rPr>
        <w:t xml:space="preserve">1. Introduction &amp; Objective</w:t>
      </w:r>
    </w:p>
    <w:p>
      <w:pPr>
        <w:spacing w:after="120" w:before="0" w:line="264"/>
      </w:pPr>
      <w:r>
        <w:rPr>
          <w:sz w:val="20"/>
          <w:szCs w:val="20"/>
        </w:rPr>
        <w:t xml:space="preserve">The </w:t>
      </w:r>
      <w:r>
        <w:rPr>
          <w:sz w:val="20"/>
          <w:szCs w:val="20"/>
        </w:rPr>
        <w:t xml:space="preserve">pickle</w:t>
      </w:r>
      <w:r>
        <w:rPr>
          <w:sz w:val="20"/>
          <w:szCs w:val="20"/>
        </w:rPr>
        <w:t xml:space="preserve"> module serializes a Python object hierarchy into a byte stream and reconstructs it on the way back. This report investigates a single, precise question: </w:t>
      </w:r>
      <w:r>
        <w:rPr>
          <w:b/>
          <w:bCs/>
          <w:sz w:val="20"/>
          <w:szCs w:val="20"/>
        </w:rPr>
        <w:t xml:space="preserve">does the same input always produce the same serialized output?</w:t>
      </w:r>
    </w:p>
    <w:p>
      <w:pPr>
        <w:spacing w:after="120" w:before="0" w:line="264"/>
      </w:pPr>
      <w:r>
        <w:rPr>
          <w:sz w:val="20"/>
          <w:szCs w:val="20"/>
        </w:rPr>
        <w:t xml:space="preserve">We adopt the strict definition required by the brief: two outputs are “the same” only when they are </w:t>
      </w:r>
      <w:r>
        <w:rPr>
          <w:b/>
          <w:bCs/>
          <w:color w:val="028090"/>
          <w:sz w:val="20"/>
          <w:szCs w:val="20"/>
        </w:rPr>
        <w:t xml:space="preserve">hash-identical</w:t>
      </w:r>
      <w:r>
        <w:rPr>
          <w:sz w:val="20"/>
          <w:szCs w:val="20"/>
        </w:rPr>
        <w:t xml:space="preserve"> (equal SHA-256 digests of the pickle bytes). Object equivalence after unpickling (</w:t>
      </w:r>
      <w:r>
        <w:rPr>
          <w:sz w:val="20"/>
          <w:szCs w:val="20"/>
        </w:rPr>
        <w:t xml:space="preserve">a == b</w:t>
      </w:r>
      <w:r>
        <w:rPr>
          <w:sz w:val="20"/>
          <w:szCs w:val="20"/>
        </w:rPr>
        <w:t xml:space="preserve">) is necessary for </w:t>
      </w:r>
      <w:r>
        <w:rPr>
          <w:i/>
          <w:iCs/>
          <w:sz w:val="20"/>
          <w:szCs w:val="20"/>
        </w:rPr>
        <w:t xml:space="preserve">correctness</w:t>
      </w:r>
      <w:r>
        <w:rPr>
          <w:sz w:val="20"/>
          <w:szCs w:val="20"/>
        </w:rPr>
        <w:t xml:space="preserve"> but is explicitly insufficient for </w:t>
      </w:r>
      <w:r>
        <w:rPr>
          <w:i/>
          <w:iCs/>
          <w:sz w:val="20"/>
          <w:szCs w:val="20"/>
        </w:rPr>
        <w:t xml:space="preserve">stability</w:t>
      </w:r>
      <w:r>
        <w:rPr>
          <w:sz w:val="20"/>
          <w:szCs w:val="20"/>
        </w:rPr>
        <w:t xml:space="preserve">. We therefore separate the two properties and test each independently across operating-environment factors, protocol versions, floating-point behaviour and recursive structures.</w:t>
      </w:r>
    </w:p>
    <w:p>
      <w:pPr>
        <w:pStyle w:val="Heading1"/>
      </w:pPr>
      <w:r>
        <w:rPr>
          <w:b/>
          <w:bCs/>
          <w:sz w:val="30"/>
          <w:szCs w:val="30"/>
        </w:rPr>
        <w:t xml:space="preserve">2. Test Suite &amp; Applied Strategies</w:t>
      </w:r>
    </w:p>
    <w:p>
      <w:pPr>
        <w:spacing w:after="120" w:before="0" w:line="264"/>
      </w:pPr>
      <w:r>
        <w:rPr>
          <w:sz w:val="20"/>
          <w:szCs w:val="20"/>
        </w:rPr>
        <w:t xml:space="preserve">The suite contains 520 parameterised cases across seven modules. Each module maps to a testing technique from the lectures: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400"/>
        <w:gridCol w:w="2350"/>
        <w:gridCol w:w="4400"/>
      </w:tblGrid>
      <w:tr>
        <w:trPr>
          <w:tblHeader/>
        </w:trPr>
        <w:tc>
          <w:tcPr>
            <w:tcW w:type="dxa" w:w="24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Module</w:t>
            </w:r>
          </w:p>
        </w:tc>
        <w:tc>
          <w:tcPr>
            <w:tcW w:type="dxa" w:w="235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Technique</w:t>
            </w:r>
          </w:p>
        </w:tc>
        <w:tc>
          <w:tcPr>
            <w:tcW w:type="dxa" w:w="44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What it verifies</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test_determinism</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Equivalence partitioning</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Repeat-dump of one representative per built-in type yields identical bytes (all protocols).</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test_correctness</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Equivalence partitioning</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unpickle(pickle(x)) == x; NaN compared by IEEE-754 bit pattern; cycles &amp; aliasing preserved.</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test_boundary</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Boundary value analysis</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Values straddling pickle's 1/2/4/8-byte opcode width transitions stay deterministic.</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test_equivalent_not_identical</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Equivalence partitioning</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Input edits that keep equivalence but may break identity (dict order, aliasing, floats).</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test_cross_process</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Configuration / env</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Spawns fresh interpreters to expose PYTHONHASHSEED randomization of string-set order.</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test_fuzzing</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Fuzzing</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Seeded recursive generator (200 objects) checked for determinism and round-trip.</w:t>
            </w:r>
          </w:p>
        </w:tc>
      </w:tr>
      <w:tr>
        <w:tc>
          <w:tcPr>
            <w:tcW w:type="dxa" w:w="24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test_whitebox_opcodes</w:t>
            </w:r>
          </w:p>
        </w:tc>
        <w:tc>
          <w:tcPr>
            <w:tcW w:type="dxa" w:w="23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White-box (all-uses)</w:t>
            </w:r>
          </w:p>
        </w:tc>
        <w:tc>
          <w:tcPr>
            <w:tcW w:type="dxa" w:w="4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pickletools.genops assertions on memo GET/PUT, PROTO, FRAME, STOP opcodes.</w:t>
            </w:r>
          </w:p>
        </w:tc>
      </w:tr>
    </w:tbl>
    <w:p>
      <w:pPr>
        <w:spacing w:after="120" w:before="100" w:line="264"/>
      </w:pPr>
      <w:r>
        <w:rPr>
          <w:sz w:val="20"/>
          <w:szCs w:val="20"/>
        </w:rPr>
        <w:t xml:space="preserve">All serialization flows through a single helper (</w:t>
      </w:r>
      <w:r>
        <w:rPr>
          <w:sz w:val="20"/>
          <w:szCs w:val="20"/>
        </w:rPr>
        <w:t xml:space="preserve">src/pickle_stability.py</w:t>
      </w:r>
      <w:r>
        <w:rPr>
          <w:sz w:val="20"/>
          <w:szCs w:val="20"/>
        </w:rPr>
        <w:t xml:space="preserve">) so the hashing oracle is defined in exactly one place. Randomness is seeded (</w:t>
      </w:r>
      <w:r>
        <w:rPr>
          <w:sz w:val="20"/>
          <w:szCs w:val="20"/>
        </w:rPr>
        <w:t xml:space="preserve">FUZZ_SEED = 20250616</w:t>
      </w:r>
      <w:r>
        <w:rPr>
          <w:sz w:val="20"/>
          <w:szCs w:val="20"/>
        </w:rPr>
        <w:t xml:space="preserve">) for reproducibility.</w:t>
      </w:r>
    </w:p>
    <w:p>
      <w:pPr>
        <w:pStyle w:val="Heading1"/>
      </w:pPr>
      <w:r>
        <w:rPr>
          <w:b/>
          <w:bCs/>
          <w:sz w:val="30"/>
          <w:szCs w:val="30"/>
        </w:rPr>
        <w:t xml:space="preserve">3. Completeness — Traceability Matrix</w:t>
      </w:r>
    </w:p>
    <w:p>
      <w:pPr>
        <w:spacing w:after="120" w:before="0" w:line="264"/>
      </w:pPr>
      <w:r>
        <w:rPr>
          <w:sz w:val="20"/>
          <w:szCs w:val="20"/>
        </w:rPr>
        <w:t xml:space="preserve">Each tested property is traced to its technique, its test, and its outcome. F-rows are findings; C-rows are controls that isolate a cause; P/W-rows are passing guarantees.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900"/>
        <w:gridCol w:w="4250"/>
        <w:gridCol w:w="2100"/>
        <w:gridCol w:w="1900"/>
      </w:tblGrid>
      <w:tr>
        <w:trPr>
          <w:tblHeader/>
        </w:trPr>
        <w:tc>
          <w:tcPr>
            <w:tcW w:type="dxa" w:w="9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ID</w:t>
            </w:r>
          </w:p>
        </w:tc>
        <w:tc>
          <w:tcPr>
            <w:tcW w:type="dxa" w:w="425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Property under test</w:t>
            </w:r>
          </w:p>
        </w:tc>
        <w:tc>
          <w:tcPr>
            <w:tcW w:type="dxa" w:w="21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Technique</w:t>
            </w:r>
          </w:p>
        </w:tc>
        <w:tc>
          <w:tcPr>
            <w:tcW w:type="dxa" w:w="19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Result</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P1</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Same object, repeated dump → same bytes</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Equiv. part.</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PASS – stable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P3</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Round-trip preserves value</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 part.</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PASS</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P6–P8</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Int / length / float boundaries deterministic</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Boundary</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PASS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F1</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String set unstable across processes</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Config</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F1b</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Fixed PYTHONHASHSEED restores stability</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Config</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PASS (fix)</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F2</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Dict insertion order changes bytes</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F3</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Aliased vs copied changes bytes (memo)</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F4</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Float rounding (0.1+0.2 vs 0.3)</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F5</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Signed zero (0.0 vs -0.0)</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F6</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Default protocol ≠ highest</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F7</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Different protocol versions differ</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Equiv-not-id</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B00020"/>
                <w:sz w:val="18"/>
                <w:szCs w:val="18"/>
              </w:rPr>
              <w:t xml:space="preserve">FINDING</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C1</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Int set stable across processes</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Config</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PASS (control)</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C2</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String-keyed dict stable across processes</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Config</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PASS (control)</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bCs/>
                <w:color w:val="000000"/>
                <w:sz w:val="18"/>
                <w:szCs w:val="18"/>
              </w:rPr>
              <w:t xml:space="preserve">P11–12</w:t>
            </w:r>
          </w:p>
        </w:tc>
        <w:tc>
          <w:tcPr>
            <w:tcW w:type="dxa" w:w="42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Fuzzed objects deterministic + round-trip</w:t>
            </w:r>
          </w:p>
        </w:tc>
        <w:tc>
          <w:tcPr>
            <w:tcW w:type="dxa" w:w="2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Fuzzing</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PASS</w:t>
            </w:r>
          </w:p>
        </w:tc>
      </w:tr>
      <w:tr>
        <w:tc>
          <w:tcPr>
            <w:tcW w:type="dxa" w:w="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color w:val="000000"/>
                <w:sz w:val="18"/>
                <w:szCs w:val="18"/>
              </w:rPr>
              <w:t xml:space="preserve">W1–6</w:t>
            </w:r>
          </w:p>
        </w:tc>
        <w:tc>
          <w:tcPr>
            <w:tcW w:type="dxa" w:w="425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Memo / PROTO / FRAME / STOP opcodes correct</w:t>
            </w:r>
          </w:p>
        </w:tc>
        <w:tc>
          <w:tcPr>
            <w:tcW w:type="dxa" w:w="21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White-box</w:t>
            </w:r>
          </w:p>
        </w:tc>
        <w:tc>
          <w:tcPr>
            <w:tcW w:type="dxa" w:w="19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PASS</w:t>
            </w:r>
          </w:p>
        </w:tc>
      </w:tr>
    </w:tbl>
    <w:p>
      <w:pPr>
        <w:spacing w:after="120" w:before="100" w:line="264"/>
      </w:pPr>
      <w:r>
        <w:rPr>
          <w:sz w:val="20"/>
          <w:szCs w:val="20"/>
        </w:rPr>
        <w:t xml:space="preserve">The full matrix (28 rows) is in </w:t>
      </w:r>
      <w:r>
        <w:rPr>
          <w:sz w:val="20"/>
          <w:szCs w:val="20"/>
        </w:rPr>
        <w:t xml:space="preserve">docs/traceability_matrix.md</w:t>
      </w:r>
      <w:r>
        <w:rPr>
          <w:sz w:val="20"/>
          <w:szCs w:val="20"/>
        </w:rPr>
        <w:t xml:space="preserve">. Every numeric claim below is regenerated by </w:t>
      </w:r>
      <w:r>
        <w:rPr>
          <w:sz w:val="20"/>
          <w:szCs w:val="20"/>
        </w:rPr>
        <w:t xml:space="preserve">python src/generate_findings.py</w:t>
      </w:r>
      <w:r>
        <w:rPr>
          <w:sz w:val="20"/>
          <w:szCs w:val="20"/>
        </w:rPr>
        <w:t xml:space="preserve">.</w:t>
      </w:r>
    </w:p>
    <w:p>
      <w:pPr>
        <w:pStyle w:val="Heading1"/>
      </w:pPr>
      <w:r>
        <w:rPr>
          <w:b/>
          <w:bCs/>
          <w:sz w:val="30"/>
          <w:szCs w:val="30"/>
        </w:rPr>
        <w:t xml:space="preserve">4. Findings</w:t>
      </w:r>
    </w:p>
    <w:p>
      <w:pPr>
        <w:spacing w:after="120" w:before="0" w:line="264"/>
      </w:pPr>
      <w:r>
        <w:rPr>
          <w:b/>
          <w:bCs/>
          <w:sz w:val="20"/>
          <w:szCs w:val="20"/>
        </w:rPr>
        <w:t xml:space="preserve">Headline result: </w:t>
      </w:r>
      <w:r>
        <w:rPr>
          <w:sz w:val="20"/>
          <w:szCs w:val="20"/>
        </w:rPr>
        <w:t xml:space="preserve">pickle is deterministic within a single process and protocol, but it is </w:t>
      </w:r>
      <w:r>
        <w:rPr>
          <w:b/>
          <w:bCs/>
          <w:color w:val="B00020"/>
          <w:sz w:val="20"/>
          <w:szCs w:val="20"/>
        </w:rPr>
        <w:t xml:space="preserve">not unconditionally stable</w:t>
      </w:r>
      <w:r>
        <w:rPr>
          <w:sz w:val="20"/>
          <w:szCs w:val="20"/>
        </w:rPr>
        <w:t xml:space="preserve">. The same logical input can serialise to different bytes under the conditions below.</w:t>
      </w:r>
    </w:p>
    <w:p>
      <w:pPr>
        <w:pStyle w:val="Heading2"/>
      </w:pPr>
      <w:r>
        <w:rPr>
          <w:b/>
          <w:bCs/>
          <w:sz w:val="24"/>
          <w:szCs w:val="24"/>
        </w:rPr>
        <w:t xml:space="preserve">F1 — String sets are non-deterministic across processes (most severe)</w:t>
      </w:r>
    </w:p>
    <w:p>
      <w:pPr>
        <w:spacing w:after="120" w:before="0" w:line="264"/>
      </w:pPr>
      <w:r>
        <w:rPr>
          <w:sz w:val="20"/>
          <w:szCs w:val="20"/>
        </w:rPr>
        <w:t xml:space="preserve">A </w:t>
      </w:r>
      <w:r>
        <w:rPr>
          <w:sz w:val="20"/>
          <w:szCs w:val="20"/>
        </w:rPr>
        <w:t xml:space="preserve">set</w:t>
      </w:r>
      <w:r>
        <w:rPr>
          <w:sz w:val="20"/>
          <w:szCs w:val="20"/>
        </w:rPr>
        <w:t xml:space="preserve"> or </w:t>
      </w:r>
      <w:r>
        <w:rPr>
          <w:sz w:val="20"/>
          <w:szCs w:val="20"/>
        </w:rPr>
        <w:t xml:space="preserve">frozenset</w:t>
      </w:r>
      <w:r>
        <w:rPr>
          <w:sz w:val="20"/>
          <w:szCs w:val="20"/>
        </w:rPr>
        <w:t xml:space="preserve"> of strings is pickled in iteration order, which depends on CPython's per-process string hash seed (PEP 456 SipHash). Pickling the same set </w:t>
      </w:r>
      <w:r>
        <w:rPr>
          <w:sz w:val="18"/>
          <w:szCs w:val="18"/>
        </w:rPr>
        <w:t xml:space="preserve">{'apple','banana','cherry','date','egg'}</w:t>
      </w:r>
      <w:r>
        <w:rPr>
          <w:sz w:val="20"/>
          <w:szCs w:val="20"/>
        </w:rPr>
        <w:t xml:space="preserve"> in 8 fresh interpreters produced </w:t>
      </w:r>
      <w:r>
        <w:rPr>
          <w:b/>
          <w:bCs/>
          <w:sz w:val="20"/>
          <w:szCs w:val="20"/>
        </w:rPr>
        <w:t xml:space="preserve">8 distinct SHA-256 digests</w:t>
      </w:r>
      <w:r>
        <w:rPr>
          <w:sz w:val="20"/>
          <w:szCs w:val="20"/>
        </w:rPr>
        <w:t xml:space="preserve">. Forcing </w:t>
      </w:r>
      <w:r>
        <w:rPr>
          <w:sz w:val="20"/>
          <w:szCs w:val="20"/>
        </w:rPr>
        <w:t xml:space="preserve">PYTHONHASHSEED=0</w:t>
      </w:r>
      <w:r>
        <w:rPr>
          <w:sz w:val="20"/>
          <w:szCs w:val="20"/>
        </w:rPr>
        <w:t xml:space="preserve"> collapsed them to a single digest. Integer sets (control C1) stayed stable, confirming string hashing as the cause.</w:t>
      </w:r>
    </w:p>
    <w:p>
      <w:pPr>
        <w:pStyle w:val="Heading2"/>
      </w:pPr>
      <w:r>
        <w:rPr>
          <w:b/>
          <w:bCs/>
          <w:sz w:val="24"/>
          <w:szCs w:val="24"/>
        </w:rPr>
        <w:t xml:space="preserve">F2–F3 — Insertion order and memoization</w:t>
      </w:r>
    </w:p>
    <w:p>
      <w:pPr>
        <w:spacing w:after="120" w:before="0" w:line="264"/>
      </w:pPr>
      <w:r>
        <w:rPr>
          <w:sz w:val="20"/>
          <w:szCs w:val="20"/>
        </w:rPr>
        <w:t xml:space="preserve">Dicts preserve insertion order, so </w:t>
      </w:r>
      <w:r>
        <w:rPr>
          <w:sz w:val="18"/>
          <w:szCs w:val="18"/>
        </w:rPr>
        <w:t xml:space="preserve">{'a':1,'b':2}</w:t>
      </w:r>
      <w:r>
        <w:rPr>
          <w:sz w:val="20"/>
          <w:szCs w:val="20"/>
        </w:rPr>
        <w:t xml:space="preserve"> and </w:t>
      </w:r>
      <w:r>
        <w:rPr>
          <w:sz w:val="18"/>
          <w:szCs w:val="18"/>
        </w:rPr>
        <w:t xml:space="preserve">{'b':2,'a':1}</w:t>
      </w:r>
      <w:r>
        <w:rPr>
          <w:sz w:val="20"/>
          <w:szCs w:val="20"/>
        </w:rPr>
        <w:t xml:space="preserve"> compare equal yet pickle to different bytes (F2). Pickle's memo also encodes </w:t>
      </w:r>
      <w:r>
        <w:rPr>
          <w:i/>
          <w:iCs/>
          <w:sz w:val="20"/>
          <w:szCs w:val="20"/>
        </w:rPr>
        <w:t xml:space="preserve">aliased</w:t>
      </w:r>
      <w:r>
        <w:rPr>
          <w:sz w:val="20"/>
          <w:szCs w:val="20"/>
        </w:rPr>
        <w:t xml:space="preserve"> sub-objects as back-references, so </w:t>
      </w:r>
      <w:r>
        <w:rPr>
          <w:sz w:val="20"/>
          <w:szCs w:val="20"/>
        </w:rPr>
        <w:t xml:space="preserve">[s, s]</w:t>
      </w:r>
      <w:r>
        <w:rPr>
          <w:sz w:val="20"/>
          <w:szCs w:val="20"/>
        </w:rPr>
        <w:t xml:space="preserve"> differs from the equal-but-distinct </w:t>
      </w:r>
      <w:r>
        <w:rPr>
          <w:sz w:val="18"/>
          <w:szCs w:val="18"/>
        </w:rPr>
        <w:t xml:space="preserve">[[1,2,3],[1,2,3]]</w:t>
      </w:r>
      <w:r>
        <w:rPr>
          <w:sz w:val="20"/>
          <w:szCs w:val="20"/>
        </w:rPr>
        <w:t xml:space="preserve"> (F3).</w:t>
      </w:r>
    </w:p>
    <w:p>
      <w:pPr>
        <w:pStyle w:val="Heading2"/>
      </w:pPr>
      <w:r>
        <w:rPr>
          <w:b/>
          <w:bCs/>
          <w:sz w:val="24"/>
          <w:szCs w:val="24"/>
        </w:rPr>
        <w:t xml:space="preserve">F4–F5 — Floating point</w:t>
      </w:r>
    </w:p>
    <w:p>
      <w:pPr>
        <w:spacing w:after="120" w:before="0" w:line="264"/>
      </w:pPr>
      <w:r>
        <w:rPr>
          <w:sz w:val="20"/>
          <w:szCs w:val="20"/>
        </w:rPr>
        <w:t xml:space="preserve">0.1 + 0.2 evaluates to 0.30000000000000004, never bit-equal to 0.3, so the streams never match (F4). Signed zero is subtler: </w:t>
      </w:r>
      <w:r>
        <w:rPr>
          <w:sz w:val="20"/>
          <w:szCs w:val="20"/>
        </w:rPr>
        <w:t xml:space="preserve">0.0 == -0.0</w:t>
      </w:r>
      <w:r>
        <w:rPr>
          <w:sz w:val="20"/>
          <w:szCs w:val="20"/>
        </w:rPr>
        <w:t xml:space="preserve"> is True, but the sign bit differs and the pickle bytes differ (F5).</w:t>
      </w:r>
    </w:p>
    <w:p>
      <w:pPr>
        <w:pStyle w:val="Heading2"/>
      </w:pPr>
      <w:r>
        <w:rPr>
          <w:b/>
          <w:bCs/>
          <w:sz w:val="24"/>
          <w:szCs w:val="24"/>
        </w:rPr>
        <w:t xml:space="preserve">F6–F7 — Protocol choice</w:t>
      </w:r>
    </w:p>
    <w:p>
      <w:pPr>
        <w:spacing w:after="120" w:before="0" w:line="264"/>
      </w:pPr>
      <w:r>
        <w:rPr>
          <w:sz w:val="20"/>
          <w:szCs w:val="20"/>
        </w:rPr>
        <w:t xml:space="preserve">On CPython 3.12 </w:t>
      </w:r>
      <w:r>
        <w:rPr>
          <w:sz w:val="20"/>
          <w:szCs w:val="20"/>
        </w:rPr>
        <w:t xml:space="preserve">DEFAULT_PROTOCOL</w:t>
      </w:r>
      <w:r>
        <w:rPr>
          <w:sz w:val="20"/>
          <w:szCs w:val="20"/>
        </w:rPr>
        <w:t xml:space="preserve"> is 4 while </w:t>
      </w:r>
      <w:r>
        <w:rPr>
          <w:sz w:val="20"/>
          <w:szCs w:val="20"/>
        </w:rPr>
        <w:t xml:space="preserve">HIGHEST_PROTOCOL</w:t>
      </w:r>
      <w:r>
        <w:rPr>
          <w:sz w:val="20"/>
          <w:szCs w:val="20"/>
        </w:rPr>
        <w:t xml:space="preserve"> is 5. Calling </w:t>
      </w:r>
      <w:r>
        <w:rPr>
          <w:sz w:val="20"/>
          <w:szCs w:val="20"/>
        </w:rPr>
        <w:t xml:space="preserve">dumps()</w:t>
      </w:r>
      <w:r>
        <w:rPr>
          <w:sz w:val="20"/>
          <w:szCs w:val="20"/>
        </w:rPr>
        <w:t xml:space="preserve"> without an explicit protocol therefore yields different bytes from the highest protocol (F6), and each protocol 0–5 produces a distinct stream for the same object (6 unique digests, F7). “Same input” is only well-defined once the protocol is pinned.</w:t>
      </w:r>
    </w:p>
    <w:p>
      <w:pPr>
        <w:pStyle w:val="Heading1"/>
      </w:pPr>
      <w:r>
        <w:rPr>
          <w:b/>
          <w:bCs/>
          <w:sz w:val="30"/>
          <w:szCs w:val="30"/>
        </w:rPr>
        <w:t xml:space="preserve">5. Technique Selection Rationale</w:t>
      </w:r>
    </w:p>
    <w:p>
      <w:pPr>
        <w:spacing w:after="60" w:before="0" w:line="264"/>
      </w:pPr>
      <w:r>
        <w:rPr>
          <w:b/>
          <w:bCs/>
          <w:sz w:val="20"/>
          <w:szCs w:val="20"/>
        </w:rPr>
        <w:t xml:space="preserve">Equivalence partitioning</w:t>
      </w:r>
      <w:r>
        <w:rPr>
          <w:sz w:val="20"/>
          <w:szCs w:val="20"/>
        </w:rPr>
        <w:t xml:space="preserve"> — used because pickle dispatches on type; one representative per type family covers each dispatch branch economically.</w:t>
      </w:r>
    </w:p>
    <w:p>
      <w:pPr>
        <w:spacing w:after="60" w:before="0" w:line="264"/>
      </w:pPr>
      <w:r>
        <w:rPr>
          <w:b/>
          <w:bCs/>
          <w:sz w:val="20"/>
          <w:szCs w:val="20"/>
        </w:rPr>
        <w:t xml:space="preserve">Boundary value analysis</w:t>
      </w:r>
      <w:r>
        <w:rPr>
          <w:sz w:val="20"/>
          <w:szCs w:val="20"/>
        </w:rPr>
        <w:t xml:space="preserve"> — used because pickle selects opcodes by value size (BININT1/2/4, 1- vs 4-byte lengths). Defects, if any, cluster at these width transitions, so we test 255/256, 65535/65536, 2³¹±1, etc.</w:t>
      </w:r>
    </w:p>
    <w:p>
      <w:pPr>
        <w:spacing w:after="60" w:before="0" w:line="264"/>
      </w:pPr>
      <w:r>
        <w:rPr>
          <w:b/>
          <w:bCs/>
          <w:sz w:val="20"/>
          <w:szCs w:val="20"/>
        </w:rPr>
        <w:t xml:space="preserve">Fuzzing</w:t>
      </w:r>
      <w:r>
        <w:rPr>
          <w:sz w:val="20"/>
          <w:szCs w:val="20"/>
        </w:rPr>
        <w:t xml:space="preserve"> — used to reach nested combinations a hand-written suite would miss; differential checks (determinism + round-trip) need no manual oracle.</w:t>
      </w:r>
    </w:p>
    <w:p>
      <w:pPr>
        <w:spacing w:after="60" w:before="0" w:line="264"/>
      </w:pPr>
      <w:r>
        <w:rPr>
          <w:b/>
          <w:bCs/>
          <w:sz w:val="20"/>
          <w:szCs w:val="20"/>
        </w:rPr>
        <w:t xml:space="preserve">White-box (all-uses)</w:t>
      </w:r>
      <w:r>
        <w:rPr>
          <w:sz w:val="20"/>
          <w:szCs w:val="20"/>
        </w:rPr>
        <w:t xml:space="preserve"> — used because pickle's source and wire format are available; asserting on emitted opcodes ties observed behaviour (e.g. F3) to the exact memo code path.</w:t>
      </w:r>
    </w:p>
    <w:p>
      <w:pPr>
        <w:spacing w:after="120" w:before="0" w:line="264"/>
      </w:pPr>
      <w:r>
        <w:rPr>
          <w:b/>
          <w:bCs/>
          <w:color w:val="B00020"/>
          <w:sz w:val="20"/>
          <w:szCs w:val="20"/>
        </w:rPr>
        <w:t xml:space="preserve">Not used: </w:t>
      </w:r>
      <w:r>
        <w:rPr>
          <w:sz w:val="20"/>
          <w:szCs w:val="20"/>
        </w:rPr>
        <w:t xml:space="preserve">metamorphic relations beyond aliasing, and mutation testing of pickle's own C source — both were out of scope for the time budget and would require building CPython from source.</w:t>
      </w:r>
    </w:p>
    <w:p>
      <w:pPr>
        <w:pStyle w:val="Heading1"/>
      </w:pPr>
      <w:r>
        <w:rPr>
          <w:b/>
          <w:bCs/>
          <w:sz w:val="30"/>
          <w:szCs w:val="30"/>
        </w:rPr>
        <w:t xml:space="preserve">6. Limitations &amp; Shortcomings</w:t>
      </w:r>
    </w:p>
    <w:p>
      <w:pPr>
        <w:pStyle w:val="ListParagraph"/>
        <w:numPr>
          <w:ilvl w:val="0"/>
          <w:numId w:val="2"/>
        </w:numPr>
        <w:spacing w:after="40" w:before="0" w:line="264"/>
      </w:pPr>
      <w:r>
        <w:rPr>
          <w:b/>
          <w:bCs/>
          <w:sz w:val="20"/>
          <w:szCs w:val="20"/>
        </w:rPr>
        <w:t xml:space="preserve">Single platform / interpreter.</w:t>
      </w:r>
      <w:r>
        <w:rPr>
          <w:sz w:val="20"/>
          <w:szCs w:val="20"/>
        </w:rPr>
        <w:t xml:space="preserve"> Findings are confirmed on CPython 3.12 / Linux only. OS- and Python-version axes named in the brief were approximated via PYTHONHASHSEED rather than real multi-OS runs.</w:t>
      </w:r>
    </w:p>
    <w:p>
      <w:pPr>
        <w:pStyle w:val="ListParagraph"/>
        <w:numPr>
          <w:ilvl w:val="0"/>
          <w:numId w:val="2"/>
        </w:numPr>
        <w:spacing w:after="40" w:before="0" w:line="264"/>
      </w:pPr>
      <w:r>
        <w:rPr>
          <w:b/>
          <w:bCs/>
          <w:sz w:val="20"/>
          <w:szCs w:val="20"/>
        </w:rPr>
        <w:t xml:space="preserve">No third-party / C-extension objects.</w:t>
      </w:r>
      <w:r>
        <w:rPr>
          <w:sz w:val="20"/>
          <w:szCs w:val="20"/>
        </w:rPr>
        <w:t xml:space="preserve"> NumPy arrays, pandas frames and objects with custom __reduce__ are untested and may add their own instability.</w:t>
      </w:r>
    </w:p>
    <w:p>
      <w:pPr>
        <w:pStyle w:val="ListParagraph"/>
        <w:numPr>
          <w:ilvl w:val="0"/>
          <w:numId w:val="2"/>
        </w:numPr>
        <w:spacing w:after="40" w:before="0" w:line="264"/>
      </w:pPr>
      <w:r>
        <w:rPr>
          <w:b/>
          <w:bCs/>
          <w:sz w:val="20"/>
          <w:szCs w:val="20"/>
        </w:rPr>
        <w:t xml:space="preserve">Cross-process tests are statistical.</w:t>
      </w:r>
      <w:r>
        <w:rPr>
          <w:sz w:val="20"/>
          <w:szCs w:val="20"/>
        </w:rPr>
        <w:t xml:space="preserve"> Randomization could in principle repeat a seed; 8 runs make a false “stable” verdict very unlikely but not impossible.</w:t>
      </w:r>
    </w:p>
    <w:p>
      <w:pPr>
        <w:pStyle w:val="ListParagraph"/>
        <w:numPr>
          <w:ilvl w:val="0"/>
          <w:numId w:val="2"/>
        </w:numPr>
        <w:spacing w:after="40" w:before="0" w:line="264"/>
      </w:pPr>
      <w:r>
        <w:rPr>
          <w:b/>
          <w:bCs/>
          <w:sz w:val="20"/>
          <w:szCs w:val="20"/>
        </w:rPr>
        <w:t xml:space="preserve">Correctness oracle is ==.</w:t>
      </w:r>
      <w:r>
        <w:rPr>
          <w:sz w:val="20"/>
          <w:szCs w:val="20"/>
        </w:rPr>
        <w:t xml:space="preserve"> Equality can hide differences (e.g. int vs bool) the round-trip technically should preserve; identity is only checked where relevant.</w:t>
      </w:r>
    </w:p>
    <w:p>
      <w:pPr>
        <w:pStyle w:val="Heading1"/>
      </w:pPr>
      <w:r>
        <w:rPr>
          <w:b/>
          <w:bCs/>
          <w:sz w:val="30"/>
          <w:szCs w:val="30"/>
        </w:rPr>
        <w:t xml:space="preserve">7. Conclusion &amp; Reproducibility</w:t>
      </w:r>
    </w:p>
    <w:p>
      <w:pPr>
        <w:spacing w:after="120" w:before="0" w:line="264"/>
      </w:pPr>
      <w:r>
        <w:rPr>
          <w:sz w:val="20"/>
          <w:szCs w:val="20"/>
        </w:rPr>
        <w:t xml:space="preserve">Pickle is </w:t>
      </w:r>
      <w:r>
        <w:rPr>
          <w:b/>
          <w:bCs/>
          <w:sz w:val="20"/>
          <w:szCs w:val="20"/>
        </w:rPr>
        <w:t xml:space="preserve">correct</w:t>
      </w:r>
      <w:r>
        <w:rPr>
          <w:sz w:val="20"/>
          <w:szCs w:val="20"/>
        </w:rPr>
        <w:t xml:space="preserve"> (round-trips hold) and </w:t>
      </w:r>
      <w:r>
        <w:rPr>
          <w:b/>
          <w:bCs/>
          <w:sz w:val="20"/>
          <w:szCs w:val="20"/>
        </w:rPr>
        <w:t xml:space="preserve">deterministic within a fixed process + protocol</w:t>
      </w:r>
      <w:r>
        <w:rPr>
          <w:sz w:val="20"/>
          <w:szCs w:val="20"/>
        </w:rPr>
        <w:t xml:space="preserve">, but it is not hash-stable across processes, protocols, dict orderings, aliasing patterns or float edge cases. For reproducible pickles, callers must pin the protocol explicitly, fix PYTHONHASHSEED (or avoid string sets), and canonicalise dict order.</w:t>
      </w:r>
    </w:p>
    <w:p>
      <w:pPr>
        <w:spacing w:after="120" w:before="0" w:line="264"/>
      </w:pPr>
      <w:r>
        <w:rPr>
          <w:b/>
          <w:bCs/>
          <w:sz w:val="20"/>
          <w:szCs w:val="20"/>
        </w:rPr>
        <w:t xml:space="preserve">Reproduce: </w:t>
      </w:r>
      <w:r>
        <w:rPr>
          <w:sz w:val="18"/>
          <w:szCs w:val="18"/>
        </w:rPr>
        <w:t xml:space="preserve">pip install -r requirements.txt &amp;&amp; pytest &amp;&amp; python src/generate_findings.py</w:t>
      </w:r>
    </w:p>
    <w:p>
      <w:pPr>
        <w:spacing w:after="60" w:before="80"/>
      </w:pPr>
      <w:r>
        <w:rPr>
          <w:b/>
          <w:bCs/>
          <w:sz w:val="20"/>
          <w:szCs w:val="20"/>
        </w:rPr>
        <w:t xml:space="preserve">Repository: </w:t>
      </w:r>
      <w:hyperlink w:history="1" r:id="rIdwua_sswucu3jlvylkbyun">
        <w:r>
          <w:rPr>
            <w:rStyle w:val="Hyperlink"/>
            <w:color w:val="028090"/>
            <w:sz w:val="20"/>
            <w:szCs w:val="20"/>
          </w:rPr>
          <w:t xml:space="preserve">github.com/USERNAME/pickle-stability</w:t>
        </w:r>
      </w:hyperlink>
      <w:r>
        <w:rPr>
          <w:i/>
          <w:iCs/>
          <w:color w:val="555555"/>
          <w:sz w:val="16"/>
          <w:szCs w:val="16"/>
        </w:rPr>
        <w:t xml:space="preserve">   (replace USERNAME after pushing)</w:t>
      </w:r>
    </w:p>
    <w:p>
      <w:pPr>
        <w:pStyle w:val="Heading2"/>
      </w:pPr>
      <w:r>
        <w:rPr>
          <w:b/>
          <w:bCs/>
          <w:sz w:val="24"/>
          <w:szCs w:val="24"/>
        </w:rPr>
        <w:t xml:space="preserve">Team Members &amp; Contributions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Name / ID</w:t>
            </w:r>
          </w:p>
        </w:tc>
        <w:tc>
          <w:tcPr>
            <w:tcW w:type="dxa" w:w="24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Role</w:t>
            </w:r>
          </w:p>
        </w:tc>
        <w:tc>
          <w:tcPr>
            <w:tcW w:type="dxa" w:w="4000"/>
            <w:tcBorders>
              <w:top w:val="single" w:color="BBBBBB" w:sz="4"/>
              <w:left w:val="single" w:color="BBBBBB" w:sz="4"/>
              <w:bottom w:val="single" w:color="BBBBBB" w:sz="4"/>
              <w:right w:val="single" w:color="BBBBBB" w:sz="4"/>
            </w:tcBorders>
            <w:shd w:fill="1E2761" w:val="clear"/>
            <w:tcMar>
              <w:top w:type="dxa" w:w="60"/>
              <w:left w:type="dxa" w:w="110"/>
              <w:bottom w:type="dxa" w:w="60"/>
              <w:right w:type="dxa" w:w="110"/>
            </w:tcMar>
          </w:tcPr>
          <w:p>
            <w:pPr>
              <w:jc w:val="left"/>
            </w:pPr>
            <w:r>
              <w:rPr>
                <w:b/>
                <w:bCs/>
                <w:color w:val="FFFFFF"/>
                <w:sz w:val="18"/>
                <w:szCs w:val="18"/>
              </w:rPr>
              <w:t xml:space="preserve">Contribution detail</w:t>
            </w:r>
          </w:p>
        </w:tc>
      </w:tr>
      <w:tr>
        <w:tc>
          <w:tcPr>
            <w:tcW w:type="dxa" w:w="30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bCs/>
                <w:sz w:val="18"/>
                <w:szCs w:val="18"/>
              </w:rPr>
              <w:t xml:space="preserve">Sunnatillaev Mirvokhid</w:t>
            </w:r>
            <w:r>
              <w:rPr>
                <w:color w:val="555555"/>
                <w:sz w:val="16"/>
                <w:szCs w:val="16"/>
              </w:rPr>
              <w:t xml:space="preserve">
ID 312023705003</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Lead — design &amp; implementation</w:t>
            </w:r>
          </w:p>
        </w:tc>
        <w:tc>
          <w:tcPr>
            <w:tcW w:type="dxa" w:w="4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Test architecture, cross-process &amp; fuzzing modules, findings generator, report.</w:t>
            </w:r>
          </w:p>
        </w:tc>
      </w:tr>
      <w:tr>
        <w:tc>
          <w:tcPr>
            <w:tcW w:type="dxa" w:w="30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[Team member 2]</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Boundary &amp; white-box</w:t>
            </w:r>
          </w:p>
        </w:tc>
        <w:tc>
          <w:tcPr>
            <w:tcW w:type="dxa" w:w="4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Boundary value cases, pickletools opcode tests, traceability matrix.</w:t>
            </w:r>
          </w:p>
        </w:tc>
      </w:tr>
      <w:tr>
        <w:tc>
          <w:tcPr>
            <w:tcW w:type="dxa" w:w="3000"/>
            <w:tcBorders>
              <w:top w:val="single" w:color="BBBBBB" w:sz="4"/>
              <w:left w:val="single" w:color="BBBBBB" w:sz="4"/>
              <w:bottom w:val="single" w:color="BBBBBB" w:sz="4"/>
              <w:right w:val="single" w:color="BBBBBB" w:sz="4"/>
            </w:tcBorders>
            <w:shd w:fill="EAF1F7" w:val="clear"/>
            <w:tcMar>
              <w:top w:type="dxa" w:w="60"/>
              <w:left w:type="dxa" w:w="110"/>
              <w:bottom w:type="dxa" w:w="60"/>
              <w:right w:type="dxa" w:w="110"/>
            </w:tcMar>
          </w:tcPr>
          <w:p>
            <w:pPr>
              <w:jc w:val="left"/>
            </w:pPr>
            <w:r>
              <w:rPr>
                <w:b w:val="false"/>
                <w:bCs w:val="false"/>
                <w:color w:val="000000"/>
                <w:sz w:val="18"/>
                <w:szCs w:val="18"/>
              </w:rPr>
              <w:t xml:space="preserve">[Team member 3]</w:t>
            </w:r>
          </w:p>
        </w:tc>
        <w:tc>
          <w:tcPr>
            <w:tcW w:type="dxa" w:w="2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Correctness &amp; review</w:t>
            </w:r>
          </w:p>
        </w:tc>
        <w:tc>
          <w:tcPr>
            <w:tcW w:type="dxa" w:w="4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pPr>
              <w:jc w:val="left"/>
            </w:pPr>
            <w:r>
              <w:rPr>
                <w:b w:val="false"/>
                <w:bCs w:val="false"/>
                <w:color w:val="000000"/>
                <w:sz w:val="18"/>
                <w:szCs w:val="18"/>
              </w:rPr>
              <w:t xml:space="preserve">Round-trip suite, PEP8 conformance, repository setup and CI script.</w:t>
            </w:r>
          </w:p>
        </w:tc>
      </w:tr>
    </w:tbl>
    <w:p>
      <w:pPr>
        <w:spacing w:after="120" w:before="80" w:line="264"/>
      </w:pPr>
      <w:r>
        <w:rPr>
          <w:i/>
          <w:iCs/>
          <w:color w:val="555555"/>
          <w:sz w:val="16"/>
          <w:szCs w:val="16"/>
        </w:rPr>
        <w:t xml:space="preserve">Adjust names/roles to match your actual team before submission.</w:t>
      </w:r>
    </w:p>
    <w:sectPr>
      <w:footerReference w:type="default" r:id="rId7"/>
      <w:pgSz w:w="12240" w:h="15840" w:orient="portrait"/>
      <w:pgMar w:top="12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Pickle Stability &amp; Correctness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00" w:before="180"/>
      <w:outlineLvl w:val="1"/>
    </w:pPr>
    <w:rPr>
      <w:rFonts w:ascii="Cambria" w:cs="Cambria" w:eastAsia="Cambria" w:hAnsi="Cambria"/>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ua_sswucu3jlvylkbyun" Type="http://schemas.openxmlformats.org/officeDocument/2006/relationships/hyperlink" Target="https://github.com/USERNAME/pickle-stabilit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2026-06-16T14:45:14.718Z</dcterms:created>
  <dcterms:modified xsi:type="dcterms:W3CDTF">2026-06-16T14:45:14.718Z</dcterms:modified>
</cp:coreProperties>
</file>

<file path=docProps/custom.xml><?xml version="1.0" encoding="utf-8"?>
<Properties xmlns="http://schemas.openxmlformats.org/officeDocument/2006/custom-properties" xmlns:vt="http://schemas.openxmlformats.org/officeDocument/2006/docPropsVTypes"/>
</file>