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color w:val="1F4E79"/>
          <w:sz w:val="56"/>
          <w:szCs w:val="56"/>
        </w:rPr>
        <w:t xml:space="preserve">SMAART</w:t>
      </w:r>
    </w:p>
    <w:p>
      <w:pPr>
        <w:spacing w:after="120"/>
        <w:jc w:val="center"/>
      </w:pPr>
      <w:r>
        <w:rPr>
          <w:b/>
          <w:bCs/>
          <w:sz w:val="40"/>
          <w:szCs w:val="40"/>
        </w:rPr>
        <w:t xml:space="preserve">Course Catalogue &amp; Learning Architecture</w:t>
      </w:r>
    </w:p>
    <w:p>
      <w:pPr>
        <w:spacing w:after="480"/>
        <w:jc w:val="center"/>
      </w:pPr>
      <w:r>
        <w:rPr>
          <w:i/>
          <w:iCs/>
          <w:color w:val="595959"/>
          <w:sz w:val="24"/>
          <w:szCs w:val="24"/>
        </w:rPr>
        <w:t xml:space="preserve">Document 2 of 3 — Every Course, Every Stage, Every Track</w:t>
      </w:r>
    </w:p>
    <w:p>
      <w:pPr>
        <w:spacing w:after="240"/>
        <w:jc w:val="center"/>
      </w:pPr>
      <w:r>
        <w:rPr>
          <w:sz w:val="22"/>
          <w:szCs w:val="22"/>
        </w:rPr>
        <w:t xml:space="preserve">25 Human Intelligence courses + 3 Readiness Tracks (15 courses)</w:t>
      </w:r>
    </w:p>
    <w:p>
      <w:pPr>
        <w:spacing w:after="120"/>
        <w:jc w:val="center"/>
      </w:pPr>
      <w:r>
        <w:rPr>
          <w:sz w:val="22"/>
          <w:szCs w:val="22"/>
        </w:rPr>
        <w:t xml:space="preserve">Mapped to the 10 Standards, 7 Quotients, 4 Domains and 3 Stages.</w:t>
      </w:r>
    </w:p>
    <w:p>
      <w:pPr>
        <w:spacing w:after="120" w:before="800"/>
        <w:jc w:val="center"/>
      </w:pPr>
      <w:r>
        <w:rPr>
          <w:i/>
          <w:iCs/>
          <w:color w:val="595959"/>
          <w:sz w:val="22"/>
          <w:szCs w:val="22"/>
        </w:rPr>
        <w:t xml:space="preserve">Sector-agnostic. Role-agnostic. Degree-agnostic.</w:t>
      </w:r>
    </w:p>
    <w:p>
      <w:pPr>
        <w:spacing w:after="0" w:before="600"/>
        <w:jc w:val="center"/>
      </w:pPr>
      <w:r>
        <w:rPr>
          <w:color w:val="808080"/>
          <w:sz w:val="20"/>
          <w:szCs w:val="20"/>
        </w:rPr>
        <w:t xml:space="preserve">Version 1.0 — April 2026</w:t>
      </w:r>
    </w:p>
    <w:p>
      <w:r>
        <w:br w:type="page"/>
      </w:r>
    </w:p>
    <w:p>
      <w:pPr>
        <w:pStyle w:val="Heading1"/>
        <w:spacing w:after="200" w:before="360"/>
      </w:pPr>
      <w:r>
        <w:t xml:space="preserve">Section 1 — The Architecture at a Glance</w:t>
      </w:r>
    </w:p>
    <w:p>
      <w:pPr>
        <w:spacing w:after="160" w:before="0"/>
        <w:jc w:val="left"/>
      </w:pPr>
      <w:r>
        <w:t xml:space="preserve">The SMAART programme is organised in six concentric layers. A student sees the top layer (dashboard). An institution sees the middle layers (cohort reporting). A regulator or an employer audits from the bottom up. Every layer feeds the one above it. This catalogue describes the FULL content available at every tier (Tier 1 SMAART Core, Tier 2 SMAART Standard, Tier 3 SMAART Complete); the differences between tiers are which TRACKS are included versus available as add-ons, plus the depth of support and renewal. All 25 HI courses are present on every tier. See Document 1B for the complete tier-by-tier mapping.</w:t>
      </w:r>
    </w:p>
    <w:p>
      <w:pPr>
        <w:pStyle w:val="Heading2"/>
        <w:spacing w:after="160" w:before="280"/>
      </w:pPr>
      <w:r>
        <w:t xml:space="preserve">1.1 The six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Layer</w:t>
            </w:r>
          </w:p>
        </w:tc>
        <w:tc>
          <w:tcPr>
            <w:tcW w:type="dxa" w:w="28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What it is</w:t>
            </w:r>
          </w:p>
        </w:tc>
        <w:tc>
          <w:tcPr>
            <w:tcW w:type="dxa" w:w="516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What it produces</w:t>
            </w:r>
          </w:p>
        </w:tc>
      </w:tr>
      <w:tr>
        <w:tc>
          <w:tcPr>
            <w:tcW w:type="dxa" w:w="14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pPr>
              <w:spacing w:after="40"/>
              <w:jc w:val="left"/>
            </w:pPr>
            <w:r>
              <w:rPr>
                <w:b/>
                <w:bCs/>
                <w:sz w:val="20"/>
                <w:szCs w:val="20"/>
              </w:rPr>
              <w:t xml:space="preserve">6</w:t>
            </w:r>
          </w:p>
        </w:tc>
        <w:tc>
          <w:tcPr>
            <w:tcW w:type="dxa" w:w="2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Skills Passport + Employer View</w:t>
            </w:r>
          </w:p>
        </w:tc>
        <w:tc>
          <w:tcPr>
            <w:tcW w:type="dxa" w:w="51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The shareable credential. 10 Standards with star ratings, SRI score, certifications, technical skills. Scannable QR code.</w:t>
            </w:r>
          </w:p>
        </w:tc>
      </w:tr>
      <w:tr>
        <w:tc>
          <w:tcPr>
            <w:tcW w:type="dxa" w:w="14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pPr>
              <w:spacing w:after="40"/>
              <w:jc w:val="left"/>
            </w:pPr>
            <w:r>
              <w:rPr>
                <w:b/>
                <w:bCs/>
                <w:sz w:val="20"/>
                <w:szCs w:val="20"/>
              </w:rPr>
              <w:t xml:space="preserve">5</w:t>
            </w:r>
          </w:p>
        </w:tc>
        <w:tc>
          <w:tcPr>
            <w:tcW w:type="dxa" w:w="2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SRI Score Engine (300–900)</w:t>
            </w:r>
          </w:p>
        </w:tc>
        <w:tc>
          <w:tcPr>
            <w:tcW w:type="dxa" w:w="51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One composite score derived from 5 legally compliant categories. Used by employers and institutions.</w:t>
            </w:r>
          </w:p>
        </w:tc>
      </w:tr>
      <w:tr>
        <w:tc>
          <w:tcPr>
            <w:tcW w:type="dxa" w:w="14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pPr>
              <w:spacing w:after="40"/>
              <w:jc w:val="left"/>
            </w:pPr>
            <w:r>
              <w:rPr>
                <w:b/>
                <w:bCs/>
                <w:sz w:val="20"/>
                <w:szCs w:val="20"/>
              </w:rPr>
              <w:t xml:space="preserve">4</w:t>
            </w:r>
          </w:p>
        </w:tc>
        <w:tc>
          <w:tcPr>
            <w:tcW w:type="dxa" w:w="2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7 Quotient Scores</w:t>
            </w:r>
          </w:p>
        </w:tc>
        <w:tc>
          <w:tcPr>
            <w:tcW w:type="dxa" w:w="51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CRQ, SRQ, PEQ, SIQ, DAQ, LQ, SEQ. Each aggregates data from courses, stages and tracks.</w:t>
            </w:r>
          </w:p>
        </w:tc>
      </w:tr>
      <w:tr>
        <w:tc>
          <w:tcPr>
            <w:tcW w:type="dxa" w:w="14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pPr>
              <w:spacing w:after="40"/>
              <w:jc w:val="left"/>
            </w:pPr>
            <w:r>
              <w:rPr>
                <w:b/>
                <w:bCs/>
                <w:sz w:val="20"/>
                <w:szCs w:val="20"/>
              </w:rPr>
              <w:t xml:space="preserve">3</w:t>
            </w:r>
          </w:p>
        </w:tc>
        <w:tc>
          <w:tcPr>
            <w:tcW w:type="dxa" w:w="2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Assessment Engine</w:t>
            </w:r>
          </w:p>
        </w:tc>
        <w:tc>
          <w:tcPr>
            <w:tcW w:type="dxa" w:w="51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Scores MCQs, FIBs, SJTs, micro-challenges, trade-offs. See Document 3 for all formulas. Note: peer calibration is not used in v2.0 — the assessment architecture is fully digital.</w:t>
            </w:r>
          </w:p>
        </w:tc>
      </w:tr>
      <w:tr>
        <w:tc>
          <w:tcPr>
            <w:tcW w:type="dxa" w:w="14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pPr>
              <w:spacing w:after="40"/>
              <w:jc w:val="left"/>
            </w:pPr>
            <w:r>
              <w:rPr>
                <w:b/>
                <w:bCs/>
                <w:sz w:val="20"/>
                <w:szCs w:val="20"/>
              </w:rPr>
              <w:t xml:space="preserve">2</w:t>
            </w:r>
          </w:p>
        </w:tc>
        <w:tc>
          <w:tcPr>
            <w:tcW w:type="dxa" w:w="2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Content Delivery</w:t>
            </w:r>
          </w:p>
        </w:tc>
        <w:tc>
          <w:tcPr>
            <w:tcW w:type="dxa" w:w="51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40 courses + 4 stage assessments + daily micro-challenges + monthly fitness checks.</w:t>
            </w:r>
          </w:p>
        </w:tc>
      </w:tr>
      <w:tr>
        <w:tc>
          <w:tcPr>
            <w:tcW w:type="dxa" w:w="14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pPr>
              <w:spacing w:after="40"/>
              <w:jc w:val="left"/>
            </w:pPr>
            <w:r>
              <w:rPr>
                <w:b/>
                <w:bCs/>
                <w:sz w:val="20"/>
                <w:szCs w:val="20"/>
              </w:rPr>
              <w:t xml:space="preserve">1</w:t>
            </w:r>
          </w:p>
        </w:tc>
        <w:tc>
          <w:tcPr>
            <w:tcW w:type="dxa" w:w="2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Data Foundation</w:t>
            </w:r>
          </w:p>
        </w:tc>
        <w:tc>
          <w:tcPr>
            <w:tcW w:type="dxa" w:w="51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Database tables for users, courses, SJTs, responses, assessment results, quotient scores, SRI scores, consent.</w:t>
            </w:r>
          </w:p>
        </w:tc>
      </w:tr>
    </w:tbl>
    <w:p>
      <w:pPr>
        <w:spacing w:after="120" w:before="0"/>
        <w:jc w:val="left"/>
      </w:pPr>
      <w:r>
        <w:t xml:space="preserve"/>
      </w:r>
    </w:p>
    <w:p>
      <w:pPr>
        <w:pStyle w:val="Heading2"/>
        <w:spacing w:after="160" w:before="280"/>
      </w:pPr>
      <w:r>
        <w:t xml:space="preserve">1.2 The four research domains</w:t>
      </w:r>
    </w:p>
    <w:p>
      <w:pPr>
        <w:spacing w:after="120" w:before="0"/>
        <w:jc w:val="left"/>
      </w:pPr>
      <w:r>
        <w:t xml:space="preserve">Each course lives in one of four research-validated cognitive domains. The domains are derived from McKinsey DELTAs (Cognitive / Interpersonal / Self-Leadership / Digital) and from the WEF Future of Jobs clustering. SMAART's four-domain vocabulary uses these recognised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SMAART domain</w:t>
            </w:r>
          </w:p>
        </w:tc>
        <w:tc>
          <w:tcPr>
            <w:tcW w:type="dxa" w:w="32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Maps to</w:t>
            </w:r>
          </w:p>
        </w:tc>
        <w:tc>
          <w:tcPr>
            <w:tcW w:type="dxa" w:w="436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Which quotients it contains</w:t>
            </w:r>
          </w:p>
        </w:tc>
      </w:tr>
      <w:tr>
        <w:tc>
          <w:tcPr>
            <w:tcW w:type="dxa" w:w="18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pPr>
              <w:spacing w:after="40"/>
              <w:jc w:val="left"/>
            </w:pPr>
            <w:r>
              <w:rPr>
                <w:b/>
                <w:bCs/>
                <w:sz w:val="20"/>
                <w:szCs w:val="20"/>
              </w:rPr>
              <w:t xml:space="preserve">THINKING</w:t>
            </w:r>
          </w:p>
        </w:tc>
        <w:tc>
          <w:tcPr>
            <w:tcW w:type="dxa" w:w="3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McKinsey Cognitive + WEF Analytical Thinking (#1)</w:t>
            </w:r>
          </w:p>
        </w:tc>
        <w:tc>
          <w:tcPr>
            <w:tcW w:type="dxa" w:w="4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CRQ (Cognitive Readiness), part of DAQ (Digital &amp; AI Readiness)</w:t>
            </w:r>
          </w:p>
        </w:tc>
      </w:tr>
      <w:tr>
        <w:tc>
          <w:tcPr>
            <w:tcW w:type="dxa" w:w="18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pPr>
              <w:spacing w:after="40"/>
              <w:jc w:val="left"/>
            </w:pPr>
            <w:r>
              <w:rPr>
                <w:b/>
                <w:bCs/>
                <w:sz w:val="20"/>
                <w:szCs w:val="20"/>
              </w:rPr>
              <w:t xml:space="preserve">ADAPTING</w:t>
            </w:r>
          </w:p>
        </w:tc>
        <w:tc>
          <w:tcPr>
            <w:tcW w:type="dxa" w:w="3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McKinsey Self-Leadership + WEF Resilience (#2), Curiosity (#8), Motivation (#5)</w:t>
            </w:r>
          </w:p>
        </w:tc>
        <w:tc>
          <w:tcPr>
            <w:tcW w:type="dxa" w:w="4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SRQ (Self-Recovery Readiness), PEQ (Personal Effectiveness)</w:t>
            </w:r>
          </w:p>
        </w:tc>
      </w:tr>
      <w:tr>
        <w:tc>
          <w:tcPr>
            <w:tcW w:type="dxa" w:w="18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pPr>
              <w:spacing w:after="40"/>
              <w:jc w:val="left"/>
            </w:pPr>
            <w:r>
              <w:rPr>
                <w:b/>
                <w:bCs/>
                <w:sz w:val="20"/>
                <w:szCs w:val="20"/>
              </w:rPr>
              <w:t xml:space="preserve">CONNECTING</w:t>
            </w:r>
          </w:p>
        </w:tc>
        <w:tc>
          <w:tcPr>
            <w:tcW w:type="dxa" w:w="3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McKinsey Interpersonal + WEF Leadership &amp; Social Influence (#3), Empathy (#7)</w:t>
            </w:r>
          </w:p>
        </w:tc>
        <w:tc>
          <w:tcPr>
            <w:tcW w:type="dxa" w:w="4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SIQ (Social Intelligence)</w:t>
            </w:r>
          </w:p>
        </w:tc>
      </w:tr>
      <w:tr>
        <w:tc>
          <w:tcPr>
            <w:tcW w:type="dxa" w:w="18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pPr>
              <w:spacing w:after="40"/>
              <w:jc w:val="left"/>
            </w:pPr>
            <w:r>
              <w:rPr>
                <w:b/>
                <w:bCs/>
                <w:sz w:val="20"/>
                <w:szCs w:val="20"/>
              </w:rPr>
              <w:t xml:space="preserve">CREATING</w:t>
            </w:r>
          </w:p>
        </w:tc>
        <w:tc>
          <w:tcPr>
            <w:tcW w:type="dxa" w:w="3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McKinsey Higher Cognitive + WEF Creative Thinking (#4), Environmental Stewardship (growing)</w:t>
            </w:r>
          </w:p>
        </w:tc>
        <w:tc>
          <w:tcPr>
            <w:tcW w:type="dxa" w:w="4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LQ (Innovation &amp; Learning), SEQ (Stewardship &amp; Ethics), part of DAQ</w:t>
            </w:r>
          </w:p>
        </w:tc>
      </w:tr>
    </w:tbl>
    <w:p>
      <w:pPr>
        <w:spacing w:after="120" w:before="0"/>
        <w:jc w:val="left"/>
      </w:pPr>
      <w:r>
        <w:t xml:space="preserve"/>
      </w:r>
    </w:p>
    <w:p>
      <w:pPr>
        <w:pStyle w:val="Heading2"/>
        <w:spacing w:after="160" w:before="280"/>
      </w:pPr>
      <w:r>
        <w:t xml:space="preserve">1.3 The seven quotients</w:t>
      </w:r>
    </w:p>
    <w:p>
      <w:pPr>
        <w:spacing w:after="120" w:before="0"/>
        <w:jc w:val="left"/>
      </w:pPr>
      <w:r>
        <w:t xml:space="preserve">Each quotient measures a dimension of professional readiness that AI cannot fully replicate. They use 'quotient' rather than 'score' because the intention is to measure capacity that can be developed, not a fixed trait.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500"/>
        <w:gridCol w:w="1300"/>
        <w:gridCol w:w="2860"/>
      </w:tblGrid>
      <w:tr>
        <w:tc>
          <w:tcPr>
            <w:tcW w:type="dxa" w:w="9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Code</w:t>
            </w:r>
          </w:p>
        </w:tc>
        <w:tc>
          <w:tcPr>
            <w:tcW w:type="dxa" w:w="14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Name</w:t>
            </w:r>
          </w:p>
        </w:tc>
        <w:tc>
          <w:tcPr>
            <w:tcW w:type="dxa" w:w="25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What it measures</w:t>
            </w:r>
          </w:p>
        </w:tc>
        <w:tc>
          <w:tcPr>
            <w:tcW w:type="dxa" w:w="13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Stage</w:t>
            </w:r>
          </w:p>
        </w:tc>
        <w:tc>
          <w:tcPr>
            <w:tcW w:type="dxa" w:w="286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WEF alignment</w:t>
            </w:r>
          </w:p>
        </w:tc>
      </w:tr>
      <w:tr>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CRQ</w:t>
            </w:r>
          </w:p>
        </w:tc>
        <w:tc>
          <w:tcPr>
            <w:tcW w:type="dxa" w:w="14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Cognitive Readiness</w:t>
            </w:r>
          </w:p>
        </w:tc>
        <w:tc>
          <w:tcPr>
            <w:tcW w:type="dxa" w:w="25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Analyse situations, structure problems, evaluate evidence, make defensible decisions.</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Capacity</w:t>
            </w:r>
          </w:p>
        </w:tc>
        <w:tc>
          <w:tcPr>
            <w:tcW w:type="dxa" w:w="28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#1 Analytical Thinking</w:t>
            </w:r>
          </w:p>
        </w:tc>
      </w:tr>
      <w:tr>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SRQ</w:t>
            </w:r>
          </w:p>
        </w:tc>
        <w:tc>
          <w:tcPr>
            <w:tcW w:type="dxa" w:w="14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Self-Recovery Readiness</w:t>
            </w:r>
          </w:p>
        </w:tc>
        <w:tc>
          <w:tcPr>
            <w:tcW w:type="dxa" w:w="25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Recover from setbacks, adapt to change, keep learning under pressure.</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Capacity</w:t>
            </w:r>
          </w:p>
        </w:tc>
        <w:tc>
          <w:tcPr>
            <w:tcW w:type="dxa" w:w="28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 Resilience + #8 Curiosity</w:t>
            </w:r>
          </w:p>
        </w:tc>
      </w:tr>
      <w:tr>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PEQ</w:t>
            </w:r>
          </w:p>
        </w:tc>
        <w:tc>
          <w:tcPr>
            <w:tcW w:type="dxa" w:w="14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Personal Effectiveness</w:t>
            </w:r>
          </w:p>
        </w:tc>
        <w:tc>
          <w:tcPr>
            <w:tcW w:type="dxa" w:w="25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Manage time, maintain quality, sustain effort, hold self accountable.</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Capacity</w:t>
            </w:r>
          </w:p>
        </w:tc>
        <w:tc>
          <w:tcPr>
            <w:tcW w:type="dxa" w:w="28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#5 Motivation &amp; Self-Awareness</w:t>
            </w:r>
          </w:p>
        </w:tc>
      </w:tr>
      <w:tr>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SIQ</w:t>
            </w:r>
          </w:p>
        </w:tc>
        <w:tc>
          <w:tcPr>
            <w:tcW w:type="dxa" w:w="14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Social Intelligence</w:t>
            </w:r>
          </w:p>
        </w:tc>
        <w:tc>
          <w:tcPr>
            <w:tcW w:type="dxa" w:w="25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Communicate clearly, listen deeply, collaborate, influence outcomes.</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Capability</w:t>
            </w:r>
          </w:p>
        </w:tc>
        <w:tc>
          <w:tcPr>
            <w:tcW w:type="dxa" w:w="28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#3 Leadership + #7 Empathy</w:t>
            </w:r>
          </w:p>
        </w:tc>
      </w:tr>
      <w:tr>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DAQ</w:t>
            </w:r>
          </w:p>
        </w:tc>
        <w:tc>
          <w:tcPr>
            <w:tcW w:type="dxa" w:w="14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Digital &amp; AI Readiness</w:t>
            </w:r>
          </w:p>
        </w:tc>
        <w:tc>
          <w:tcPr>
            <w:tcW w:type="dxa" w:w="25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Work with AI responsibly, verify output, integrate technology into workflows.</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Capability</w:t>
            </w:r>
          </w:p>
        </w:tc>
        <w:tc>
          <w:tcPr>
            <w:tcW w:type="dxa" w:w="28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#6 Tech Literacy + AI &amp; Big Data (#1 growing)</w:t>
            </w:r>
          </w:p>
        </w:tc>
      </w:tr>
      <w:tr>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LQ</w:t>
            </w:r>
          </w:p>
        </w:tc>
        <w:tc>
          <w:tcPr>
            <w:tcW w:type="dxa" w:w="14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Innovation &amp; Learning</w:t>
            </w:r>
          </w:p>
        </w:tc>
        <w:tc>
          <w:tcPr>
            <w:tcW w:type="dxa" w:w="25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Think beyond the obvious, challenge assumptions, generate new approaches.</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Leadership</w:t>
            </w:r>
          </w:p>
        </w:tc>
        <w:tc>
          <w:tcPr>
            <w:tcW w:type="dxa" w:w="28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#4 Creative Thinking</w:t>
            </w:r>
          </w:p>
        </w:tc>
      </w:tr>
      <w:tr>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SEQ</w:t>
            </w:r>
          </w:p>
        </w:tc>
        <w:tc>
          <w:tcPr>
            <w:tcW w:type="dxa" w:w="14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Stewardship &amp; Ethics</w:t>
            </w:r>
          </w:p>
        </w:tc>
        <w:tc>
          <w:tcPr>
            <w:tcW w:type="dxa" w:w="25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Make ethical decisions, develop others, lead change, handle complexity with responsibility.</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Leadership</w:t>
            </w:r>
          </w:p>
        </w:tc>
        <w:tc>
          <w:tcPr>
            <w:tcW w:type="dxa" w:w="28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#10 Environmental Stewardship (rising)</w:t>
            </w:r>
          </w:p>
        </w:tc>
      </w:tr>
    </w:tbl>
    <w:p>
      <w:pPr>
        <w:spacing w:after="120" w:before="0"/>
        <w:jc w:val="left"/>
      </w:pPr>
      <w:r>
        <w:t xml:space="preserve"/>
      </w:r>
    </w:p>
    <w:p>
      <w:pPr>
        <w:pStyle w:val="Heading2"/>
        <w:spacing w:after="160" w:before="280"/>
      </w:pPr>
      <w:r>
        <w:t xml:space="preserve">1.4 The ten professional standards</w:t>
      </w:r>
    </w:p>
    <w:p>
      <w:pPr>
        <w:spacing w:after="120" w:before="0"/>
        <w:jc w:val="left"/>
      </w:pPr>
      <w:r>
        <w:t xml:space="preserve">The 10 Standards are the organising layer that sits above courses, quotients and tracks. Every course teaches a method for meeting a specific standard. The Skills Passport shows a student's star rating against each of the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7060"/>
      </w:tblGrid>
      <w:tr>
        <w:tc>
          <w:tcPr>
            <w:tcW w:type="dxa" w:w="7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w:t>
            </w:r>
          </w:p>
        </w:tc>
        <w:tc>
          <w:tcPr>
            <w:tcW w:type="dxa" w:w="16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Standard</w:t>
            </w:r>
          </w:p>
        </w:tc>
        <w:tc>
          <w:tcPr>
            <w:tcW w:type="dxa" w:w="706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What a graduate demonstrates</w:t>
            </w:r>
          </w:p>
        </w:tc>
      </w:tr>
      <w:tr>
        <w:tc>
          <w:tcPr>
            <w:tcW w:type="dxa" w:w="7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1</w:t>
            </w:r>
          </w:p>
        </w:tc>
        <w:tc>
          <w:tcPr>
            <w:tcW w:type="dxa" w:w="16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UNDERSTAND</w:t>
            </w:r>
          </w:p>
        </w:tc>
        <w:tc>
          <w:tcPr>
            <w:tcW w:type="dxa" w:w="7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Can interpret information, read a system, translate data into insight.</w:t>
            </w:r>
          </w:p>
        </w:tc>
      </w:tr>
      <w:tr>
        <w:tc>
          <w:tcPr>
            <w:tcW w:type="dxa" w:w="7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w:t>
            </w:r>
          </w:p>
        </w:tc>
        <w:tc>
          <w:tcPr>
            <w:tcW w:type="dxa" w:w="16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STRUCTURE</w:t>
            </w:r>
          </w:p>
        </w:tc>
        <w:tc>
          <w:tcPr>
            <w:tcW w:type="dxa" w:w="7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Can break a problem down, organise a decision, build a logical case.</w:t>
            </w:r>
          </w:p>
        </w:tc>
      </w:tr>
      <w:tr>
        <w:tc>
          <w:tcPr>
            <w:tcW w:type="dxa" w:w="7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3</w:t>
            </w:r>
          </w:p>
        </w:tc>
        <w:tc>
          <w:tcPr>
            <w:tcW w:type="dxa" w:w="16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VERIFY</w:t>
            </w:r>
          </w:p>
        </w:tc>
        <w:tc>
          <w:tcPr>
            <w:tcW w:type="dxa" w:w="7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Can evaluate evidence, check quality, catch errors, identify bias.</w:t>
            </w:r>
          </w:p>
        </w:tc>
      </w:tr>
      <w:tr>
        <w:tc>
          <w:tcPr>
            <w:tcW w:type="dxa" w:w="7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4</w:t>
            </w:r>
          </w:p>
        </w:tc>
        <w:tc>
          <w:tcPr>
            <w:tcW w:type="dxa" w:w="16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ADAPT</w:t>
            </w:r>
          </w:p>
        </w:tc>
        <w:tc>
          <w:tcPr>
            <w:tcW w:type="dxa" w:w="7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Can recover from setbacks, change course, learn new tools fast.</w:t>
            </w:r>
          </w:p>
        </w:tc>
      </w:tr>
      <w:tr>
        <w:tc>
          <w:tcPr>
            <w:tcW w:type="dxa" w:w="7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5</w:t>
            </w:r>
          </w:p>
        </w:tc>
        <w:tc>
          <w:tcPr>
            <w:tcW w:type="dxa" w:w="16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COMMUNICATE</w:t>
            </w:r>
          </w:p>
        </w:tc>
        <w:tc>
          <w:tcPr>
            <w:tcW w:type="dxa" w:w="7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Can convey ideas clearly, present with confidence, serve a stakeholder.</w:t>
            </w:r>
          </w:p>
        </w:tc>
      </w:tr>
      <w:tr>
        <w:tc>
          <w:tcPr>
            <w:tcW w:type="dxa" w:w="7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6</w:t>
            </w:r>
          </w:p>
        </w:tc>
        <w:tc>
          <w:tcPr>
            <w:tcW w:type="dxa" w:w="16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CONNECT</w:t>
            </w:r>
          </w:p>
        </w:tc>
        <w:tc>
          <w:tcPr>
            <w:tcW w:type="dxa" w:w="7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Can build networks, collaborate across teams, resolve conflict, negotiate outcomes.</w:t>
            </w:r>
          </w:p>
        </w:tc>
      </w:tr>
      <w:tr>
        <w:tc>
          <w:tcPr>
            <w:tcW w:type="dxa" w:w="7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7</w:t>
            </w:r>
          </w:p>
        </w:tc>
        <w:tc>
          <w:tcPr>
            <w:tcW w:type="dxa" w:w="16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OWN</w:t>
            </w:r>
          </w:p>
        </w:tc>
        <w:tc>
          <w:tcPr>
            <w:tcW w:type="dxa" w:w="7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Can manage priorities, hold the line on quality, delegate effectively, take accountability.</w:t>
            </w:r>
          </w:p>
        </w:tc>
      </w:tr>
      <w:tr>
        <w:tc>
          <w:tcPr>
            <w:tcW w:type="dxa" w:w="7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8</w:t>
            </w:r>
          </w:p>
        </w:tc>
        <w:tc>
          <w:tcPr>
            <w:tcW w:type="dxa" w:w="16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CREATE</w:t>
            </w:r>
          </w:p>
        </w:tc>
        <w:tc>
          <w:tcPr>
            <w:tcW w:type="dxa" w:w="7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Can think divergently, reframe problems, innovate within constraints.</w:t>
            </w:r>
          </w:p>
        </w:tc>
      </w:tr>
      <w:tr>
        <w:tc>
          <w:tcPr>
            <w:tcW w:type="dxa" w:w="7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9</w:t>
            </w:r>
          </w:p>
        </w:tc>
        <w:tc>
          <w:tcPr>
            <w:tcW w:type="dxa" w:w="16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LEAD</w:t>
            </w:r>
          </w:p>
        </w:tc>
        <w:tc>
          <w:tcPr>
            <w:tcW w:type="dxa" w:w="7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Can reason ethically, develop others, drive change through small wins.</w:t>
            </w:r>
          </w:p>
        </w:tc>
      </w:tr>
      <w:tr>
        <w:tc>
          <w:tcPr>
            <w:tcW w:type="dxa" w:w="7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10</w:t>
            </w:r>
          </w:p>
        </w:tc>
        <w:tc>
          <w:tcPr>
            <w:tcW w:type="dxa" w:w="16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GROW</w:t>
            </w:r>
          </w:p>
        </w:tc>
        <w:tc>
          <w:tcPr>
            <w:tcW w:type="dxa" w:w="7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Can learn from feedback, build growth mindset, evolve with the role.</w:t>
            </w:r>
          </w:p>
        </w:tc>
      </w:tr>
    </w:tbl>
    <w:p>
      <w:r>
        <w:br w:type="page"/>
      </w:r>
    </w:p>
    <w:p>
      <w:pPr>
        <w:pStyle w:val="Heading1"/>
        <w:spacing w:after="200" w:before="360"/>
      </w:pPr>
      <w:r>
        <w:t xml:space="preserve">Section 2 — The Three Stages of the Core Programme</w:t>
      </w:r>
    </w:p>
    <w:p>
      <w:pPr>
        <w:spacing w:after="160" w:before="0"/>
        <w:jc w:val="left"/>
      </w:pPr>
      <w:r>
        <w:t xml:space="preserve">The 25 Human Intelligence courses are delivered in three stages that match the developmental sequence of a professional career. A student cannot work with others well (Capability) without first managing themselves (Capacity); cannot lead others well (Leadership) without first working effectively alongside them (Capability). The stages are sequential and gated.</w:t>
      </w:r>
    </w:p>
    <w:p>
      <w:pPr>
        <w:pStyle w:val="Heading2"/>
        <w:spacing w:after="160" w:before="280"/>
      </w:pPr>
      <w:r>
        <w:t xml:space="preserve">2.1 Stage 1 — CAPACITY: 'Can I manage myself and think clearly?'</w:t>
      </w:r>
    </w:p>
    <w:p>
      <w:pPr>
        <w:pStyle w:val="ListParagraph"/>
        <w:numPr>
          <w:ilvl w:val="0"/>
          <w:numId w:val="2"/>
        </w:numPr>
        <w:spacing w:after="80"/>
      </w:pPr>
      <w:r>
        <w:rPr>
          <w:b/>
          <w:bCs/>
        </w:rPr>
        <w:t xml:space="preserve">When: </w:t>
      </w:r>
      <w:r>
        <w:t xml:space="preserve">Year 1 UG / Semester 1 PG (Track B for postgraduates).</w:t>
      </w:r>
    </w:p>
    <w:p>
      <w:pPr>
        <w:pStyle w:val="ListParagraph"/>
        <w:numPr>
          <w:ilvl w:val="0"/>
          <w:numId w:val="2"/>
        </w:numPr>
        <w:spacing w:after="80"/>
      </w:pPr>
      <w:r>
        <w:rPr>
          <w:b/>
          <w:bCs/>
        </w:rPr>
        <w:t xml:space="preserve">Domain emphasis: </w:t>
      </w:r>
      <w:r>
        <w:t xml:space="preserve">THINKING + ADAPTING.</w:t>
      </w:r>
    </w:p>
    <w:p>
      <w:pPr>
        <w:pStyle w:val="ListParagraph"/>
        <w:numPr>
          <w:ilvl w:val="0"/>
          <w:numId w:val="2"/>
        </w:numPr>
        <w:spacing w:after="80"/>
      </w:pPr>
      <w:r>
        <w:rPr>
          <w:b/>
          <w:bCs/>
        </w:rPr>
        <w:t xml:space="preserve">Quotients developed: </w:t>
      </w:r>
      <w:r>
        <w:t xml:space="preserve">CRQ, SRQ, PEQ (and foundational SIQ via networking).</w:t>
      </w:r>
    </w:p>
    <w:p>
      <w:pPr>
        <w:pStyle w:val="ListParagraph"/>
        <w:numPr>
          <w:ilvl w:val="0"/>
          <w:numId w:val="2"/>
        </w:numPr>
        <w:spacing w:after="80"/>
      </w:pPr>
      <w:r>
        <w:rPr>
          <w:b/>
          <w:bCs/>
        </w:rPr>
        <w:t xml:space="preserve">Number of courses: </w:t>
      </w:r>
      <w:r>
        <w:t xml:space="preserve">10 courses (S01–S10) including 6 delivered in Year 1 and 4 in Year 2.</w:t>
      </w:r>
    </w:p>
    <w:p>
      <w:pPr>
        <w:pStyle w:val="ListParagraph"/>
        <w:numPr>
          <w:ilvl w:val="0"/>
          <w:numId w:val="2"/>
        </w:numPr>
        <w:spacing w:after="80"/>
      </w:pPr>
      <w:r>
        <w:rPr>
          <w:b/>
          <w:bCs/>
        </w:rPr>
        <w:t xml:space="preserve">Gate to Stage 2: </w:t>
      </w:r>
      <w:r>
        <w:t xml:space="preserve">8 of 10 Capacity courses passed at ≥70% + T2 stage assessment taken.</w:t>
      </w:r>
    </w:p>
    <w:p>
      <w:pPr>
        <w:spacing w:after="160" w:before="0"/>
        <w:jc w:val="left"/>
      </w:pPr>
      <w:r>
        <w:t xml:space="preserve">Why it comes first: McKinsey's 18,000-person DELTAs study found that Self-Leadership is the single strongest predictor of employment — stronger than any cognitive or interpersonal skill. A student who cannot think clearly or manage themselves is a liability in any team regardless of technical strength. Capacity is the foundation.</w:t>
      </w:r>
    </w:p>
    <w:p>
      <w:pPr>
        <w:pStyle w:val="Heading2"/>
        <w:spacing w:after="160" w:before="280"/>
      </w:pPr>
      <w:r>
        <w:t xml:space="preserve">2.2 Stage 2 — CAPABILITY: 'Can I work with others and deliver results?'</w:t>
      </w:r>
    </w:p>
    <w:p>
      <w:pPr>
        <w:pStyle w:val="ListParagraph"/>
        <w:numPr>
          <w:ilvl w:val="0"/>
          <w:numId w:val="2"/>
        </w:numPr>
        <w:spacing w:after="80"/>
      </w:pPr>
      <w:r>
        <w:rPr>
          <w:b/>
          <w:bCs/>
        </w:rPr>
        <w:t xml:space="preserve">When: </w:t>
      </w:r>
      <w:r>
        <w:t xml:space="preserve">Year 2–3 UG / Semester 2–3 PG.</w:t>
      </w:r>
    </w:p>
    <w:p>
      <w:pPr>
        <w:pStyle w:val="ListParagraph"/>
        <w:numPr>
          <w:ilvl w:val="0"/>
          <w:numId w:val="2"/>
        </w:numPr>
        <w:spacing w:after="80"/>
      </w:pPr>
      <w:r>
        <w:rPr>
          <w:b/>
          <w:bCs/>
        </w:rPr>
        <w:t xml:space="preserve">Domain emphasis: </w:t>
      </w:r>
      <w:r>
        <w:t xml:space="preserve">CONNECTING + THINKING applied to interpersonal contexts.</w:t>
      </w:r>
    </w:p>
    <w:p>
      <w:pPr>
        <w:pStyle w:val="ListParagraph"/>
        <w:numPr>
          <w:ilvl w:val="0"/>
          <w:numId w:val="2"/>
        </w:numPr>
        <w:spacing w:after="80"/>
      </w:pPr>
      <w:r>
        <w:rPr>
          <w:b/>
          <w:bCs/>
        </w:rPr>
        <w:t xml:space="preserve">Quotients developed: </w:t>
      </w:r>
      <w:r>
        <w:t xml:space="preserve">SIQ (primary), DAQ.</w:t>
      </w:r>
    </w:p>
    <w:p>
      <w:pPr>
        <w:pStyle w:val="ListParagraph"/>
        <w:numPr>
          <w:ilvl w:val="0"/>
          <w:numId w:val="2"/>
        </w:numPr>
        <w:spacing w:after="80"/>
      </w:pPr>
      <w:r>
        <w:rPr>
          <w:b/>
          <w:bCs/>
        </w:rPr>
        <w:t xml:space="preserve">Number of courses: </w:t>
      </w:r>
      <w:r>
        <w:t xml:space="preserve">9 courses (S11–S19) including S15 GUARD-4, the AIQ Track gateway.</w:t>
      </w:r>
    </w:p>
    <w:p>
      <w:pPr>
        <w:pStyle w:val="ListParagraph"/>
        <w:numPr>
          <w:ilvl w:val="0"/>
          <w:numId w:val="2"/>
        </w:numPr>
        <w:spacing w:after="80"/>
      </w:pPr>
      <w:r>
        <w:rPr>
          <w:b/>
          <w:bCs/>
        </w:rPr>
        <w:t xml:space="preserve">Gate to Stage 3: </w:t>
      </w:r>
      <w:r>
        <w:t xml:space="preserve">7 of 9 Capability courses passed at ≥70% + T3 stage assessment taken.</w:t>
      </w:r>
    </w:p>
    <w:p>
      <w:pPr>
        <w:spacing w:after="160" w:before="0"/>
        <w:jc w:val="left"/>
      </w:pPr>
      <w:r>
        <w:t xml:space="preserve">Why it comes second: WEF ranks Leadership and Social Influence as the #3 global core skill. NASSCOM's annual industry feedback consistently identifies communication as the #1 gap in Indian graduates. These capabilities assume Capacity is already in place — a student cannot communicate clearly if they cannot think clearly.</w:t>
      </w:r>
    </w:p>
    <w:p>
      <w:pPr>
        <w:pStyle w:val="Heading2"/>
        <w:spacing w:after="160" w:before="280"/>
      </w:pPr>
      <w:r>
        <w:t xml:space="preserve">2.3 Stage 3 — LEADERSHIP: 'Can I influence, create and lead?'</w:t>
      </w:r>
    </w:p>
    <w:p>
      <w:pPr>
        <w:pStyle w:val="ListParagraph"/>
        <w:numPr>
          <w:ilvl w:val="0"/>
          <w:numId w:val="2"/>
        </w:numPr>
        <w:spacing w:after="80"/>
      </w:pPr>
      <w:r>
        <w:rPr>
          <w:b/>
          <w:bCs/>
        </w:rPr>
        <w:t xml:space="preserve">When: </w:t>
      </w:r>
      <w:r>
        <w:t xml:space="preserve">Year 3–4 UG / Semester 3–4 PG.</w:t>
      </w:r>
    </w:p>
    <w:p>
      <w:pPr>
        <w:pStyle w:val="ListParagraph"/>
        <w:numPr>
          <w:ilvl w:val="0"/>
          <w:numId w:val="2"/>
        </w:numPr>
        <w:spacing w:after="80"/>
      </w:pPr>
      <w:r>
        <w:rPr>
          <w:b/>
          <w:bCs/>
        </w:rPr>
        <w:t xml:space="preserve">Domain emphasis: </w:t>
      </w:r>
      <w:r>
        <w:t xml:space="preserve">CREATING + CONNECTING applied to organisational contexts.</w:t>
      </w:r>
    </w:p>
    <w:p>
      <w:pPr>
        <w:pStyle w:val="ListParagraph"/>
        <w:numPr>
          <w:ilvl w:val="0"/>
          <w:numId w:val="2"/>
        </w:numPr>
        <w:spacing w:after="80"/>
      </w:pPr>
      <w:r>
        <w:rPr>
          <w:b/>
          <w:bCs/>
        </w:rPr>
        <w:t xml:space="preserve">Quotients developed: </w:t>
      </w:r>
      <w:r>
        <w:t xml:space="preserve">LQ, SEQ.</w:t>
      </w:r>
    </w:p>
    <w:p>
      <w:pPr>
        <w:pStyle w:val="ListParagraph"/>
        <w:numPr>
          <w:ilvl w:val="0"/>
          <w:numId w:val="2"/>
        </w:numPr>
        <w:spacing w:after="80"/>
      </w:pPr>
      <w:r>
        <w:rPr>
          <w:b/>
          <w:bCs/>
        </w:rPr>
        <w:t xml:space="preserve">Number of courses: </w:t>
      </w:r>
      <w:r>
        <w:t xml:space="preserve">6 courses (S19–S24) including S21 LENS-4, the SQ Track gateway.</w:t>
      </w:r>
    </w:p>
    <w:p>
      <w:pPr>
        <w:pStyle w:val="ListParagraph"/>
        <w:numPr>
          <w:ilvl w:val="0"/>
          <w:numId w:val="2"/>
        </w:numPr>
        <w:spacing w:after="80"/>
      </w:pPr>
      <w:r>
        <w:rPr>
          <w:b/>
          <w:bCs/>
        </w:rPr>
        <w:t xml:space="preserve">Programme completion: </w:t>
      </w:r>
      <w:r>
        <w:t xml:space="preserve">5 of 6 Leadership courses passed + T4 stage assessment taken.</w:t>
      </w:r>
    </w:p>
    <w:p>
      <w:pPr>
        <w:spacing w:after="200" w:before="0"/>
        <w:jc w:val="left"/>
      </w:pPr>
      <w:r>
        <w:t xml:space="preserve">Why it comes last: McKinsey projects 19% growth in demand for higher cognitive skills (creativity, innovation, systems thinking) by 2030. WEF lists creative thinking as both the #4 core skill and the #3 fastest-growing skill. Leadership is not just for managers; it is required in any role where initiative and ethical judgment matter. It rests on the other two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B0B0B0" w:sz="4"/>
              <w:bottom w:val="single" w:color="B0B0B0" w:sz="4"/>
              <w:right w:val="single" w:color="B0B0B0" w:sz="4"/>
            </w:tcBorders>
            <w:shd w:fill="D9E2F3" w:val="clear"/>
            <w:tcMar>
              <w:top w:type="dxa" w:w="160"/>
              <w:left w:type="dxa" w:w="200"/>
              <w:bottom w:type="dxa" w:w="160"/>
              <w:right w:type="dxa" w:w="200"/>
            </w:tcMar>
          </w:tcPr>
          <w:p>
            <w:pPr>
              <w:spacing w:after="80"/>
            </w:pPr>
            <w:r>
              <w:rPr>
                <w:b/>
                <w:bCs/>
                <w:sz w:val="22"/>
                <w:szCs w:val="22"/>
              </w:rPr>
              <w:t xml:space="preserve">The stages summarised in one line each</w:t>
            </w:r>
          </w:p>
          <w:p>
            <w:pPr>
              <w:spacing w:after="0"/>
            </w:pPr>
            <w:r>
              <w:rPr>
                <w:sz w:val="20"/>
                <w:szCs w:val="20"/>
              </w:rPr>
              <w:t xml:space="preserve">Capacity: you run yourself. Capability: you run with others. Leadership: others run through you.</w:t>
            </w:r>
          </w:p>
        </w:tc>
      </w:tr>
    </w:tbl>
    <w:p>
      <w:r>
        <w:br w:type="page"/>
      </w:r>
    </w:p>
    <w:p>
      <w:pPr>
        <w:pStyle w:val="Heading1"/>
        <w:spacing w:after="200" w:before="360"/>
      </w:pPr>
      <w:r>
        <w:t xml:space="preserve">Section 3 — The 25 Human Intelligence Courses</w:t>
      </w:r>
    </w:p>
    <w:p>
      <w:pPr>
        <w:spacing w:after="160" w:before="0"/>
        <w:jc w:val="left"/>
      </w:pPr>
      <w:r>
        <w:t xml:space="preserve">Each course is a 25–35-minute module that teaches one named framework, produces one skill, and updates one quotient. The Year 1 sequencing (6 courses) is specified in Document 27 of the core spec; the full 25-course sequence spans 2–4 years and is specified in Document 28.</w:t>
      </w:r>
    </w:p>
    <w:p>
      <w:pPr>
        <w:pStyle w:val="Heading2"/>
        <w:spacing w:after="160" w:before="280"/>
      </w:pPr>
      <w:r>
        <w:t xml:space="preserve">3.1 Capacity stage (10 courses: S01–S10)</w:t>
      </w:r>
    </w:p>
    <w:p>
      <w:pPr>
        <w:spacing w:after="160" w:before="0"/>
        <w:jc w:val="left"/>
      </w:pPr>
      <w:r>
        <w:rPr>
          <w:i/>
          <w:iCs/>
          <w:color w:val="595959"/>
        </w:rPr>
        <w:t xml:space="preserve">Self-management and structured thinking. Every student starts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2000"/>
        <w:gridCol w:w="1300"/>
        <w:gridCol w:w="900"/>
        <w:gridCol w:w="900"/>
        <w:gridCol w:w="900"/>
        <w:gridCol w:w="2610"/>
      </w:tblGrid>
      <w:tr>
        <w:tc>
          <w:tcPr>
            <w:tcW w:type="dxa" w:w="75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Code</w:t>
            </w:r>
          </w:p>
        </w:tc>
        <w:tc>
          <w:tcPr>
            <w:tcW w:type="dxa" w:w="20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Course name</w:t>
            </w:r>
          </w:p>
        </w:tc>
        <w:tc>
          <w:tcPr>
            <w:tcW w:type="dxa" w:w="13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Framework</w:t>
            </w:r>
          </w:p>
        </w:tc>
        <w:tc>
          <w:tcPr>
            <w:tcW w:type="dxa" w:w="9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Quotient</w:t>
            </w:r>
          </w:p>
        </w:tc>
        <w:tc>
          <w:tcPr>
            <w:tcW w:type="dxa" w:w="9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Standard</w:t>
            </w:r>
          </w:p>
        </w:tc>
        <w:tc>
          <w:tcPr>
            <w:tcW w:type="dxa" w:w="9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Duration</w:t>
            </w:r>
          </w:p>
        </w:tc>
        <w:tc>
          <w:tcPr>
            <w:tcW w:type="dxa" w:w="261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What the graduate can do</w:t>
            </w:r>
          </w:p>
        </w:tc>
      </w:tr>
      <w:tr>
        <w:tc>
          <w:tcPr>
            <w:tcW w:type="dxa" w:w="750"/>
            <w:tcBorders>
              <w:top w:val="single" w:color="B0B0B0" w:sz="4"/>
              <w:left w:val="single" w:color="B0B0B0" w:sz="4"/>
              <w:bottom w:val="single" w:color="B0B0B0" w:sz="4"/>
              <w:right w:val="single" w:color="B0B0B0" w:sz="4"/>
            </w:tcBorders>
            <w:shd w:fill="E8F1D9" w:val="clear"/>
            <w:tcMar>
              <w:top w:type="dxa" w:w="100"/>
              <w:left w:type="dxa" w:w="120"/>
              <w:bottom w:type="dxa" w:w="100"/>
              <w:right w:type="dxa" w:w="120"/>
            </w:tcMar>
          </w:tcPr>
          <w:p>
            <w:pPr>
              <w:spacing w:after="40"/>
              <w:jc w:val="left"/>
            </w:pPr>
            <w:r>
              <w:rPr>
                <w:b/>
                <w:bCs/>
                <w:sz w:val="20"/>
                <w:szCs w:val="20"/>
              </w:rPr>
              <w:t xml:space="preserve">S01</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Analytical Thinking: Structured Decision-Making</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CLEAR-5</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CRQ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STRUCTURE</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30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Clarify the decision, list constraints, evaluate options, act defensibly, record rationale.</w:t>
            </w:r>
          </w:p>
        </w:tc>
      </w:tr>
      <w:tr>
        <w:tc>
          <w:tcPr>
            <w:tcW w:type="dxa" w:w="750"/>
            <w:tcBorders>
              <w:top w:val="single" w:color="B0B0B0" w:sz="4"/>
              <w:left w:val="single" w:color="B0B0B0" w:sz="4"/>
              <w:bottom w:val="single" w:color="B0B0B0" w:sz="4"/>
              <w:right w:val="single" w:color="B0B0B0" w:sz="4"/>
            </w:tcBorders>
            <w:shd w:fill="E8F1D9" w:val="clear"/>
            <w:tcMar>
              <w:top w:type="dxa" w:w="100"/>
              <w:left w:type="dxa" w:w="120"/>
              <w:bottom w:type="dxa" w:w="100"/>
              <w:right w:type="dxa" w:w="120"/>
            </w:tcMar>
          </w:tcPr>
          <w:p>
            <w:pPr>
              <w:spacing w:after="40"/>
              <w:jc w:val="left"/>
            </w:pPr>
            <w:r>
              <w:rPr>
                <w:b/>
                <w:bCs/>
                <w:sz w:val="20"/>
                <w:szCs w:val="20"/>
              </w:rPr>
              <w:t xml:space="preserve">S02</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Problem-Solving: Decomposition</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BREAK-4</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CRQ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STRUCTURE</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25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Break a complex problem into parts, sequence them, start with the highest-leverage piece.</w:t>
            </w:r>
          </w:p>
        </w:tc>
      </w:tr>
      <w:tr>
        <w:tc>
          <w:tcPr>
            <w:tcW w:type="dxa" w:w="750"/>
            <w:tcBorders>
              <w:top w:val="single" w:color="B0B0B0" w:sz="4"/>
              <w:left w:val="single" w:color="B0B0B0" w:sz="4"/>
              <w:bottom w:val="single" w:color="B0B0B0" w:sz="4"/>
              <w:right w:val="single" w:color="B0B0B0" w:sz="4"/>
            </w:tcBorders>
            <w:shd w:fill="E8F1D9" w:val="clear"/>
            <w:tcMar>
              <w:top w:type="dxa" w:w="100"/>
              <w:left w:type="dxa" w:w="120"/>
              <w:bottom w:type="dxa" w:w="100"/>
              <w:right w:type="dxa" w:w="120"/>
            </w:tcMar>
          </w:tcPr>
          <w:p>
            <w:pPr>
              <w:spacing w:after="40"/>
              <w:jc w:val="left"/>
            </w:pPr>
            <w:r>
              <w:rPr>
                <w:b/>
                <w:bCs/>
                <w:sz w:val="20"/>
                <w:szCs w:val="20"/>
              </w:rPr>
              <w:t xml:space="preserve">S03</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Critical Thinking: Evidence-Based Judgment</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READ-3</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CRQ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VERIFY</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20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Read evidence, check sources, separate claim from argument, form a defensible view.</w:t>
            </w:r>
          </w:p>
        </w:tc>
      </w:tr>
      <w:tr>
        <w:tc>
          <w:tcPr>
            <w:tcW w:type="dxa" w:w="750"/>
            <w:tcBorders>
              <w:top w:val="single" w:color="B0B0B0" w:sz="4"/>
              <w:left w:val="single" w:color="B0B0B0" w:sz="4"/>
              <w:bottom w:val="single" w:color="B0B0B0" w:sz="4"/>
              <w:right w:val="single" w:color="B0B0B0" w:sz="4"/>
            </w:tcBorders>
            <w:shd w:fill="E8F1D9" w:val="clear"/>
            <w:tcMar>
              <w:top w:type="dxa" w:w="100"/>
              <w:left w:type="dxa" w:w="120"/>
              <w:bottom w:type="dxa" w:w="100"/>
              <w:right w:type="dxa" w:w="120"/>
            </w:tcMar>
          </w:tcPr>
          <w:p>
            <w:pPr>
              <w:spacing w:after="40"/>
              <w:jc w:val="left"/>
            </w:pPr>
            <w:r>
              <w:rPr>
                <w:b/>
                <w:bCs/>
                <w:sz w:val="20"/>
                <w:szCs w:val="20"/>
              </w:rPr>
              <w:t xml:space="preserve">S04</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Data Literacy</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COUNT-3</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CRQ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UNDERSTAND</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25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Read a chart or table, understand averages, ranges and outliers, avoid common misreadings.</w:t>
            </w:r>
          </w:p>
        </w:tc>
      </w:tr>
      <w:tr>
        <w:tc>
          <w:tcPr>
            <w:tcW w:type="dxa" w:w="750"/>
            <w:tcBorders>
              <w:top w:val="single" w:color="B0B0B0" w:sz="4"/>
              <w:left w:val="single" w:color="B0B0B0" w:sz="4"/>
              <w:bottom w:val="single" w:color="B0B0B0" w:sz="4"/>
              <w:right w:val="single" w:color="B0B0B0" w:sz="4"/>
            </w:tcBorders>
            <w:shd w:fill="E8F1D9" w:val="clear"/>
            <w:tcMar>
              <w:top w:type="dxa" w:w="100"/>
              <w:left w:type="dxa" w:w="120"/>
              <w:bottom w:type="dxa" w:w="100"/>
              <w:right w:type="dxa" w:w="120"/>
            </w:tcMar>
          </w:tcPr>
          <w:p>
            <w:pPr>
              <w:spacing w:after="40"/>
              <w:jc w:val="left"/>
            </w:pPr>
            <w:r>
              <w:rPr>
                <w:b/>
                <w:bCs/>
                <w:sz w:val="20"/>
                <w:szCs w:val="20"/>
              </w:rPr>
              <w:t xml:space="preserve">S05</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Resilience &amp; Adaptability</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RESET-4</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SRQ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ADAPT</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25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Recognise a setback, regulate the emotion, extract the lesson, set the next action. PIQ Track unlocks here.</w:t>
            </w:r>
          </w:p>
        </w:tc>
      </w:tr>
      <w:tr>
        <w:tc>
          <w:tcPr>
            <w:tcW w:type="dxa" w:w="750"/>
            <w:tcBorders>
              <w:top w:val="single" w:color="B0B0B0" w:sz="4"/>
              <w:left w:val="single" w:color="B0B0B0" w:sz="4"/>
              <w:bottom w:val="single" w:color="B0B0B0" w:sz="4"/>
              <w:right w:val="single" w:color="B0B0B0" w:sz="4"/>
            </w:tcBorders>
            <w:shd w:fill="E8F1D9" w:val="clear"/>
            <w:tcMar>
              <w:top w:type="dxa" w:w="100"/>
              <w:left w:type="dxa" w:w="120"/>
              <w:bottom w:type="dxa" w:w="100"/>
              <w:right w:type="dxa" w:w="120"/>
            </w:tcMar>
          </w:tcPr>
          <w:p>
            <w:pPr>
              <w:spacing w:after="40"/>
              <w:jc w:val="left"/>
            </w:pPr>
            <w:r>
              <w:rPr>
                <w:b/>
                <w:bCs/>
                <w:sz w:val="20"/>
                <w:szCs w:val="20"/>
              </w:rPr>
              <w:t xml:space="preserve">S06</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Curiosity &amp; Accelerated Learning</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SPRINT-4</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SRQ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ADAPT / GROW</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25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Scan for the 20% that covers 80%, practise immediately, record what works, iterate with feedback.</w:t>
            </w:r>
          </w:p>
        </w:tc>
      </w:tr>
      <w:tr>
        <w:tc>
          <w:tcPr>
            <w:tcW w:type="dxa" w:w="750"/>
            <w:tcBorders>
              <w:top w:val="single" w:color="B0B0B0" w:sz="4"/>
              <w:left w:val="single" w:color="B0B0B0" w:sz="4"/>
              <w:bottom w:val="single" w:color="B0B0B0" w:sz="4"/>
              <w:right w:val="single" w:color="B0B0B0" w:sz="4"/>
            </w:tcBorders>
            <w:shd w:fill="E8F1D9" w:val="clear"/>
            <w:tcMar>
              <w:top w:type="dxa" w:w="100"/>
              <w:left w:type="dxa" w:w="120"/>
              <w:bottom w:type="dxa" w:w="100"/>
              <w:right w:type="dxa" w:w="120"/>
            </w:tcMar>
          </w:tcPr>
          <w:p>
            <w:pPr>
              <w:spacing w:after="40"/>
              <w:jc w:val="left"/>
            </w:pPr>
            <w:r>
              <w:rPr>
                <w:b/>
                <w:bCs/>
                <w:sz w:val="20"/>
                <w:szCs w:val="20"/>
              </w:rPr>
              <w:t xml:space="preserve">S07</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Priority &amp; Energy Management</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OWN-4</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PEQ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OWN</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30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Observe energy patterns, write weekly top-3 priorities, negotiate time against demands, review every Friday.</w:t>
            </w:r>
          </w:p>
        </w:tc>
      </w:tr>
      <w:tr>
        <w:tc>
          <w:tcPr>
            <w:tcW w:type="dxa" w:w="750"/>
            <w:tcBorders>
              <w:top w:val="single" w:color="B0B0B0" w:sz="4"/>
              <w:left w:val="single" w:color="B0B0B0" w:sz="4"/>
              <w:bottom w:val="single" w:color="B0B0B0" w:sz="4"/>
              <w:right w:val="single" w:color="B0B0B0" w:sz="4"/>
            </w:tcBorders>
            <w:shd w:fill="E8F1D9" w:val="clear"/>
            <w:tcMar>
              <w:top w:type="dxa" w:w="100"/>
              <w:left w:type="dxa" w:w="120"/>
              <w:bottom w:type="dxa" w:w="100"/>
              <w:right w:type="dxa" w:w="120"/>
            </w:tcMar>
          </w:tcPr>
          <w:p>
            <w:pPr>
              <w:spacing w:after="40"/>
              <w:jc w:val="left"/>
            </w:pPr>
            <w:r>
              <w:rPr>
                <w:b/>
                <w:bCs/>
                <w:sz w:val="20"/>
                <w:szCs w:val="20"/>
              </w:rPr>
              <w:t xml:space="preserve">S08</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Quality Consciousness</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CHECK-3</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PEQ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VERIFY</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20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Check work against the brief, examine edge cases, confirm with the requestor before submitting.</w:t>
            </w:r>
          </w:p>
        </w:tc>
      </w:tr>
      <w:tr>
        <w:tc>
          <w:tcPr>
            <w:tcW w:type="dxa" w:w="750"/>
            <w:tcBorders>
              <w:top w:val="single" w:color="B0B0B0" w:sz="4"/>
              <w:left w:val="single" w:color="B0B0B0" w:sz="4"/>
              <w:bottom w:val="single" w:color="B0B0B0" w:sz="4"/>
              <w:right w:val="single" w:color="B0B0B0" w:sz="4"/>
            </w:tcBorders>
            <w:shd w:fill="E8F1D9" w:val="clear"/>
            <w:tcMar>
              <w:top w:type="dxa" w:w="100"/>
              <w:left w:type="dxa" w:w="120"/>
              <w:bottom w:type="dxa" w:w="100"/>
              <w:right w:type="dxa" w:w="120"/>
            </w:tcMar>
          </w:tcPr>
          <w:p>
            <w:pPr>
              <w:spacing w:after="40"/>
              <w:jc w:val="left"/>
            </w:pPr>
            <w:r>
              <w:rPr>
                <w:b/>
                <w:bCs/>
                <w:sz w:val="20"/>
                <w:szCs w:val="20"/>
              </w:rPr>
              <w:t xml:space="preserve">S09</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Commercial Awareness</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VALUE-4</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PEQ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CREATE</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25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See how money is made, understand cost vs. value, speak the language of the business.</w:t>
            </w:r>
          </w:p>
        </w:tc>
      </w:tr>
      <w:tr>
        <w:tc>
          <w:tcPr>
            <w:tcW w:type="dxa" w:w="750"/>
            <w:tcBorders>
              <w:top w:val="single" w:color="B0B0B0" w:sz="4"/>
              <w:left w:val="single" w:color="B0B0B0" w:sz="4"/>
              <w:bottom w:val="single" w:color="B0B0B0" w:sz="4"/>
              <w:right w:val="single" w:color="B0B0B0" w:sz="4"/>
            </w:tcBorders>
            <w:shd w:fill="E8F1D9" w:val="clear"/>
            <w:tcMar>
              <w:top w:type="dxa" w:w="100"/>
              <w:left w:type="dxa" w:w="120"/>
              <w:bottom w:type="dxa" w:w="100"/>
              <w:right w:type="dxa" w:w="120"/>
            </w:tcMar>
          </w:tcPr>
          <w:p>
            <w:pPr>
              <w:spacing w:after="40"/>
              <w:jc w:val="left"/>
            </w:pPr>
            <w:r>
              <w:rPr>
                <w:b/>
                <w:bCs/>
                <w:sz w:val="20"/>
                <w:szCs w:val="20"/>
              </w:rPr>
              <w:t xml:space="preserve">S10</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Professional Networking</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LINK-4</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SIQ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CONNECT</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25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Make a first connection, maintain the relationship, ask for help credibly, give before you take.</w:t>
            </w:r>
          </w:p>
        </w:tc>
      </w:tr>
    </w:tbl>
    <w:p>
      <w:r>
        <w:br w:type="page"/>
      </w:r>
    </w:p>
    <w:p>
      <w:pPr>
        <w:pStyle w:val="Heading2"/>
        <w:spacing w:after="160" w:before="280"/>
      </w:pPr>
      <w:r>
        <w:t xml:space="preserve">3.2 Capability stage (9 courses: S11–S19)</w:t>
      </w:r>
    </w:p>
    <w:p>
      <w:pPr>
        <w:spacing w:after="160" w:before="0"/>
        <w:jc w:val="left"/>
      </w:pPr>
      <w:r>
        <w:rPr>
          <w:i/>
          <w:iCs/>
          <w:color w:val="595959"/>
        </w:rPr>
        <w:t xml:space="preserve">Working with others: communication, collaboration, AI fluency, systems thinking. S15 GUARD-4 unlocks the AIQ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2000"/>
        <w:gridCol w:w="1300"/>
        <w:gridCol w:w="900"/>
        <w:gridCol w:w="900"/>
        <w:gridCol w:w="900"/>
        <w:gridCol w:w="2610"/>
      </w:tblGrid>
      <w:tr>
        <w:tc>
          <w:tcPr>
            <w:tcW w:type="dxa" w:w="75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Code</w:t>
            </w:r>
          </w:p>
        </w:tc>
        <w:tc>
          <w:tcPr>
            <w:tcW w:type="dxa" w:w="20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Course name</w:t>
            </w:r>
          </w:p>
        </w:tc>
        <w:tc>
          <w:tcPr>
            <w:tcW w:type="dxa" w:w="13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Framework</w:t>
            </w:r>
          </w:p>
        </w:tc>
        <w:tc>
          <w:tcPr>
            <w:tcW w:type="dxa" w:w="9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Quotient</w:t>
            </w:r>
          </w:p>
        </w:tc>
        <w:tc>
          <w:tcPr>
            <w:tcW w:type="dxa" w:w="9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Standard</w:t>
            </w:r>
          </w:p>
        </w:tc>
        <w:tc>
          <w:tcPr>
            <w:tcW w:type="dxa" w:w="9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Duration</w:t>
            </w:r>
          </w:p>
        </w:tc>
        <w:tc>
          <w:tcPr>
            <w:tcW w:type="dxa" w:w="261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What the graduate can do</w:t>
            </w:r>
          </w:p>
        </w:tc>
      </w:tr>
      <w:tr>
        <w:tc>
          <w:tcPr>
            <w:tcW w:type="dxa" w:w="750"/>
            <w:tcBorders>
              <w:top w:val="single" w:color="B0B0B0" w:sz="4"/>
              <w:left w:val="single" w:color="B0B0B0" w:sz="4"/>
              <w:bottom w:val="single" w:color="B0B0B0" w:sz="4"/>
              <w:right w:val="single" w:color="B0B0B0" w:sz="4"/>
            </w:tcBorders>
            <w:shd w:fill="FFF2CC" w:val="clear"/>
            <w:tcMar>
              <w:top w:type="dxa" w:w="100"/>
              <w:left w:type="dxa" w:w="120"/>
              <w:bottom w:type="dxa" w:w="100"/>
              <w:right w:type="dxa" w:w="120"/>
            </w:tcMar>
          </w:tcPr>
          <w:p>
            <w:pPr>
              <w:spacing w:after="40"/>
              <w:jc w:val="left"/>
            </w:pPr>
            <w:r>
              <w:rPr>
                <w:b/>
                <w:bCs/>
                <w:sz w:val="20"/>
                <w:szCs w:val="20"/>
              </w:rPr>
              <w:t xml:space="preserve">S11</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Professional Communication</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SIGNAL-3</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SIQ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COMMUNICATE</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25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Set context, inform clearly, gain alignment. No jargon. Short sentences. One recommendation.</w:t>
            </w:r>
          </w:p>
        </w:tc>
      </w:tr>
      <w:tr>
        <w:tc>
          <w:tcPr>
            <w:tcW w:type="dxa" w:w="750"/>
            <w:tcBorders>
              <w:top w:val="single" w:color="B0B0B0" w:sz="4"/>
              <w:left w:val="single" w:color="B0B0B0" w:sz="4"/>
              <w:bottom w:val="single" w:color="B0B0B0" w:sz="4"/>
              <w:right w:val="single" w:color="B0B0B0" w:sz="4"/>
            </w:tcBorders>
            <w:shd w:fill="FFF2CC" w:val="clear"/>
            <w:tcMar>
              <w:top w:type="dxa" w:w="100"/>
              <w:left w:type="dxa" w:w="120"/>
              <w:bottom w:type="dxa" w:w="100"/>
              <w:right w:type="dxa" w:w="120"/>
            </w:tcMar>
          </w:tcPr>
          <w:p>
            <w:pPr>
              <w:spacing w:after="40"/>
              <w:jc w:val="left"/>
            </w:pPr>
            <w:r>
              <w:rPr>
                <w:b/>
                <w:bCs/>
                <w:sz w:val="20"/>
                <w:szCs w:val="20"/>
              </w:rPr>
              <w:t xml:space="preserve">S12</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Empathy &amp; Active Listening</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MIRROR-3</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SIQ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UNDERSTAND</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25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Reflect what you heard, ask one clarifying question, name the emotion before responding.</w:t>
            </w:r>
          </w:p>
        </w:tc>
      </w:tr>
      <w:tr>
        <w:tc>
          <w:tcPr>
            <w:tcW w:type="dxa" w:w="750"/>
            <w:tcBorders>
              <w:top w:val="single" w:color="B0B0B0" w:sz="4"/>
              <w:left w:val="single" w:color="B0B0B0" w:sz="4"/>
              <w:bottom w:val="single" w:color="B0B0B0" w:sz="4"/>
              <w:right w:val="single" w:color="B0B0B0" w:sz="4"/>
            </w:tcBorders>
            <w:shd w:fill="FFF2CC" w:val="clear"/>
            <w:tcMar>
              <w:top w:type="dxa" w:w="100"/>
              <w:left w:type="dxa" w:w="120"/>
              <w:bottom w:type="dxa" w:w="100"/>
              <w:right w:type="dxa" w:w="120"/>
            </w:tcMar>
          </w:tcPr>
          <w:p>
            <w:pPr>
              <w:spacing w:after="40"/>
              <w:jc w:val="left"/>
            </w:pPr>
            <w:r>
              <w:rPr>
                <w:b/>
                <w:bCs/>
                <w:sz w:val="20"/>
                <w:szCs w:val="20"/>
              </w:rPr>
              <w:t xml:space="preserve">S13</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Team Collaboration</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TEAM-4</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SIQ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CONNECT</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25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Agree roles, set norms, manage progress, close loops. The habits of a team that delivers.</w:t>
            </w:r>
          </w:p>
        </w:tc>
      </w:tr>
      <w:tr>
        <w:tc>
          <w:tcPr>
            <w:tcW w:type="dxa" w:w="750"/>
            <w:tcBorders>
              <w:top w:val="single" w:color="B0B0B0" w:sz="4"/>
              <w:left w:val="single" w:color="B0B0B0" w:sz="4"/>
              <w:bottom w:val="single" w:color="B0B0B0" w:sz="4"/>
              <w:right w:val="single" w:color="B0B0B0" w:sz="4"/>
            </w:tcBorders>
            <w:shd w:fill="FFF2CC" w:val="clear"/>
            <w:tcMar>
              <w:top w:type="dxa" w:w="100"/>
              <w:left w:type="dxa" w:w="120"/>
              <w:bottom w:type="dxa" w:w="100"/>
              <w:right w:type="dxa" w:w="120"/>
            </w:tcMar>
          </w:tcPr>
          <w:p>
            <w:pPr>
              <w:spacing w:after="40"/>
              <w:jc w:val="left"/>
            </w:pPr>
            <w:r>
              <w:rPr>
                <w:b/>
                <w:bCs/>
                <w:sz w:val="20"/>
                <w:szCs w:val="20"/>
              </w:rPr>
              <w:t xml:space="preserve">S14</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Constructive Disagreement / Conflict Resolution</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BRIDGE-3</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SIQ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CONNECT</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25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Separate the issue from the person, state the interest beneath the position, propose a next step.</w:t>
            </w:r>
          </w:p>
        </w:tc>
      </w:tr>
      <w:tr>
        <w:tc>
          <w:tcPr>
            <w:tcW w:type="dxa" w:w="750"/>
            <w:tcBorders>
              <w:top w:val="single" w:color="B0B0B0" w:sz="4"/>
              <w:left w:val="single" w:color="B0B0B0" w:sz="4"/>
              <w:bottom w:val="single" w:color="B0B0B0" w:sz="4"/>
              <w:right w:val="single" w:color="B0B0B0" w:sz="4"/>
            </w:tcBorders>
            <w:shd w:fill="FFF2CC" w:val="clear"/>
            <w:tcMar>
              <w:top w:type="dxa" w:w="100"/>
              <w:left w:type="dxa" w:w="120"/>
              <w:bottom w:type="dxa" w:w="100"/>
              <w:right w:type="dxa" w:w="120"/>
            </w:tcMar>
          </w:tcPr>
          <w:p>
            <w:pPr>
              <w:spacing w:after="40"/>
              <w:jc w:val="left"/>
            </w:pPr>
            <w:r>
              <w:rPr>
                <w:b/>
                <w:bCs/>
                <w:sz w:val="20"/>
                <w:szCs w:val="20"/>
              </w:rPr>
              <w:t xml:space="preserve">S15</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AI-Augmented Work (AI Safety Foundation)</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GUARD-4</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DAQ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GROW</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35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Ground the task, understand the risk, audit the output, record what you verified. AIQ Track unlocks here.</w:t>
            </w:r>
          </w:p>
        </w:tc>
      </w:tr>
      <w:tr>
        <w:tc>
          <w:tcPr>
            <w:tcW w:type="dxa" w:w="750"/>
            <w:tcBorders>
              <w:top w:val="single" w:color="B0B0B0" w:sz="4"/>
              <w:left w:val="single" w:color="B0B0B0" w:sz="4"/>
              <w:bottom w:val="single" w:color="B0B0B0" w:sz="4"/>
              <w:right w:val="single" w:color="B0B0B0" w:sz="4"/>
            </w:tcBorders>
            <w:shd w:fill="FFF2CC" w:val="clear"/>
            <w:tcMar>
              <w:top w:type="dxa" w:w="100"/>
              <w:left w:type="dxa" w:w="120"/>
              <w:bottom w:type="dxa" w:w="100"/>
              <w:right w:type="dxa" w:w="120"/>
            </w:tcMar>
          </w:tcPr>
          <w:p>
            <w:pPr>
              <w:spacing w:after="40"/>
              <w:jc w:val="left"/>
            </w:pPr>
            <w:r>
              <w:rPr>
                <w:b/>
                <w:bCs/>
                <w:sz w:val="20"/>
                <w:szCs w:val="20"/>
              </w:rPr>
              <w:t xml:space="preserve">S16</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Systems Thinking</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ZOOM-3</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DAQ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UNDERSTAND</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20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See the whole before the part, map relationships, spot the lever point.</w:t>
            </w:r>
          </w:p>
        </w:tc>
      </w:tr>
      <w:tr>
        <w:tc>
          <w:tcPr>
            <w:tcW w:type="dxa" w:w="750"/>
            <w:tcBorders>
              <w:top w:val="single" w:color="B0B0B0" w:sz="4"/>
              <w:left w:val="single" w:color="B0B0B0" w:sz="4"/>
              <w:bottom w:val="single" w:color="B0B0B0" w:sz="4"/>
              <w:right w:val="single" w:color="B0B0B0" w:sz="4"/>
            </w:tcBorders>
            <w:shd w:fill="FFF2CC" w:val="clear"/>
            <w:tcMar>
              <w:top w:type="dxa" w:w="100"/>
              <w:left w:type="dxa" w:w="120"/>
              <w:bottom w:type="dxa" w:w="100"/>
              <w:right w:type="dxa" w:w="120"/>
            </w:tcMar>
          </w:tcPr>
          <w:p>
            <w:pPr>
              <w:spacing w:after="40"/>
              <w:jc w:val="left"/>
            </w:pPr>
            <w:r>
              <w:rPr>
                <w:b/>
                <w:bCs/>
                <w:sz w:val="20"/>
                <w:szCs w:val="20"/>
              </w:rPr>
              <w:t xml:space="preserve">S17</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Professional Presentation</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STAGE-4</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SIQ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COMMUNICATE</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25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Structure the talk, tailor to audience, anticipate questions, end with the ask.</w:t>
            </w:r>
          </w:p>
        </w:tc>
      </w:tr>
      <w:tr>
        <w:tc>
          <w:tcPr>
            <w:tcW w:type="dxa" w:w="750"/>
            <w:tcBorders>
              <w:top w:val="single" w:color="B0B0B0" w:sz="4"/>
              <w:left w:val="single" w:color="B0B0B0" w:sz="4"/>
              <w:bottom w:val="single" w:color="B0B0B0" w:sz="4"/>
              <w:right w:val="single" w:color="B0B0B0" w:sz="4"/>
            </w:tcBorders>
            <w:shd w:fill="FFF2CC" w:val="clear"/>
            <w:tcMar>
              <w:top w:type="dxa" w:w="100"/>
              <w:left w:type="dxa" w:w="120"/>
              <w:bottom w:type="dxa" w:w="100"/>
              <w:right w:type="dxa" w:w="120"/>
            </w:tcMar>
          </w:tcPr>
          <w:p>
            <w:pPr>
              <w:spacing w:after="40"/>
              <w:jc w:val="left"/>
            </w:pPr>
            <w:r>
              <w:rPr>
                <w:b/>
                <w:bCs/>
                <w:sz w:val="20"/>
                <w:szCs w:val="20"/>
              </w:rPr>
              <w:t xml:space="preserve">S18</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Stakeholder Orientation</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SERVE-4</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SIQ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COMMUNICATE</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25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Identify the real stakeholder, understand their measure of success, deliver against that standard.</w:t>
            </w:r>
          </w:p>
        </w:tc>
      </w:tr>
      <w:tr>
        <w:tc>
          <w:tcPr>
            <w:tcW w:type="dxa" w:w="750"/>
            <w:tcBorders>
              <w:top w:val="single" w:color="B0B0B0" w:sz="4"/>
              <w:left w:val="single" w:color="B0B0B0" w:sz="4"/>
              <w:bottom w:val="single" w:color="B0B0B0" w:sz="4"/>
              <w:right w:val="single" w:color="B0B0B0" w:sz="4"/>
            </w:tcBorders>
            <w:shd w:fill="FFF2CC" w:val="clear"/>
            <w:tcMar>
              <w:top w:type="dxa" w:w="100"/>
              <w:left w:type="dxa" w:w="120"/>
              <w:bottom w:type="dxa" w:w="100"/>
              <w:right w:type="dxa" w:w="120"/>
            </w:tcMar>
          </w:tcPr>
          <w:p>
            <w:pPr>
              <w:spacing w:after="40"/>
              <w:jc w:val="left"/>
            </w:pPr>
            <w:r>
              <w:rPr>
                <w:b/>
                <w:bCs/>
                <w:sz w:val="20"/>
                <w:szCs w:val="20"/>
              </w:rPr>
              <w:t xml:space="preserve">S19</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Negotiation</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DEAL-4</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SIQ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CONNECT</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25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Know your BATNA, open with interests, trade variables, close with commitment.</w:t>
            </w:r>
          </w:p>
        </w:tc>
      </w:tr>
    </w:tbl>
    <w:p>
      <w:r>
        <w:br w:type="page"/>
      </w:r>
    </w:p>
    <w:p>
      <w:pPr>
        <w:pStyle w:val="Heading2"/>
        <w:spacing w:after="160" w:before="280"/>
      </w:pPr>
      <w:r>
        <w:t xml:space="preserve">3.3 Leadership stage (6 courses: S19–S24)</w:t>
      </w:r>
    </w:p>
    <w:p>
      <w:pPr>
        <w:spacing w:after="160" w:before="0"/>
        <w:jc w:val="left"/>
      </w:pPr>
      <w:r>
        <w:rPr>
          <w:i/>
          <w:iCs/>
          <w:color w:val="595959"/>
        </w:rPr>
        <w:t xml:space="preserve">Influence, ethics, creativity, delegation, change. S21 LENS-4 unlocks the SQ Track. (Note: S19 Negotiation appears in both stages because it bridges Capability and Leadership — counted once in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2000"/>
        <w:gridCol w:w="1300"/>
        <w:gridCol w:w="900"/>
        <w:gridCol w:w="900"/>
        <w:gridCol w:w="900"/>
        <w:gridCol w:w="2610"/>
      </w:tblGrid>
      <w:tr>
        <w:tc>
          <w:tcPr>
            <w:tcW w:type="dxa" w:w="75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Code</w:t>
            </w:r>
          </w:p>
        </w:tc>
        <w:tc>
          <w:tcPr>
            <w:tcW w:type="dxa" w:w="20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Course name</w:t>
            </w:r>
          </w:p>
        </w:tc>
        <w:tc>
          <w:tcPr>
            <w:tcW w:type="dxa" w:w="13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Framework</w:t>
            </w:r>
          </w:p>
        </w:tc>
        <w:tc>
          <w:tcPr>
            <w:tcW w:type="dxa" w:w="9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Quotient</w:t>
            </w:r>
          </w:p>
        </w:tc>
        <w:tc>
          <w:tcPr>
            <w:tcW w:type="dxa" w:w="9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Standard</w:t>
            </w:r>
          </w:p>
        </w:tc>
        <w:tc>
          <w:tcPr>
            <w:tcW w:type="dxa" w:w="9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Duration</w:t>
            </w:r>
          </w:p>
        </w:tc>
        <w:tc>
          <w:tcPr>
            <w:tcW w:type="dxa" w:w="261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What the graduate can do</w:t>
            </w:r>
          </w:p>
        </w:tc>
      </w:tr>
      <w:tr>
        <w:tc>
          <w:tcPr>
            <w:tcW w:type="dxa" w:w="750"/>
            <w:tcBorders>
              <w:top w:val="single" w:color="B0B0B0" w:sz="4"/>
              <w:left w:val="single" w:color="B0B0B0" w:sz="4"/>
              <w:bottom w:val="single" w:color="B0B0B0" w:sz="4"/>
              <w:right w:val="single" w:color="B0B0B0" w:sz="4"/>
            </w:tcBorders>
            <w:shd w:fill="F8CBAD" w:val="clear"/>
            <w:tcMar>
              <w:top w:type="dxa" w:w="100"/>
              <w:left w:type="dxa" w:w="120"/>
              <w:bottom w:type="dxa" w:w="100"/>
              <w:right w:type="dxa" w:w="120"/>
            </w:tcMar>
          </w:tcPr>
          <w:p>
            <w:pPr>
              <w:spacing w:after="40"/>
              <w:jc w:val="left"/>
            </w:pPr>
            <w:r>
              <w:rPr>
                <w:b/>
                <w:bCs/>
                <w:sz w:val="20"/>
                <w:szCs w:val="20"/>
              </w:rPr>
              <w:t xml:space="preserve">S20</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Uncertainty Decision-Making</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EDGE-4</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LQ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STRUCTURE</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25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Decide with incomplete information: identify what you know, what you must assume, and the reversibility of the choice.</w:t>
            </w:r>
          </w:p>
        </w:tc>
      </w:tr>
      <w:tr>
        <w:tc>
          <w:tcPr>
            <w:tcW w:type="dxa" w:w="750"/>
            <w:tcBorders>
              <w:top w:val="single" w:color="B0B0B0" w:sz="4"/>
              <w:left w:val="single" w:color="B0B0B0" w:sz="4"/>
              <w:bottom w:val="single" w:color="B0B0B0" w:sz="4"/>
              <w:right w:val="single" w:color="B0B0B0" w:sz="4"/>
            </w:tcBorders>
            <w:shd w:fill="F8CBAD" w:val="clear"/>
            <w:tcMar>
              <w:top w:type="dxa" w:w="100"/>
              <w:left w:type="dxa" w:w="120"/>
              <w:bottom w:type="dxa" w:w="100"/>
              <w:right w:type="dxa" w:w="120"/>
            </w:tcMar>
          </w:tcPr>
          <w:p>
            <w:pPr>
              <w:spacing w:after="40"/>
              <w:jc w:val="left"/>
            </w:pPr>
            <w:r>
              <w:rPr>
                <w:b/>
                <w:bCs/>
                <w:sz w:val="20"/>
                <w:szCs w:val="20"/>
              </w:rPr>
              <w:t xml:space="preserve">S21</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Ethical Judgment</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LENS-4</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SEQ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LEAD</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25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Look at who is affected, examine harms and benefits, note your duties, stand transparent. SQ Track unlocks here.</w:t>
            </w:r>
          </w:p>
        </w:tc>
      </w:tr>
      <w:tr>
        <w:tc>
          <w:tcPr>
            <w:tcW w:type="dxa" w:w="750"/>
            <w:tcBorders>
              <w:top w:val="single" w:color="B0B0B0" w:sz="4"/>
              <w:left w:val="single" w:color="B0B0B0" w:sz="4"/>
              <w:bottom w:val="single" w:color="B0B0B0" w:sz="4"/>
              <w:right w:val="single" w:color="B0B0B0" w:sz="4"/>
            </w:tcBorders>
            <w:shd w:fill="F8CBAD" w:val="clear"/>
            <w:tcMar>
              <w:top w:type="dxa" w:w="100"/>
              <w:left w:type="dxa" w:w="120"/>
              <w:bottom w:type="dxa" w:w="100"/>
              <w:right w:type="dxa" w:w="120"/>
            </w:tcMar>
          </w:tcPr>
          <w:p>
            <w:pPr>
              <w:spacing w:after="40"/>
              <w:jc w:val="left"/>
            </w:pPr>
            <w:r>
              <w:rPr>
                <w:b/>
                <w:bCs/>
                <w:sz w:val="20"/>
                <w:szCs w:val="20"/>
              </w:rPr>
              <w:t xml:space="preserve">S22</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Developing Others</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GROW-4</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SEQ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LEAD</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25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Goals, Reality, Options, Will. Coach a colleague or junior without telling them what to do.</w:t>
            </w:r>
          </w:p>
        </w:tc>
      </w:tr>
      <w:tr>
        <w:tc>
          <w:tcPr>
            <w:tcW w:type="dxa" w:w="750"/>
            <w:tcBorders>
              <w:top w:val="single" w:color="B0B0B0" w:sz="4"/>
              <w:left w:val="single" w:color="B0B0B0" w:sz="4"/>
              <w:bottom w:val="single" w:color="B0B0B0" w:sz="4"/>
              <w:right w:val="single" w:color="B0B0B0" w:sz="4"/>
            </w:tcBorders>
            <w:shd w:fill="F8CBAD" w:val="clear"/>
            <w:tcMar>
              <w:top w:type="dxa" w:w="100"/>
              <w:left w:type="dxa" w:w="120"/>
              <w:bottom w:type="dxa" w:w="100"/>
              <w:right w:type="dxa" w:w="120"/>
            </w:tcMar>
          </w:tcPr>
          <w:p>
            <w:pPr>
              <w:spacing w:after="40"/>
              <w:jc w:val="left"/>
            </w:pPr>
            <w:r>
              <w:rPr>
                <w:b/>
                <w:bCs/>
                <w:sz w:val="20"/>
                <w:szCs w:val="20"/>
              </w:rPr>
              <w:t xml:space="preserve">S23</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Effective Delegation</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HAND-4</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SEQ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OWN</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25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Hand over the outcome not the task, agree the check-in, remain accountable, resist reclaiming.</w:t>
            </w:r>
          </w:p>
        </w:tc>
      </w:tr>
      <w:tr>
        <w:tc>
          <w:tcPr>
            <w:tcW w:type="dxa" w:w="750"/>
            <w:tcBorders>
              <w:top w:val="single" w:color="B0B0B0" w:sz="4"/>
              <w:left w:val="single" w:color="B0B0B0" w:sz="4"/>
              <w:bottom w:val="single" w:color="B0B0B0" w:sz="4"/>
              <w:right w:val="single" w:color="B0B0B0" w:sz="4"/>
            </w:tcBorders>
            <w:shd w:fill="F8CBAD" w:val="clear"/>
            <w:tcMar>
              <w:top w:type="dxa" w:w="100"/>
              <w:left w:type="dxa" w:w="120"/>
              <w:bottom w:type="dxa" w:w="100"/>
              <w:right w:type="dxa" w:w="120"/>
            </w:tcMar>
          </w:tcPr>
          <w:p>
            <w:pPr>
              <w:spacing w:after="40"/>
              <w:jc w:val="left"/>
            </w:pPr>
            <w:r>
              <w:rPr>
                <w:b/>
                <w:bCs/>
                <w:sz w:val="20"/>
                <w:szCs w:val="20"/>
              </w:rPr>
              <w:t xml:space="preserve">S24</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Leading Change</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MOVE-4</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SEQ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LEAD</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25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Make the case, acknowledge resistance, demonstrate early wins, embed the new behaviour.</w:t>
            </w:r>
          </w:p>
        </w:tc>
      </w:tr>
      <w:tr>
        <w:tc>
          <w:tcPr>
            <w:tcW w:type="dxa" w:w="750"/>
            <w:tcBorders>
              <w:top w:val="single" w:color="B0B0B0" w:sz="4"/>
              <w:left w:val="single" w:color="B0B0B0" w:sz="4"/>
              <w:bottom w:val="single" w:color="B0B0B0" w:sz="4"/>
              <w:right w:val="single" w:color="B0B0B0" w:sz="4"/>
            </w:tcBorders>
            <w:shd w:fill="F8CBAD" w:val="clear"/>
            <w:tcMar>
              <w:top w:type="dxa" w:w="100"/>
              <w:left w:type="dxa" w:w="120"/>
              <w:bottom w:type="dxa" w:w="100"/>
              <w:right w:type="dxa" w:w="120"/>
            </w:tcMar>
          </w:tcPr>
          <w:p>
            <w:pPr>
              <w:spacing w:after="40"/>
              <w:jc w:val="left"/>
            </w:pPr>
            <w:r>
              <w:rPr>
                <w:b/>
                <w:bCs/>
                <w:sz w:val="20"/>
                <w:szCs w:val="20"/>
              </w:rPr>
              <w:t xml:space="preserve">S25</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Creative Thinking / Divergent Thinking</w:t>
            </w:r>
          </w:p>
        </w:tc>
        <w:tc>
          <w:tcPr>
            <w:tcW w:type="dxa" w:w="13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FLIP-3</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LQ</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CREATE</w:t>
            </w:r>
          </w:p>
        </w:tc>
        <w:tc>
          <w:tcPr>
            <w:tcW w:type="dxa" w:w="9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25 min</w:t>
            </w:r>
          </w:p>
        </w:tc>
        <w:tc>
          <w:tcPr>
            <w:tcW w:type="dxa" w:w="261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Reframe the question, invert the constraint, steal a structure from a different domain.</w:t>
            </w:r>
          </w:p>
        </w:tc>
      </w:tr>
    </w:tbl>
    <w:p>
      <w:r>
        <w:br w:type="page"/>
      </w:r>
    </w:p>
    <w:p>
      <w:pPr>
        <w:pStyle w:val="Heading1"/>
        <w:spacing w:after="200" w:before="360"/>
      </w:pPr>
      <w:r>
        <w:t xml:space="preserve">Section 4 — The Three Readiness Tracks</w:t>
      </w:r>
    </w:p>
    <w:p>
      <w:pPr>
        <w:spacing w:after="200" w:before="0"/>
        <w:jc w:val="left"/>
      </w:pPr>
      <w:r>
        <w:t xml:space="preserve">Each track is an optional, stackable specialist certification that runs alongside the core programme. All three use the same architecture: 5 courses, 5 competencies, 4 assessment methods. Each track takes roughly 3 hours to complete and is valid for 12 months with an annual 15-minute renewal. Certification is single-level: a student is either 'SMAART [Track] Certified' (all 5 course scores ≥70% AND capstone ≥65%) or '[Track] In Progress'. See Document 1B Section 11.2 for the certification threshold rule. See Document 1B for which tier includes which track.</w:t>
      </w:r>
    </w:p>
    <w:p>
      <w:pPr>
        <w:pStyle w:val="Heading2"/>
        <w:spacing w:after="160" w:before="280"/>
      </w:pPr>
      <w:r>
        <w:t xml:space="preserve">4.1 PIQ — Personal Intelligence Track</w:t>
      </w:r>
    </w:p>
    <w:p>
      <w:pPr>
        <w:pStyle w:val="ListParagraph"/>
        <w:numPr>
          <w:ilvl w:val="0"/>
          <w:numId w:val="2"/>
        </w:numPr>
        <w:spacing w:after="80"/>
      </w:pPr>
      <w:r>
        <w:rPr>
          <w:b/>
          <w:bCs/>
        </w:rPr>
        <w:t xml:space="preserve">Purpose: </w:t>
      </w:r>
      <w:r>
        <w:t xml:space="preserve">Build the self-awareness, emotional regulation, growth mindset, purpose and confidence that make a professional effective under pressure.</w:t>
      </w:r>
    </w:p>
    <w:p>
      <w:pPr>
        <w:pStyle w:val="ListParagraph"/>
        <w:numPr>
          <w:ilvl w:val="0"/>
          <w:numId w:val="2"/>
        </w:numPr>
        <w:spacing w:after="80"/>
      </w:pPr>
      <w:r>
        <w:rPr>
          <w:b/>
          <w:bCs/>
        </w:rPr>
        <w:t xml:space="preserve">Prerequisite: </w:t>
      </w:r>
      <w:r>
        <w:t xml:space="preserve">S05 (RESET-4) complete — the foundation course on adaptive recovery.</w:t>
      </w:r>
    </w:p>
    <w:p>
      <w:pPr>
        <w:pStyle w:val="ListParagraph"/>
        <w:numPr>
          <w:ilvl w:val="0"/>
          <w:numId w:val="2"/>
        </w:numPr>
        <w:spacing w:after="80"/>
      </w:pPr>
      <w:r>
        <w:rPr>
          <w:b/>
          <w:bCs/>
        </w:rPr>
        <w:t xml:space="preserve">When available: </w:t>
      </w:r>
      <w:r>
        <w:t xml:space="preserve">From Year 1, earliest of all three tracks. Feeds the PEQ quotient.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200"/>
        <w:gridCol w:w="1100"/>
        <w:gridCol w:w="4060"/>
      </w:tblGrid>
      <w:tr>
        <w:tc>
          <w:tcPr>
            <w:tcW w:type="dxa" w:w="8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Code</w:t>
            </w:r>
          </w:p>
        </w:tc>
        <w:tc>
          <w:tcPr>
            <w:tcW w:type="dxa" w:w="22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Competency</w:t>
            </w:r>
          </w:p>
        </w:tc>
        <w:tc>
          <w:tcPr>
            <w:tcW w:type="dxa" w:w="12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Framework</w:t>
            </w:r>
          </w:p>
        </w:tc>
        <w:tc>
          <w:tcPr>
            <w:tcW w:type="dxa" w:w="11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Lifecycle stage</w:t>
            </w:r>
          </w:p>
        </w:tc>
        <w:tc>
          <w:tcPr>
            <w:tcW w:type="dxa" w:w="406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What the graduate can do</w:t>
            </w:r>
          </w:p>
        </w:tc>
      </w:tr>
      <w:tr>
        <w:tc>
          <w:tcPr>
            <w:tcW w:type="dxa" w:w="800"/>
            <w:tcBorders>
              <w:top w:val="single" w:color="B0B0B0" w:sz="4"/>
              <w:left w:val="single" w:color="B0B0B0" w:sz="4"/>
              <w:bottom w:val="single" w:color="B0B0B0" w:sz="4"/>
              <w:right w:val="single" w:color="B0B0B0" w:sz="4"/>
            </w:tcBorders>
            <w:shd w:fill="E7E6F5" w:val="clear"/>
            <w:tcMar>
              <w:top w:type="dxa" w:w="100"/>
              <w:left w:type="dxa" w:w="120"/>
              <w:bottom w:type="dxa" w:w="100"/>
              <w:right w:type="dxa" w:w="120"/>
            </w:tcMar>
          </w:tcPr>
          <w:p>
            <w:pPr>
              <w:spacing w:after="40"/>
              <w:jc w:val="left"/>
            </w:pPr>
            <w:r>
              <w:rPr>
                <w:b/>
                <w:bCs/>
                <w:sz w:val="20"/>
                <w:szCs w:val="20"/>
              </w:rPr>
              <w:t xml:space="preserve">PIQ-1</w:t>
            </w:r>
          </w:p>
        </w:tc>
        <w:tc>
          <w:tcPr>
            <w:tcW w:type="dxa" w:w="2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Self-Awareness</w:t>
            </w:r>
          </w:p>
        </w:tc>
        <w:tc>
          <w:tcPr>
            <w:tcW w:type="dxa" w:w="1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REFLECT-3</w:t>
            </w:r>
          </w:p>
        </w:tc>
        <w:tc>
          <w:tcPr>
            <w:tcW w:type="dxa" w:w="11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KNOW</w:t>
            </w:r>
          </w:p>
        </w:tc>
        <w:tc>
          <w:tcPr>
            <w:tcW w:type="dxa" w:w="4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Notice patterns, name feelings accurately, see self as others see.</w:t>
            </w:r>
          </w:p>
        </w:tc>
      </w:tr>
      <w:tr>
        <w:tc>
          <w:tcPr>
            <w:tcW w:type="dxa" w:w="800"/>
            <w:tcBorders>
              <w:top w:val="single" w:color="B0B0B0" w:sz="4"/>
              <w:left w:val="single" w:color="B0B0B0" w:sz="4"/>
              <w:bottom w:val="single" w:color="B0B0B0" w:sz="4"/>
              <w:right w:val="single" w:color="B0B0B0" w:sz="4"/>
            </w:tcBorders>
            <w:shd w:fill="E7E6F5" w:val="clear"/>
            <w:tcMar>
              <w:top w:type="dxa" w:w="100"/>
              <w:left w:type="dxa" w:w="120"/>
              <w:bottom w:type="dxa" w:w="100"/>
              <w:right w:type="dxa" w:w="120"/>
            </w:tcMar>
          </w:tcPr>
          <w:p>
            <w:pPr>
              <w:spacing w:after="40"/>
              <w:jc w:val="left"/>
            </w:pPr>
            <w:r>
              <w:rPr>
                <w:b/>
                <w:bCs/>
                <w:sz w:val="20"/>
                <w:szCs w:val="20"/>
              </w:rPr>
              <w:t xml:space="preserve">PIQ-2</w:t>
            </w:r>
          </w:p>
        </w:tc>
        <w:tc>
          <w:tcPr>
            <w:tcW w:type="dxa" w:w="2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Emotional Regulation</w:t>
            </w:r>
          </w:p>
        </w:tc>
        <w:tc>
          <w:tcPr>
            <w:tcW w:type="dxa" w:w="1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STEADY-4</w:t>
            </w:r>
          </w:p>
        </w:tc>
        <w:tc>
          <w:tcPr>
            <w:tcW w:type="dxa" w:w="11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MANAGE</w:t>
            </w:r>
          </w:p>
        </w:tc>
        <w:tc>
          <w:tcPr>
            <w:tcW w:type="dxa" w:w="4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Stay composed under pressure, recover quickly, choose response over reaction.</w:t>
            </w:r>
          </w:p>
        </w:tc>
      </w:tr>
      <w:tr>
        <w:tc>
          <w:tcPr>
            <w:tcW w:type="dxa" w:w="800"/>
            <w:tcBorders>
              <w:top w:val="single" w:color="B0B0B0" w:sz="4"/>
              <w:left w:val="single" w:color="B0B0B0" w:sz="4"/>
              <w:bottom w:val="single" w:color="B0B0B0" w:sz="4"/>
              <w:right w:val="single" w:color="B0B0B0" w:sz="4"/>
            </w:tcBorders>
            <w:shd w:fill="E7E6F5" w:val="clear"/>
            <w:tcMar>
              <w:top w:type="dxa" w:w="100"/>
              <w:left w:type="dxa" w:w="120"/>
              <w:bottom w:type="dxa" w:w="100"/>
              <w:right w:type="dxa" w:w="120"/>
            </w:tcMar>
          </w:tcPr>
          <w:p>
            <w:pPr>
              <w:spacing w:after="40"/>
              <w:jc w:val="left"/>
            </w:pPr>
            <w:r>
              <w:rPr>
                <w:b/>
                <w:bCs/>
                <w:sz w:val="20"/>
                <w:szCs w:val="20"/>
              </w:rPr>
              <w:t xml:space="preserve">PIQ-3</w:t>
            </w:r>
          </w:p>
        </w:tc>
        <w:tc>
          <w:tcPr>
            <w:tcW w:type="dxa" w:w="2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Growth Mindset</w:t>
            </w:r>
          </w:p>
        </w:tc>
        <w:tc>
          <w:tcPr>
            <w:tcW w:type="dxa" w:w="1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EVOLVE-3</w:t>
            </w:r>
          </w:p>
        </w:tc>
        <w:tc>
          <w:tcPr>
            <w:tcW w:type="dxa" w:w="11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LEARN</w:t>
            </w:r>
          </w:p>
        </w:tc>
        <w:tc>
          <w:tcPr>
            <w:tcW w:type="dxa" w:w="4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Treat setbacks as data, seek feedback actively, keep trying when it is hard.</w:t>
            </w:r>
          </w:p>
        </w:tc>
      </w:tr>
      <w:tr>
        <w:tc>
          <w:tcPr>
            <w:tcW w:type="dxa" w:w="800"/>
            <w:tcBorders>
              <w:top w:val="single" w:color="B0B0B0" w:sz="4"/>
              <w:left w:val="single" w:color="B0B0B0" w:sz="4"/>
              <w:bottom w:val="single" w:color="B0B0B0" w:sz="4"/>
              <w:right w:val="single" w:color="B0B0B0" w:sz="4"/>
            </w:tcBorders>
            <w:shd w:fill="E7E6F5" w:val="clear"/>
            <w:tcMar>
              <w:top w:type="dxa" w:w="100"/>
              <w:left w:type="dxa" w:w="120"/>
              <w:bottom w:type="dxa" w:w="100"/>
              <w:right w:type="dxa" w:w="120"/>
            </w:tcMar>
          </w:tcPr>
          <w:p>
            <w:pPr>
              <w:spacing w:after="40"/>
              <w:jc w:val="left"/>
            </w:pPr>
            <w:r>
              <w:rPr>
                <w:b/>
                <w:bCs/>
                <w:sz w:val="20"/>
                <w:szCs w:val="20"/>
              </w:rPr>
              <w:t xml:space="preserve">PIQ-4</w:t>
            </w:r>
          </w:p>
        </w:tc>
        <w:tc>
          <w:tcPr>
            <w:tcW w:type="dxa" w:w="2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Purpose &amp; Motivation</w:t>
            </w:r>
          </w:p>
        </w:tc>
        <w:tc>
          <w:tcPr>
            <w:tcW w:type="dxa" w:w="1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DRIVE-4</w:t>
            </w:r>
          </w:p>
        </w:tc>
        <w:tc>
          <w:tcPr>
            <w:tcW w:type="dxa" w:w="11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ANCHOR</w:t>
            </w:r>
          </w:p>
        </w:tc>
        <w:tc>
          <w:tcPr>
            <w:tcW w:type="dxa" w:w="4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Articulate what you work for, align daily effort with it, replenish energy when it drops.</w:t>
            </w:r>
          </w:p>
        </w:tc>
      </w:tr>
      <w:tr>
        <w:tc>
          <w:tcPr>
            <w:tcW w:type="dxa" w:w="800"/>
            <w:tcBorders>
              <w:top w:val="single" w:color="B0B0B0" w:sz="4"/>
              <w:left w:val="single" w:color="B0B0B0" w:sz="4"/>
              <w:bottom w:val="single" w:color="B0B0B0" w:sz="4"/>
              <w:right w:val="single" w:color="B0B0B0" w:sz="4"/>
            </w:tcBorders>
            <w:shd w:fill="E7E6F5" w:val="clear"/>
            <w:tcMar>
              <w:top w:type="dxa" w:w="100"/>
              <w:left w:type="dxa" w:w="120"/>
              <w:bottom w:type="dxa" w:w="100"/>
              <w:right w:type="dxa" w:w="120"/>
            </w:tcMar>
          </w:tcPr>
          <w:p>
            <w:pPr>
              <w:spacing w:after="40"/>
              <w:jc w:val="left"/>
            </w:pPr>
            <w:r>
              <w:rPr>
                <w:b/>
                <w:bCs/>
                <w:sz w:val="20"/>
                <w:szCs w:val="20"/>
              </w:rPr>
              <w:t xml:space="preserve">PIQ-5</w:t>
            </w:r>
          </w:p>
        </w:tc>
        <w:tc>
          <w:tcPr>
            <w:tcW w:type="dxa" w:w="2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Professional Confidence</w:t>
            </w:r>
          </w:p>
        </w:tc>
        <w:tc>
          <w:tcPr>
            <w:tcW w:type="dxa" w:w="1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STAND-3</w:t>
            </w:r>
          </w:p>
        </w:tc>
        <w:tc>
          <w:tcPr>
            <w:tcW w:type="dxa" w:w="11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PROJECT</w:t>
            </w:r>
          </w:p>
        </w:tc>
        <w:tc>
          <w:tcPr>
            <w:tcW w:type="dxa" w:w="4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Speak up credibly, hold your view under challenge, know when to change it.</w:t>
            </w:r>
          </w:p>
        </w:tc>
      </w:tr>
    </w:tbl>
    <w:p>
      <w:pPr>
        <w:spacing w:after="120" w:before="0"/>
        <w:jc w:val="left"/>
      </w:pPr>
      <w:r>
        <w:t xml:space="preserve"/>
      </w:r>
    </w:p>
    <w:p>
      <w:pPr>
        <w:pStyle w:val="Heading2"/>
        <w:spacing w:after="160" w:before="280"/>
      </w:pPr>
      <w:r>
        <w:t xml:space="preserve">4.2 AIQ — AI Readiness Track</w:t>
      </w:r>
    </w:p>
    <w:p>
      <w:pPr>
        <w:pStyle w:val="ListParagraph"/>
        <w:numPr>
          <w:ilvl w:val="0"/>
          <w:numId w:val="2"/>
        </w:numPr>
        <w:spacing w:after="80"/>
      </w:pPr>
      <w:r>
        <w:rPr>
          <w:b/>
          <w:bCs/>
        </w:rPr>
        <w:t xml:space="preserve">Purpose: </w:t>
      </w:r>
      <w:r>
        <w:t xml:space="preserve">Not how to USE AI tools. How to WORK WITH AI as a colleague. Orchestrate, judge, split, govern, evolve.</w:t>
      </w:r>
    </w:p>
    <w:p>
      <w:pPr>
        <w:pStyle w:val="ListParagraph"/>
        <w:numPr>
          <w:ilvl w:val="0"/>
          <w:numId w:val="2"/>
        </w:numPr>
        <w:spacing w:after="80"/>
      </w:pPr>
      <w:r>
        <w:rPr>
          <w:b/>
          <w:bCs/>
        </w:rPr>
        <w:t xml:space="preserve">Prerequisite: </w:t>
      </w:r>
      <w:r>
        <w:t xml:space="preserve">S15 GUARD-4 + any one external AI literacy course (Anthropic AI Fluency for Students is free; Google AI Professional Certificate and Microsoft AB-730 are accepted).</w:t>
      </w:r>
    </w:p>
    <w:p>
      <w:pPr>
        <w:pStyle w:val="ListParagraph"/>
        <w:numPr>
          <w:ilvl w:val="0"/>
          <w:numId w:val="2"/>
        </w:numPr>
        <w:spacing w:after="80"/>
      </w:pPr>
      <w:r>
        <w:rPr>
          <w:b/>
          <w:bCs/>
        </w:rPr>
        <w:t xml:space="preserve">When available: </w:t>
      </w:r>
      <w:r>
        <w:t xml:space="preserve">Capability stage (Year 2 onwards). Feeds the DAQ quotient.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200"/>
        <w:gridCol w:w="1100"/>
        <w:gridCol w:w="4060"/>
      </w:tblGrid>
      <w:tr>
        <w:tc>
          <w:tcPr>
            <w:tcW w:type="dxa" w:w="8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Code</w:t>
            </w:r>
          </w:p>
        </w:tc>
        <w:tc>
          <w:tcPr>
            <w:tcW w:type="dxa" w:w="22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Competency</w:t>
            </w:r>
          </w:p>
        </w:tc>
        <w:tc>
          <w:tcPr>
            <w:tcW w:type="dxa" w:w="12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Framework</w:t>
            </w:r>
          </w:p>
        </w:tc>
        <w:tc>
          <w:tcPr>
            <w:tcW w:type="dxa" w:w="11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Lifecycle stage</w:t>
            </w:r>
          </w:p>
        </w:tc>
        <w:tc>
          <w:tcPr>
            <w:tcW w:type="dxa" w:w="406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What the graduate can do</w:t>
            </w:r>
          </w:p>
        </w:tc>
      </w:tr>
      <w:tr>
        <w:tc>
          <w:tcPr>
            <w:tcW w:type="dxa" w:w="800"/>
            <w:tcBorders>
              <w:top w:val="single" w:color="B0B0B0" w:sz="4"/>
              <w:left w:val="single" w:color="B0B0B0" w:sz="4"/>
              <w:bottom w:val="single" w:color="B0B0B0" w:sz="4"/>
              <w:right w:val="single" w:color="B0B0B0" w:sz="4"/>
            </w:tcBorders>
            <w:shd w:fill="E7E6F5" w:val="clear"/>
            <w:tcMar>
              <w:top w:type="dxa" w:w="100"/>
              <w:left w:type="dxa" w:w="120"/>
              <w:bottom w:type="dxa" w:w="100"/>
              <w:right w:type="dxa" w:w="120"/>
            </w:tcMar>
          </w:tcPr>
          <w:p>
            <w:pPr>
              <w:spacing w:after="40"/>
              <w:jc w:val="left"/>
            </w:pPr>
            <w:r>
              <w:rPr>
                <w:b/>
                <w:bCs/>
                <w:sz w:val="20"/>
                <w:szCs w:val="20"/>
              </w:rPr>
              <w:t xml:space="preserve">AIQ-1</w:t>
            </w:r>
          </w:p>
        </w:tc>
        <w:tc>
          <w:tcPr>
            <w:tcW w:type="dxa" w:w="2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Orchestrating AI Partners</w:t>
            </w:r>
          </w:p>
        </w:tc>
        <w:tc>
          <w:tcPr>
            <w:tcW w:type="dxa" w:w="1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DIRECT-4</w:t>
            </w:r>
          </w:p>
        </w:tc>
        <w:tc>
          <w:tcPr>
            <w:tcW w:type="dxa" w:w="11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INSTRUCT</w:t>
            </w:r>
          </w:p>
        </w:tc>
        <w:tc>
          <w:tcPr>
            <w:tcW w:type="dxa" w:w="4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Define outcome, instruct with context, review against brief, integrate own judgment.</w:t>
            </w:r>
          </w:p>
        </w:tc>
      </w:tr>
      <w:tr>
        <w:tc>
          <w:tcPr>
            <w:tcW w:type="dxa" w:w="800"/>
            <w:tcBorders>
              <w:top w:val="single" w:color="B0B0B0" w:sz="4"/>
              <w:left w:val="single" w:color="B0B0B0" w:sz="4"/>
              <w:bottom w:val="single" w:color="B0B0B0" w:sz="4"/>
              <w:right w:val="single" w:color="B0B0B0" w:sz="4"/>
            </w:tcBorders>
            <w:shd w:fill="E7E6F5" w:val="clear"/>
            <w:tcMar>
              <w:top w:type="dxa" w:w="100"/>
              <w:left w:type="dxa" w:w="120"/>
              <w:bottom w:type="dxa" w:w="100"/>
              <w:right w:type="dxa" w:w="120"/>
            </w:tcMar>
          </w:tcPr>
          <w:p>
            <w:pPr>
              <w:spacing w:after="40"/>
              <w:jc w:val="left"/>
            </w:pPr>
            <w:r>
              <w:rPr>
                <w:b/>
                <w:bCs/>
                <w:sz w:val="20"/>
                <w:szCs w:val="20"/>
              </w:rPr>
              <w:t xml:space="preserve">AIQ-2</w:t>
            </w:r>
          </w:p>
        </w:tc>
        <w:tc>
          <w:tcPr>
            <w:tcW w:type="dxa" w:w="2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Judging AI Work</w:t>
            </w:r>
          </w:p>
        </w:tc>
        <w:tc>
          <w:tcPr>
            <w:tcW w:type="dxa" w:w="1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VERIFY-4</w:t>
            </w:r>
          </w:p>
        </w:tc>
        <w:tc>
          <w:tcPr>
            <w:tcW w:type="dxa" w:w="11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EVALUATE</w:t>
            </w:r>
          </w:p>
        </w:tc>
        <w:tc>
          <w:tcPr>
            <w:tcW w:type="dxa" w:w="4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Spot hallucinations, check facts, document verification steps, calibrate trust by output type.</w:t>
            </w:r>
          </w:p>
        </w:tc>
      </w:tr>
      <w:tr>
        <w:tc>
          <w:tcPr>
            <w:tcW w:type="dxa" w:w="800"/>
            <w:tcBorders>
              <w:top w:val="single" w:color="B0B0B0" w:sz="4"/>
              <w:left w:val="single" w:color="B0B0B0" w:sz="4"/>
              <w:bottom w:val="single" w:color="B0B0B0" w:sz="4"/>
              <w:right w:val="single" w:color="B0B0B0" w:sz="4"/>
            </w:tcBorders>
            <w:shd w:fill="E7E6F5" w:val="clear"/>
            <w:tcMar>
              <w:top w:type="dxa" w:w="100"/>
              <w:left w:type="dxa" w:w="120"/>
              <w:bottom w:type="dxa" w:w="100"/>
              <w:right w:type="dxa" w:w="120"/>
            </w:tcMar>
          </w:tcPr>
          <w:p>
            <w:pPr>
              <w:spacing w:after="40"/>
              <w:jc w:val="left"/>
            </w:pPr>
            <w:r>
              <w:rPr>
                <w:b/>
                <w:bCs/>
                <w:sz w:val="20"/>
                <w:szCs w:val="20"/>
              </w:rPr>
              <w:t xml:space="preserve">AIQ-3</w:t>
            </w:r>
          </w:p>
        </w:tc>
        <w:tc>
          <w:tcPr>
            <w:tcW w:type="dxa" w:w="2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Designing the Human-AI Split</w:t>
            </w:r>
          </w:p>
        </w:tc>
        <w:tc>
          <w:tcPr>
            <w:tcW w:type="dxa" w:w="1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SPLIT-3</w:t>
            </w:r>
          </w:p>
        </w:tc>
        <w:tc>
          <w:tcPr>
            <w:tcW w:type="dxa" w:w="11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DESIGN</w:t>
            </w:r>
          </w:p>
        </w:tc>
        <w:tc>
          <w:tcPr>
            <w:tcW w:type="dxa" w:w="4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Decide which tasks go to AI, which stay human, which are shared; measure the time saved.</w:t>
            </w:r>
          </w:p>
        </w:tc>
      </w:tr>
      <w:tr>
        <w:tc>
          <w:tcPr>
            <w:tcW w:type="dxa" w:w="800"/>
            <w:tcBorders>
              <w:top w:val="single" w:color="B0B0B0" w:sz="4"/>
              <w:left w:val="single" w:color="B0B0B0" w:sz="4"/>
              <w:bottom w:val="single" w:color="B0B0B0" w:sz="4"/>
              <w:right w:val="single" w:color="B0B0B0" w:sz="4"/>
            </w:tcBorders>
            <w:shd w:fill="E7E6F5" w:val="clear"/>
            <w:tcMar>
              <w:top w:type="dxa" w:w="100"/>
              <w:left w:type="dxa" w:w="120"/>
              <w:bottom w:type="dxa" w:w="100"/>
              <w:right w:type="dxa" w:w="120"/>
            </w:tcMar>
          </w:tcPr>
          <w:p>
            <w:pPr>
              <w:spacing w:after="40"/>
              <w:jc w:val="left"/>
            </w:pPr>
            <w:r>
              <w:rPr>
                <w:b/>
                <w:bCs/>
                <w:sz w:val="20"/>
                <w:szCs w:val="20"/>
              </w:rPr>
              <w:t xml:space="preserve">AIQ-4</w:t>
            </w:r>
          </w:p>
        </w:tc>
        <w:tc>
          <w:tcPr>
            <w:tcW w:type="dxa" w:w="2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Governing AI Responsibly</w:t>
            </w:r>
          </w:p>
        </w:tc>
        <w:tc>
          <w:tcPr>
            <w:tcW w:type="dxa" w:w="1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TRUST-4</w:t>
            </w:r>
          </w:p>
        </w:tc>
        <w:tc>
          <w:tcPr>
            <w:tcW w:type="dxa" w:w="11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GOVERN</w:t>
            </w:r>
          </w:p>
        </w:tc>
        <w:tc>
          <w:tcPr>
            <w:tcW w:type="dxa" w:w="4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Follow policy, protect sensitive data, raise concerns, explain AI decisions to stakeholders.</w:t>
            </w:r>
          </w:p>
        </w:tc>
      </w:tr>
      <w:tr>
        <w:tc>
          <w:tcPr>
            <w:tcW w:type="dxa" w:w="800"/>
            <w:tcBorders>
              <w:top w:val="single" w:color="B0B0B0" w:sz="4"/>
              <w:left w:val="single" w:color="B0B0B0" w:sz="4"/>
              <w:bottom w:val="single" w:color="B0B0B0" w:sz="4"/>
              <w:right w:val="single" w:color="B0B0B0" w:sz="4"/>
            </w:tcBorders>
            <w:shd w:fill="E7E6F5" w:val="clear"/>
            <w:tcMar>
              <w:top w:type="dxa" w:w="100"/>
              <w:left w:type="dxa" w:w="120"/>
              <w:bottom w:type="dxa" w:w="100"/>
              <w:right w:type="dxa" w:w="120"/>
            </w:tcMar>
          </w:tcPr>
          <w:p>
            <w:pPr>
              <w:spacing w:after="40"/>
              <w:jc w:val="left"/>
            </w:pPr>
            <w:r>
              <w:rPr>
                <w:b/>
                <w:bCs/>
                <w:sz w:val="20"/>
                <w:szCs w:val="20"/>
              </w:rPr>
              <w:t xml:space="preserve">AIQ-5</w:t>
            </w:r>
          </w:p>
        </w:tc>
        <w:tc>
          <w:tcPr>
            <w:tcW w:type="dxa" w:w="2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Evolving With AI</w:t>
            </w:r>
          </w:p>
        </w:tc>
        <w:tc>
          <w:tcPr>
            <w:tcW w:type="dxa" w:w="1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FUTURE-3</w:t>
            </w:r>
          </w:p>
        </w:tc>
        <w:tc>
          <w:tcPr>
            <w:tcW w:type="dxa" w:w="11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EVOLVE</w:t>
            </w:r>
          </w:p>
        </w:tc>
        <w:tc>
          <w:tcPr>
            <w:tcW w:type="dxa" w:w="4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Assess which skills AI can replicate, develop complementary skills, update the career plan quarterly.</w:t>
            </w:r>
          </w:p>
        </w:tc>
      </w:tr>
    </w:tbl>
    <w:p>
      <w:pPr>
        <w:spacing w:after="120" w:before="0"/>
        <w:jc w:val="left"/>
      </w:pPr>
      <w:r>
        <w:t xml:space="preserve"/>
      </w:r>
    </w:p>
    <w:p>
      <w:pPr>
        <w:pStyle w:val="Heading2"/>
        <w:spacing w:after="160" w:before="280"/>
      </w:pPr>
      <w:r>
        <w:t xml:space="preserve">4.3 SQ — Sustainability Readiness Track</w:t>
      </w:r>
    </w:p>
    <w:p>
      <w:pPr>
        <w:pStyle w:val="ListParagraph"/>
        <w:numPr>
          <w:ilvl w:val="0"/>
          <w:numId w:val="2"/>
        </w:numPr>
        <w:spacing w:after="80"/>
      </w:pPr>
      <w:r>
        <w:rPr>
          <w:b/>
          <w:bCs/>
        </w:rPr>
        <w:t xml:space="preserve">Purpose: </w:t>
      </w:r>
      <w:r>
        <w:t xml:space="preserve">Not how to be an environmentalist. How to make sustainable decisions in any job, any sector.</w:t>
      </w:r>
    </w:p>
    <w:p>
      <w:pPr>
        <w:pStyle w:val="ListParagraph"/>
        <w:numPr>
          <w:ilvl w:val="0"/>
          <w:numId w:val="2"/>
        </w:numPr>
        <w:spacing w:after="80"/>
      </w:pPr>
      <w:r>
        <w:rPr>
          <w:b/>
          <w:bCs/>
        </w:rPr>
        <w:t xml:space="preserve">Prerequisite: </w:t>
      </w:r>
      <w:r>
        <w:t xml:space="preserve">S21 LENS-4 (Ethical Judgment). Recommended: S16 ZOOM-3 (Systems Thinking). No external course required.</w:t>
      </w:r>
    </w:p>
    <w:p>
      <w:pPr>
        <w:pStyle w:val="ListParagraph"/>
        <w:numPr>
          <w:ilvl w:val="0"/>
          <w:numId w:val="2"/>
        </w:numPr>
        <w:spacing w:after="80"/>
      </w:pPr>
      <w:r>
        <w:rPr>
          <w:b/>
          <w:bCs/>
        </w:rPr>
        <w:t xml:space="preserve">When available: </w:t>
      </w:r>
      <w:r>
        <w:t xml:space="preserve">Leadership stage (Year 3 onwards). Feeds the SEQ quotient.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200"/>
        <w:gridCol w:w="1100"/>
        <w:gridCol w:w="4060"/>
      </w:tblGrid>
      <w:tr>
        <w:tc>
          <w:tcPr>
            <w:tcW w:type="dxa" w:w="8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Code</w:t>
            </w:r>
          </w:p>
        </w:tc>
        <w:tc>
          <w:tcPr>
            <w:tcW w:type="dxa" w:w="22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Competency</w:t>
            </w:r>
          </w:p>
        </w:tc>
        <w:tc>
          <w:tcPr>
            <w:tcW w:type="dxa" w:w="12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Framework</w:t>
            </w:r>
          </w:p>
        </w:tc>
        <w:tc>
          <w:tcPr>
            <w:tcW w:type="dxa" w:w="11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Journey stage</w:t>
            </w:r>
          </w:p>
        </w:tc>
        <w:tc>
          <w:tcPr>
            <w:tcW w:type="dxa" w:w="406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What the graduate can do</w:t>
            </w:r>
          </w:p>
        </w:tc>
      </w:tr>
      <w:tr>
        <w:tc>
          <w:tcPr>
            <w:tcW w:type="dxa" w:w="800"/>
            <w:tcBorders>
              <w:top w:val="single" w:color="B0B0B0" w:sz="4"/>
              <w:left w:val="single" w:color="B0B0B0" w:sz="4"/>
              <w:bottom w:val="single" w:color="B0B0B0" w:sz="4"/>
              <w:right w:val="single" w:color="B0B0B0" w:sz="4"/>
            </w:tcBorders>
            <w:shd w:fill="E7E6F5" w:val="clear"/>
            <w:tcMar>
              <w:top w:type="dxa" w:w="100"/>
              <w:left w:type="dxa" w:w="120"/>
              <w:bottom w:type="dxa" w:w="100"/>
              <w:right w:type="dxa" w:w="120"/>
            </w:tcMar>
          </w:tcPr>
          <w:p>
            <w:pPr>
              <w:spacing w:after="40"/>
              <w:jc w:val="left"/>
            </w:pPr>
            <w:r>
              <w:rPr>
                <w:b/>
                <w:bCs/>
                <w:sz w:val="20"/>
                <w:szCs w:val="20"/>
              </w:rPr>
              <w:t xml:space="preserve">SQ-1</w:t>
            </w:r>
          </w:p>
        </w:tc>
        <w:tc>
          <w:tcPr>
            <w:tcW w:type="dxa" w:w="2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Sustainability Literacy</w:t>
            </w:r>
          </w:p>
        </w:tc>
        <w:tc>
          <w:tcPr>
            <w:tcW w:type="dxa" w:w="1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PLANET-3</w:t>
            </w:r>
          </w:p>
        </w:tc>
        <w:tc>
          <w:tcPr>
            <w:tcW w:type="dxa" w:w="11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UNDERSTAND</w:t>
            </w:r>
          </w:p>
        </w:tc>
        <w:tc>
          <w:tcPr>
            <w:tcW w:type="dxa" w:w="4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Understand how YOUR industry connects to environmental challenges. Specific, not generic.</w:t>
            </w:r>
          </w:p>
        </w:tc>
      </w:tr>
      <w:tr>
        <w:tc>
          <w:tcPr>
            <w:tcW w:type="dxa" w:w="800"/>
            <w:tcBorders>
              <w:top w:val="single" w:color="B0B0B0" w:sz="4"/>
              <w:left w:val="single" w:color="B0B0B0" w:sz="4"/>
              <w:bottom w:val="single" w:color="B0B0B0" w:sz="4"/>
              <w:right w:val="single" w:color="B0B0B0" w:sz="4"/>
            </w:tcBorders>
            <w:shd w:fill="E7E6F5" w:val="clear"/>
            <w:tcMar>
              <w:top w:type="dxa" w:w="100"/>
              <w:left w:type="dxa" w:w="120"/>
              <w:bottom w:type="dxa" w:w="100"/>
              <w:right w:type="dxa" w:w="120"/>
            </w:tcMar>
          </w:tcPr>
          <w:p>
            <w:pPr>
              <w:spacing w:after="40"/>
              <w:jc w:val="left"/>
            </w:pPr>
            <w:r>
              <w:rPr>
                <w:b/>
                <w:bCs/>
                <w:sz w:val="20"/>
                <w:szCs w:val="20"/>
              </w:rPr>
              <w:t xml:space="preserve">SQ-2</w:t>
            </w:r>
          </w:p>
        </w:tc>
        <w:tc>
          <w:tcPr>
            <w:tcW w:type="dxa" w:w="2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Sustainable Decision-Making</w:t>
            </w:r>
          </w:p>
        </w:tc>
        <w:tc>
          <w:tcPr>
            <w:tcW w:type="dxa" w:w="1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GREEN-4</w:t>
            </w:r>
          </w:p>
        </w:tc>
        <w:tc>
          <w:tcPr>
            <w:tcW w:type="dxa" w:w="11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DECIDE</w:t>
            </w:r>
          </w:p>
        </w:tc>
        <w:tc>
          <w:tcPr>
            <w:tcW w:type="dxa" w:w="4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Factor environmental impact into everyday decisions, with trade-offs stated honestly.</w:t>
            </w:r>
          </w:p>
        </w:tc>
      </w:tr>
      <w:tr>
        <w:tc>
          <w:tcPr>
            <w:tcW w:type="dxa" w:w="800"/>
            <w:tcBorders>
              <w:top w:val="single" w:color="B0B0B0" w:sz="4"/>
              <w:left w:val="single" w:color="B0B0B0" w:sz="4"/>
              <w:bottom w:val="single" w:color="B0B0B0" w:sz="4"/>
              <w:right w:val="single" w:color="B0B0B0" w:sz="4"/>
            </w:tcBorders>
            <w:shd w:fill="E7E6F5" w:val="clear"/>
            <w:tcMar>
              <w:top w:type="dxa" w:w="100"/>
              <w:left w:type="dxa" w:w="120"/>
              <w:bottom w:type="dxa" w:w="100"/>
              <w:right w:type="dxa" w:w="120"/>
            </w:tcMar>
          </w:tcPr>
          <w:p>
            <w:pPr>
              <w:spacing w:after="40"/>
              <w:jc w:val="left"/>
            </w:pPr>
            <w:r>
              <w:rPr>
                <w:b/>
                <w:bCs/>
                <w:sz w:val="20"/>
                <w:szCs w:val="20"/>
              </w:rPr>
              <w:t xml:space="preserve">SQ-3</w:t>
            </w:r>
          </w:p>
        </w:tc>
        <w:tc>
          <w:tcPr>
            <w:tcW w:type="dxa" w:w="2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Circular Thinking</w:t>
            </w:r>
          </w:p>
        </w:tc>
        <w:tc>
          <w:tcPr>
            <w:tcW w:type="dxa" w:w="1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CYCLE-3</w:t>
            </w:r>
          </w:p>
        </w:tc>
        <w:tc>
          <w:tcPr>
            <w:tcW w:type="dxa" w:w="11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REDESIGN</w:t>
            </w:r>
          </w:p>
        </w:tc>
        <w:tc>
          <w:tcPr>
            <w:tcW w:type="dxa" w:w="4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Redesign a process to reduce waste and close the resource loop.</w:t>
            </w:r>
          </w:p>
        </w:tc>
      </w:tr>
      <w:tr>
        <w:tc>
          <w:tcPr>
            <w:tcW w:type="dxa" w:w="800"/>
            <w:tcBorders>
              <w:top w:val="single" w:color="B0B0B0" w:sz="4"/>
              <w:left w:val="single" w:color="B0B0B0" w:sz="4"/>
              <w:bottom w:val="single" w:color="B0B0B0" w:sz="4"/>
              <w:right w:val="single" w:color="B0B0B0" w:sz="4"/>
            </w:tcBorders>
            <w:shd w:fill="E7E6F5" w:val="clear"/>
            <w:tcMar>
              <w:top w:type="dxa" w:w="100"/>
              <w:left w:type="dxa" w:w="120"/>
              <w:bottom w:type="dxa" w:w="100"/>
              <w:right w:type="dxa" w:w="120"/>
            </w:tcMar>
          </w:tcPr>
          <w:p>
            <w:pPr>
              <w:spacing w:after="40"/>
              <w:jc w:val="left"/>
            </w:pPr>
            <w:r>
              <w:rPr>
                <w:b/>
                <w:bCs/>
                <w:sz w:val="20"/>
                <w:szCs w:val="20"/>
              </w:rPr>
              <w:t xml:space="preserve">SQ-4</w:t>
            </w:r>
          </w:p>
        </w:tc>
        <w:tc>
          <w:tcPr>
            <w:tcW w:type="dxa" w:w="2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Impact Communication</w:t>
            </w:r>
          </w:p>
        </w:tc>
        <w:tc>
          <w:tcPr>
            <w:tcW w:type="dxa" w:w="1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REPORT-4</w:t>
            </w:r>
          </w:p>
        </w:tc>
        <w:tc>
          <w:tcPr>
            <w:tcW w:type="dxa" w:w="11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COMMUNICATE</w:t>
            </w:r>
          </w:p>
        </w:tc>
        <w:tc>
          <w:tcPr>
            <w:tcW w:type="dxa" w:w="4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Communicate sustainability performance honestly — avoid greenwashing, meet CSRD/BRSR standards.</w:t>
            </w:r>
          </w:p>
        </w:tc>
      </w:tr>
      <w:tr>
        <w:tc>
          <w:tcPr>
            <w:tcW w:type="dxa" w:w="800"/>
            <w:tcBorders>
              <w:top w:val="single" w:color="B0B0B0" w:sz="4"/>
              <w:left w:val="single" w:color="B0B0B0" w:sz="4"/>
              <w:bottom w:val="single" w:color="B0B0B0" w:sz="4"/>
              <w:right w:val="single" w:color="B0B0B0" w:sz="4"/>
            </w:tcBorders>
            <w:shd w:fill="E7E6F5" w:val="clear"/>
            <w:tcMar>
              <w:top w:type="dxa" w:w="100"/>
              <w:left w:type="dxa" w:w="120"/>
              <w:bottom w:type="dxa" w:w="100"/>
              <w:right w:type="dxa" w:w="120"/>
            </w:tcMar>
          </w:tcPr>
          <w:p>
            <w:pPr>
              <w:spacing w:after="40"/>
              <w:jc w:val="left"/>
            </w:pPr>
            <w:r>
              <w:rPr>
                <w:b/>
                <w:bCs/>
                <w:sz w:val="20"/>
                <w:szCs w:val="20"/>
              </w:rPr>
              <w:t xml:space="preserve">SQ-5</w:t>
            </w:r>
          </w:p>
        </w:tc>
        <w:tc>
          <w:tcPr>
            <w:tcW w:type="dxa" w:w="2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Green Innovation</w:t>
            </w:r>
          </w:p>
        </w:tc>
        <w:tc>
          <w:tcPr>
            <w:tcW w:type="dxa" w:w="1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SEED-3</w:t>
            </w:r>
          </w:p>
        </w:tc>
        <w:tc>
          <w:tcPr>
            <w:tcW w:type="dxa" w:w="11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INNOVATE</w:t>
            </w:r>
          </w:p>
        </w:tc>
        <w:tc>
          <w:tcPr>
            <w:tcW w:type="dxa" w:w="4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Spot sustainability improvements in your own role and drive adoption in your team.</w:t>
            </w:r>
          </w:p>
        </w:tc>
      </w:tr>
    </w:tbl>
    <w:p>
      <w:r>
        <w:br w:type="page"/>
      </w:r>
    </w:p>
    <w:p>
      <w:pPr>
        <w:pStyle w:val="Heading1"/>
        <w:spacing w:after="200" w:before="360"/>
      </w:pPr>
      <w:r>
        <w:t xml:space="preserve">Section 5 — Progression Gates, Prerequisites and Semester Logic</w:t>
      </w:r>
    </w:p>
    <w:p>
      <w:pPr>
        <w:spacing w:after="200" w:before="0"/>
        <w:jc w:val="left"/>
      </w:pPr>
      <w:r>
        <w:t xml:space="preserve">The progression architecture is strictly sequential and strictly calendar-aligned. Courses unlock one at a time within a semester; semesters unlock only when the calendar says so; stages unlock only when ALL courses of the prior stage have been passed at the 70% threshold. This rigour is deliberate. The Skills Passport and the SRI carry trust only if the gate that preceded them is known to be robust. A single exception path — the Fast Learner Approval Workflow (Section 5.5) — exists for students who have demonstrably outperformed the expected pace, subject to documented institutional sign-off.</w:t>
      </w:r>
    </w:p>
    <w:p>
      <w:pPr>
        <w:pStyle w:val="Heading2"/>
        <w:spacing w:after="160" w:before="280"/>
      </w:pPr>
      <w:r>
        <w:t xml:space="preserve">5.1 Stage gates</w:t>
      </w:r>
    </w:p>
    <w:p>
      <w:pPr>
        <w:spacing w:after="120" w:before="0"/>
        <w:jc w:val="left"/>
      </w:pPr>
      <w:r>
        <w:t xml:space="preserve">To progress from one stage to the next, the student must have PASSED every course at the prior stage at ≥70%, AND taken the relevant stage assessment. No partial completion. No 'most of them' heuristic. ALL means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Gate</w:t>
            </w:r>
          </w:p>
        </w:tc>
        <w:tc>
          <w:tcPr>
            <w:tcW w:type="dxa" w:w="42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Condition (both clauses must hold)</w:t>
            </w:r>
          </w:p>
        </w:tc>
        <w:tc>
          <w:tcPr>
            <w:tcW w:type="dxa" w:w="316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Unlocks</w:t>
            </w:r>
          </w:p>
        </w:tc>
      </w:tr>
      <w:tr>
        <w:tc>
          <w:tcPr>
            <w:tcW w:type="dxa" w:w="20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pPr>
              <w:spacing w:after="40"/>
              <w:jc w:val="left"/>
            </w:pPr>
            <w:r>
              <w:rPr>
                <w:b/>
                <w:bCs/>
                <w:sz w:val="20"/>
                <w:szCs w:val="20"/>
              </w:rPr>
              <w:t xml:space="preserve">Capacity → Capability</w:t>
            </w:r>
          </w:p>
        </w:tc>
        <w:tc>
          <w:tcPr>
            <w:tcW w:type="dxa" w:w="4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(i) ALL 10 Capacity courses (S01–S10) PASSED at ≥70%. (ii) T2 stage assessment taken and submitted.</w:t>
            </w:r>
          </w:p>
        </w:tc>
        <w:tc>
          <w:tcPr>
            <w:tcW w:type="dxa" w:w="31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Capability stage courses (S11–S19), starting with S11. AIQ Track access unlocks separately after S15.</w:t>
            </w:r>
          </w:p>
        </w:tc>
      </w:tr>
      <w:tr>
        <w:tc>
          <w:tcPr>
            <w:tcW w:type="dxa" w:w="20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pPr>
              <w:spacing w:after="40"/>
              <w:jc w:val="left"/>
            </w:pPr>
            <w:r>
              <w:rPr>
                <w:b/>
                <w:bCs/>
                <w:sz w:val="20"/>
                <w:szCs w:val="20"/>
              </w:rPr>
              <w:t xml:space="preserve">Capability → Leadership</w:t>
            </w:r>
          </w:p>
        </w:tc>
        <w:tc>
          <w:tcPr>
            <w:tcW w:type="dxa" w:w="4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(i) ALL 9 Capability courses (S11–S19) PASSED at ≥70%. (ii) T3 stage assessment taken and submitted.</w:t>
            </w:r>
          </w:p>
        </w:tc>
        <w:tc>
          <w:tcPr>
            <w:tcW w:type="dxa" w:w="31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Leadership stage courses (S20–S25), starting with S20. SQ Track access unlocks separately after S21.</w:t>
            </w:r>
          </w:p>
        </w:tc>
      </w:tr>
      <w:tr>
        <w:tc>
          <w:tcPr>
            <w:tcW w:type="dxa" w:w="20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pPr>
              <w:spacing w:after="40"/>
              <w:jc w:val="left"/>
            </w:pPr>
            <w:r>
              <w:rPr>
                <w:b/>
                <w:bCs/>
                <w:sz w:val="20"/>
                <w:szCs w:val="20"/>
              </w:rPr>
              <w:t xml:space="preserve">Leadership → Programme complete</w:t>
            </w:r>
          </w:p>
        </w:tc>
        <w:tc>
          <w:tcPr>
            <w:tcW w:type="dxa" w:w="4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(i) ALL 6 Leadership courses (S20–S25) PASSED at ≥70%. (ii) T4 stage assessment taken and submitted.</w:t>
            </w:r>
          </w:p>
        </w:tc>
        <w:tc>
          <w:tcPr>
            <w:tcW w:type="dxa" w:w="31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Verified Skills Passport with complete T1–T4 trajectory; all 10 Standards fully rated; full SRI.</w:t>
            </w:r>
          </w:p>
        </w:tc>
      </w:tr>
    </w:tbl>
    <w:p>
      <w:pPr>
        <w:spacing w:after="12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B0B0B0" w:sz="4"/>
              <w:bottom w:val="single" w:color="B0B0B0" w:sz="4"/>
              <w:right w:val="single" w:color="B0B0B0" w:sz="4"/>
            </w:tcBorders>
            <w:shd w:fill="D9E2F3" w:val="clear"/>
            <w:tcMar>
              <w:top w:type="dxa" w:w="160"/>
              <w:left w:type="dxa" w:w="200"/>
              <w:bottom w:type="dxa" w:w="160"/>
              <w:right w:type="dxa" w:w="200"/>
            </w:tcMar>
          </w:tcPr>
          <w:p>
            <w:pPr>
              <w:spacing w:after="80"/>
            </w:pPr>
            <w:r>
              <w:rPr>
                <w:b/>
                <w:bCs/>
                <w:sz w:val="22"/>
                <w:szCs w:val="22"/>
              </w:rPr>
              <w:t xml:space="preserve">What happens when a course cannot reach 70%</w:t>
            </w:r>
          </w:p>
          <w:p>
            <w:pPr>
              <w:spacing w:after="0"/>
            </w:pPr>
            <w:r>
              <w:rPr>
                <w:sz w:val="20"/>
                <w:szCs w:val="20"/>
              </w:rPr>
              <w:t xml:space="preserve">A student who has attempted a course 3 times without reaching 70% enters Targeted Remediation. The Placement Officer configures a support plan (mentor pairing, additional practice scenarios, tutoring), a 30-day cooling period applies, and the student retakes with a fresh SJT variant set. The course stays UNPASSED and the stage gate remains locked until 70% is reached. This preserves the rigour of the gate while respecting the never-permanently-stuck principle (see Document 2A Section B.1.1). A student never loses the right to progress; the timing of that progression is shaped by demonstrated capability, not by calendar pressure.</w:t>
            </w:r>
          </w:p>
        </w:tc>
      </w:tr>
    </w:tbl>
    <w:p>
      <w:pPr>
        <w:spacing w:after="120" w:before="0"/>
        <w:jc w:val="left"/>
      </w:pPr>
      <w:r>
        <w:t xml:space="preserve"/>
      </w:r>
    </w:p>
    <w:p>
      <w:pPr>
        <w:pStyle w:val="Heading2"/>
        <w:spacing w:after="160" w:before="280"/>
      </w:pPr>
      <w:r>
        <w:t xml:space="preserve">5.2 Track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Track</w:t>
            </w:r>
          </w:p>
        </w:tc>
        <w:tc>
          <w:tcPr>
            <w:tcW w:type="dxa" w:w="20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Course prerequisite</w:t>
            </w:r>
          </w:p>
        </w:tc>
        <w:tc>
          <w:tcPr>
            <w:tcW w:type="dxa" w:w="20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External prerequisite</w:t>
            </w:r>
          </w:p>
        </w:tc>
        <w:tc>
          <w:tcPr>
            <w:tcW w:type="dxa" w:w="376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Available from</w:t>
            </w:r>
          </w:p>
        </w:tc>
      </w:tr>
      <w:tr>
        <w:tc>
          <w:tcPr>
            <w:tcW w:type="dxa" w:w="1600"/>
            <w:tcBorders>
              <w:top w:val="single" w:color="B0B0B0" w:sz="4"/>
              <w:left w:val="single" w:color="B0B0B0" w:sz="4"/>
              <w:bottom w:val="single" w:color="B0B0B0" w:sz="4"/>
              <w:right w:val="single" w:color="B0B0B0" w:sz="4"/>
            </w:tcBorders>
            <w:shd w:fill="E7E6F5" w:val="clear"/>
            <w:tcMar>
              <w:top w:type="dxa" w:w="100"/>
              <w:left w:type="dxa" w:w="120"/>
              <w:bottom w:type="dxa" w:w="100"/>
              <w:right w:type="dxa" w:w="120"/>
            </w:tcMar>
          </w:tcPr>
          <w:p>
            <w:pPr>
              <w:spacing w:after="40"/>
              <w:jc w:val="left"/>
            </w:pPr>
            <w:r>
              <w:rPr>
                <w:b/>
                <w:bCs/>
                <w:sz w:val="20"/>
                <w:szCs w:val="20"/>
              </w:rPr>
              <w:t xml:space="preserve">PIQ</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S05 RESET-4 PASSED at ≥70%</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None</w:t>
            </w:r>
          </w:p>
        </w:tc>
        <w:tc>
          <w:tcPr>
            <w:tcW w:type="dxa" w:w="37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Year 1 (earliest of all three tracks)</w:t>
            </w:r>
          </w:p>
        </w:tc>
      </w:tr>
      <w:tr>
        <w:tc>
          <w:tcPr>
            <w:tcW w:type="dxa" w:w="1600"/>
            <w:tcBorders>
              <w:top w:val="single" w:color="B0B0B0" w:sz="4"/>
              <w:left w:val="single" w:color="B0B0B0" w:sz="4"/>
              <w:bottom w:val="single" w:color="B0B0B0" w:sz="4"/>
              <w:right w:val="single" w:color="B0B0B0" w:sz="4"/>
            </w:tcBorders>
            <w:shd w:fill="E7E6F5" w:val="clear"/>
            <w:tcMar>
              <w:top w:type="dxa" w:w="100"/>
              <w:left w:type="dxa" w:w="120"/>
              <w:bottom w:type="dxa" w:w="100"/>
              <w:right w:type="dxa" w:w="120"/>
            </w:tcMar>
          </w:tcPr>
          <w:p>
            <w:pPr>
              <w:spacing w:after="40"/>
              <w:jc w:val="left"/>
            </w:pPr>
            <w:r>
              <w:rPr>
                <w:b/>
                <w:bCs/>
                <w:sz w:val="20"/>
                <w:szCs w:val="20"/>
              </w:rPr>
              <w:t xml:space="preserve">AIQ</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S15 GUARD-4 PASSED at ≥70%</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Any 1 external AI literacy course (Anthropic / Google / Microsoft)</w:t>
            </w:r>
          </w:p>
        </w:tc>
        <w:tc>
          <w:tcPr>
            <w:tcW w:type="dxa" w:w="37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Year 2 onwards (Capability stage)</w:t>
            </w:r>
          </w:p>
        </w:tc>
      </w:tr>
      <w:tr>
        <w:tc>
          <w:tcPr>
            <w:tcW w:type="dxa" w:w="1600"/>
            <w:tcBorders>
              <w:top w:val="single" w:color="B0B0B0" w:sz="4"/>
              <w:left w:val="single" w:color="B0B0B0" w:sz="4"/>
              <w:bottom w:val="single" w:color="B0B0B0" w:sz="4"/>
              <w:right w:val="single" w:color="B0B0B0" w:sz="4"/>
            </w:tcBorders>
            <w:shd w:fill="E7E6F5" w:val="clear"/>
            <w:tcMar>
              <w:top w:type="dxa" w:w="100"/>
              <w:left w:type="dxa" w:w="120"/>
              <w:bottom w:type="dxa" w:w="100"/>
              <w:right w:type="dxa" w:w="120"/>
            </w:tcMar>
          </w:tcPr>
          <w:p>
            <w:pPr>
              <w:spacing w:after="40"/>
              <w:jc w:val="left"/>
            </w:pPr>
            <w:r>
              <w:rPr>
                <w:b/>
                <w:bCs/>
                <w:sz w:val="20"/>
                <w:szCs w:val="20"/>
              </w:rPr>
              <w:t xml:space="preserve">SQ</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S21 LENS-4 PASSED at ≥70% (mandatory). S16 ZOOM-3 recommended.</w:t>
            </w:r>
          </w:p>
        </w:tc>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None</w:t>
            </w:r>
          </w:p>
        </w:tc>
        <w:tc>
          <w:tcPr>
            <w:tcW w:type="dxa" w:w="37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Year 3 onwards (Leadership stage)</w:t>
            </w:r>
          </w:p>
        </w:tc>
      </w:tr>
    </w:tbl>
    <w:p>
      <w:pPr>
        <w:spacing w:after="120" w:before="0"/>
        <w:jc w:val="left"/>
      </w:pPr>
      <w:r>
        <w:t xml:space="preserve"/>
      </w:r>
    </w:p>
    <w:p>
      <w:pPr>
        <w:pStyle w:val="Heading2"/>
        <w:spacing w:after="160" w:before="280"/>
      </w:pPr>
      <w:r>
        <w:t xml:space="preserve">5.3 Within-stage sequencing — sequential unlock</w:t>
      </w:r>
    </w:p>
    <w:p>
      <w:pPr>
        <w:spacing w:after="120" w:before="0"/>
        <w:jc w:val="left"/>
      </w:pPr>
      <w:r>
        <w:t xml:space="preserve">Inside a semester, courses unlock one at a time in a published order. Course N+1 becomes available only when Course N has been PASSED at ≥70%. A student cannot see the next course before passing the current course. The rationale is pedagogical: each course teaches a framework that the next course assumes. Allowing a student to attempt them out of order degrades the outcome and devalues the SRI for the whole cohort.</w:t>
      </w:r>
    </w:p>
    <w:p>
      <w:pPr>
        <w:pStyle w:val="ListParagraph"/>
        <w:numPr>
          <w:ilvl w:val="0"/>
          <w:numId w:val="2"/>
        </w:numPr>
        <w:spacing w:after="80"/>
      </w:pPr>
      <w:r>
        <w:rPr>
          <w:b/>
          <w:bCs/>
        </w:rPr>
        <w:t xml:space="preserve">Semester 1 (Year 1): </w:t>
      </w:r>
      <w:r>
        <w:t xml:space="preserve">S01 CLEAR-5 → S07 OWN-4 → S05 RESET-4. At the start of the semester only S01 is visible. S07 appears on the dashboard once S01 is passed. S05 appears once S07 is passed. PIQ Track unlocks once S05 is passed.</w:t>
      </w:r>
    </w:p>
    <w:p>
      <w:pPr>
        <w:pStyle w:val="ListParagraph"/>
        <w:numPr>
          <w:ilvl w:val="0"/>
          <w:numId w:val="2"/>
        </w:numPr>
        <w:spacing w:after="80"/>
      </w:pPr>
      <w:r>
        <w:rPr>
          <w:b/>
          <w:bCs/>
        </w:rPr>
        <w:t xml:space="preserve">Semester 2 (Year 1): </w:t>
      </w:r>
      <w:r>
        <w:t xml:space="preserve">S03 READ-3 → S09 VALUE-4 → S10 LINK-4. Same sequential unlock.</w:t>
      </w:r>
    </w:p>
    <w:p>
      <w:pPr>
        <w:pStyle w:val="ListParagraph"/>
        <w:numPr>
          <w:ilvl w:val="0"/>
          <w:numId w:val="2"/>
        </w:numPr>
        <w:spacing w:after="80"/>
      </w:pPr>
      <w:r>
        <w:rPr>
          <w:b/>
          <w:bCs/>
        </w:rPr>
        <w:t xml:space="preserve">Capability stage: </w:t>
      </w:r>
      <w:r>
        <w:t xml:space="preserve">S11 → S12 → S13 → S14 → S15 → S16 → S17 → S18 → S19. S15 GUARD-4 is the AIQ gateway; AIQ Track courses begin their own sequential unlock after S15 plus the external AI prerequisite.</w:t>
      </w:r>
    </w:p>
    <w:p>
      <w:pPr>
        <w:pStyle w:val="ListParagraph"/>
        <w:numPr>
          <w:ilvl w:val="0"/>
          <w:numId w:val="2"/>
        </w:numPr>
        <w:spacing w:after="80"/>
      </w:pPr>
      <w:r>
        <w:rPr>
          <w:b/>
          <w:bCs/>
        </w:rPr>
        <w:t xml:space="preserve">Leadership stage: </w:t>
      </w:r>
      <w:r>
        <w:t xml:space="preserve">S20 EDGE-4 → S21 LENS-4 → S22 GROW-4 → S23 HAND-4 → S24 MOVE-4 → S25 FLIP-3. S21 is the SQ gateway; SQ Track begins sequential unlock after S21.</w:t>
      </w:r>
    </w:p>
    <w:p>
      <w:pPr>
        <w:pStyle w:val="ListParagraph"/>
        <w:numPr>
          <w:ilvl w:val="0"/>
          <w:numId w:val="2"/>
        </w:numPr>
        <w:spacing w:after="80"/>
      </w:pPr>
      <w:r>
        <w:rPr>
          <w:b/>
          <w:bCs/>
        </w:rPr>
        <w:t xml:space="preserve">Tracks (PIQ, AIQ, SQ): </w:t>
      </w:r>
      <w:r>
        <w:t xml:space="preserve">Each track's 5 courses also unlock sequentially (PIQ-1 → PIQ-2 → … → PIQ-5, and similarly for AIQ and SQ). The track's capstone trade-off is available only after all 5 courses are passed.</w:t>
      </w:r>
    </w:p>
    <w:p>
      <w:pPr>
        <w:spacing w:after="120" w:before="0"/>
        <w:jc w:val="left"/>
      </w:pPr>
      <w:r>
        <w:t xml:space="preserve"/>
      </w:r>
    </w:p>
    <w:p>
      <w:pPr>
        <w:pStyle w:val="Heading2"/>
        <w:spacing w:after="160" w:before="280"/>
      </w:pPr>
      <w:r>
        <w:t xml:space="preserve">5.4 Between-semester sequencing — calendar-locked</w:t>
      </w:r>
    </w:p>
    <w:p>
      <w:pPr>
        <w:spacing w:after="120" w:before="0"/>
        <w:jc w:val="left"/>
      </w:pPr>
      <w:r>
        <w:t xml:space="preserve">Semester N+1 courses are NOT available until the calendar Semester N+1 begins, regardless of how fast the student completes Semester N. A student who finishes the three Semester 1 courses in six weeks does not see Semester 2 courses in week seven. They wait for the institution's Semester 2 start date.</w:t>
      </w:r>
    </w:p>
    <w:p>
      <w:pPr>
        <w:spacing w:after="80" w:before="0"/>
        <w:jc w:val="left"/>
      </w:pPr>
      <w:r>
        <w:t xml:space="preserve">This is a deliberate design choice, not a platform limitation. Two reasons:</w:t>
      </w:r>
    </w:p>
    <w:p>
      <w:pPr>
        <w:pStyle w:val="ListParagraph"/>
        <w:numPr>
          <w:ilvl w:val="0"/>
          <w:numId w:val="2"/>
        </w:numPr>
        <w:spacing w:after="80"/>
      </w:pPr>
      <w:r>
        <w:rPr>
          <w:b/>
          <w:bCs/>
        </w:rPr>
        <w:t xml:space="preserve">Retention. </w:t>
      </w:r>
      <w:r>
        <w:t xml:space="preserve">Ebbinghaus's forgetting curve (Document 1 Section 2.2.5) shows that learners lose approximately 50% of new material within a week of acquisition. Spacing acquisition across the semester window, with daily micro-challenges and monthly fitness checks filling the gap, produces measurably better retention at T2. A student who binges Semester 1 in six weeks loses the early frameworks before Semester 2 begins.</w:t>
      </w:r>
    </w:p>
    <w:p>
      <w:pPr>
        <w:pStyle w:val="ListParagraph"/>
        <w:numPr>
          <w:ilvl w:val="0"/>
          <w:numId w:val="2"/>
        </w:numPr>
        <w:spacing w:after="80"/>
      </w:pPr>
      <w:r>
        <w:rPr>
          <w:b/>
          <w:bCs/>
        </w:rPr>
        <w:t xml:space="preserve">Institutional alignment. </w:t>
      </w:r>
      <w:r>
        <w:t xml:space="preserve">Colleges operate on academic calendars. Placement cycles, internship windows, exam weeks and convocation schedules are all calendar-bound. SMAART's semester lock keeps the SMAART journey aligned with the institutional rhythm and makes the Placement Officer dashboard meaningful (cohort-level views rely on the cohort being at a comparable stage).</w:t>
      </w:r>
    </w:p>
    <w:p>
      <w:pPr>
        <w:spacing w:after="12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B0B0B0" w:sz="4"/>
              <w:bottom w:val="single" w:color="B0B0B0" w:sz="4"/>
              <w:right w:val="single" w:color="B0B0B0" w:sz="4"/>
            </w:tcBorders>
            <w:shd w:fill="D9E2F3" w:val="clear"/>
            <w:tcMar>
              <w:top w:type="dxa" w:w="160"/>
              <w:left w:type="dxa" w:w="200"/>
              <w:bottom w:type="dxa" w:w="160"/>
              <w:right w:type="dxa" w:w="200"/>
            </w:tcMar>
          </w:tcPr>
          <w:p>
            <w:pPr>
              <w:spacing w:after="80"/>
            </w:pPr>
            <w:r>
              <w:rPr>
                <w:b/>
                <w:bCs/>
                <w:sz w:val="22"/>
                <w:szCs w:val="22"/>
              </w:rPr>
              <w:t xml:space="preserve">What the student sees before the next semester opens</w:t>
            </w:r>
          </w:p>
          <w:p>
            <w:pPr>
              <w:spacing w:after="0"/>
            </w:pPr>
            <w:r>
              <w:rPr>
                <w:sz w:val="20"/>
                <w:szCs w:val="20"/>
              </w:rPr>
              <w:t xml:space="preserve">A student who has finished all Semester 1 courses early sees a 'Semester 1 complete' dashboard with the date Semester 2 opens. In the intervening period, daily micro-challenges continue (feeding the Learning Consistency category of the SRI), the PIQ Track remains available if unlocked, the English module continues, and the student can begin technical skill verification. There is no idle period — the calendar lock applies only to the next semester's HI courses, not to the other layers of the programme.</w:t>
            </w:r>
          </w:p>
        </w:tc>
      </w:tr>
    </w:tbl>
    <w:p>
      <w:pPr>
        <w:spacing w:after="120" w:before="0"/>
        <w:jc w:val="left"/>
      </w:pPr>
      <w:r>
        <w:t xml:space="preserve"/>
      </w:r>
    </w:p>
    <w:p>
      <w:pPr>
        <w:pStyle w:val="Heading2"/>
        <w:spacing w:after="160" w:before="280"/>
      </w:pPr>
      <w:r>
        <w:t xml:space="preserve">5.5 Fast Learner Exception — Approval Workflow</w:t>
      </w:r>
    </w:p>
    <w:p>
      <w:pPr>
        <w:spacing w:after="120" w:before="0"/>
        <w:jc w:val="left"/>
      </w:pPr>
      <w:r>
        <w:t xml:space="preserve">A student who has demonstrably exceeded the expected pace may request early unlock of the next semester's courses through a formal approval workflow. This is an exception, not a default. It is not available on demand and is not granted automatically based on completion speed alone. It exists because, in rare cases, a genuinely exceptional student is better served by moving ahead than by waiting — and the institutional sign-off protects both the student and the integrity of the SRI.</w:t>
      </w:r>
    </w:p>
    <w:p>
      <w:pPr>
        <w:pStyle w:val="Heading3"/>
        <w:spacing w:after="120" w:before="220"/>
      </w:pPr>
      <w:r>
        <w:t xml:space="preserve">5.5.1 Eligibility — all four must hold</w:t>
      </w:r>
    </w:p>
    <w:p>
      <w:pPr>
        <w:pStyle w:val="ListParagraph"/>
        <w:numPr>
          <w:ilvl w:val="0"/>
          <w:numId w:val="2"/>
        </w:numPr>
        <w:spacing w:after="80"/>
      </w:pPr>
      <w:r>
        <w:t xml:space="preserve">The student has PASSED all courses of the current semester at ≥80% (higher than the 70% gate — evidence of genuine strength, not minimum compliance).</w:t>
      </w:r>
    </w:p>
    <w:p>
      <w:pPr>
        <w:pStyle w:val="ListParagraph"/>
        <w:numPr>
          <w:ilvl w:val="0"/>
          <w:numId w:val="2"/>
        </w:numPr>
        <w:spacing w:after="80"/>
      </w:pPr>
      <w:r>
        <w:t xml:space="preserve">The student's latest stage assessment (T1 / T2 / T3) overall score is ≥70% ('Proficient' band).</w:t>
      </w:r>
    </w:p>
    <w:p>
      <w:pPr>
        <w:pStyle w:val="ListParagraph"/>
        <w:numPr>
          <w:ilvl w:val="0"/>
          <w:numId w:val="2"/>
        </w:numPr>
        <w:spacing w:after="80"/>
      </w:pPr>
      <w:r>
        <w:t xml:space="preserve">Framework Retention (from T2 onwards) is ≥85%.</w:t>
      </w:r>
    </w:p>
    <w:p>
      <w:pPr>
        <w:pStyle w:val="ListParagraph"/>
        <w:numPr>
          <w:ilvl w:val="0"/>
          <w:numId w:val="2"/>
        </w:numPr>
        <w:spacing w:after="80"/>
      </w:pPr>
      <w:r>
        <w:t xml:space="preserve">The student has no open flags: no appeals pending, no anti-gaming flags raised, no remediation plan active.</w:t>
      </w:r>
    </w:p>
    <w:p>
      <w:pPr>
        <w:pStyle w:val="Heading3"/>
        <w:spacing w:after="120" w:before="220"/>
      </w:pPr>
      <w:r>
        <w:t xml:space="preserve">5.5.2 The five-step approval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060"/>
      </w:tblGrid>
      <w:tr>
        <w:tc>
          <w:tcPr>
            <w:tcW w:type="dxa" w:w="9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Step</w:t>
            </w:r>
          </w:p>
        </w:tc>
        <w:tc>
          <w:tcPr>
            <w:tcW w:type="dxa" w:w="22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Actor</w:t>
            </w:r>
          </w:p>
        </w:tc>
        <w:tc>
          <w:tcPr>
            <w:tcW w:type="dxa" w:w="32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Action</w:t>
            </w:r>
          </w:p>
        </w:tc>
        <w:tc>
          <w:tcPr>
            <w:tcW w:type="dxa" w:w="306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Time-box / evidence</w:t>
            </w:r>
          </w:p>
        </w:tc>
      </w:tr>
      <w:tr>
        <w:tc>
          <w:tcPr>
            <w:tcW w:type="dxa" w:w="9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pPr>
              <w:spacing w:after="40"/>
              <w:jc w:val="left"/>
            </w:pPr>
            <w:r>
              <w:rPr>
                <w:b/>
                <w:bCs/>
                <w:sz w:val="20"/>
                <w:szCs w:val="20"/>
              </w:rPr>
              <w:t xml:space="preserve">1</w:t>
            </w:r>
          </w:p>
        </w:tc>
        <w:tc>
          <w:tcPr>
            <w:tcW w:type="dxa" w:w="2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Student</w:t>
            </w:r>
          </w:p>
        </w:tc>
        <w:tc>
          <w:tcPr>
            <w:tcW w:type="dxa" w:w="3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Submits the in-app 'Request Accelerated Progression' form. Writes a 100-word rationale: why they believe they are ready to move ahead.</w:t>
            </w:r>
          </w:p>
        </w:tc>
        <w:tc>
          <w:tcPr>
            <w:tcW w:type="dxa" w:w="3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Submitted instantly. Dashboard shows 'Request pending'.</w:t>
            </w:r>
          </w:p>
        </w:tc>
      </w:tr>
      <w:tr>
        <w:tc>
          <w:tcPr>
            <w:tcW w:type="dxa" w:w="9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pPr>
              <w:spacing w:after="40"/>
              <w:jc w:val="left"/>
            </w:pPr>
            <w:r>
              <w:rPr>
                <w:b/>
                <w:bCs/>
                <w:sz w:val="20"/>
                <w:szCs w:val="20"/>
              </w:rPr>
              <w:t xml:space="preserve">2</w:t>
            </w:r>
          </w:p>
        </w:tc>
        <w:tc>
          <w:tcPr>
            <w:tcW w:type="dxa" w:w="2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System</w:t>
            </w:r>
          </w:p>
        </w:tc>
        <w:tc>
          <w:tcPr>
            <w:tcW w:type="dxa" w:w="3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Automatically checks the four eligibility conditions. If any fails, the request is declined with a specific reason. If all pass, the request is routed to the Placement Officer.</w:t>
            </w:r>
          </w:p>
        </w:tc>
        <w:tc>
          <w:tcPr>
            <w:tcW w:type="dxa" w:w="3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Within 1 minute. Auto-audit log entry created.</w:t>
            </w:r>
          </w:p>
        </w:tc>
      </w:tr>
      <w:tr>
        <w:tc>
          <w:tcPr>
            <w:tcW w:type="dxa" w:w="9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pPr>
              <w:spacing w:after="40"/>
              <w:jc w:val="left"/>
            </w:pPr>
            <w:r>
              <w:rPr>
                <w:b/>
                <w:bCs/>
                <w:sz w:val="20"/>
                <w:szCs w:val="20"/>
              </w:rPr>
              <w:t xml:space="preserve">3</w:t>
            </w:r>
          </w:p>
        </w:tc>
        <w:tc>
          <w:tcPr>
            <w:tcW w:type="dxa" w:w="2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Placement Officer</w:t>
            </w:r>
          </w:p>
        </w:tc>
        <w:tc>
          <w:tcPr>
            <w:tcW w:type="dxa" w:w="3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Reviews the student's behavioural indicators, micro-challenge performance, consistency metrics. Either endorses with comments, requests more evidence, or declines.</w:t>
            </w:r>
          </w:p>
        </w:tc>
        <w:tc>
          <w:tcPr>
            <w:tcW w:type="dxa" w:w="3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5 working days. PO comment becomes part of the audit record.</w:t>
            </w:r>
          </w:p>
        </w:tc>
      </w:tr>
      <w:tr>
        <w:tc>
          <w:tcPr>
            <w:tcW w:type="dxa" w:w="9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pPr>
              <w:spacing w:after="40"/>
              <w:jc w:val="left"/>
            </w:pPr>
            <w:r>
              <w:rPr>
                <w:b/>
                <w:bCs/>
                <w:sz w:val="20"/>
                <w:szCs w:val="20"/>
              </w:rPr>
              <w:t xml:space="preserve">4</w:t>
            </w:r>
          </w:p>
        </w:tc>
        <w:tc>
          <w:tcPr>
            <w:tcW w:type="dxa" w:w="2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Programme Head / HoD</w:t>
            </w:r>
          </w:p>
        </w:tc>
        <w:tc>
          <w:tcPr>
            <w:tcW w:type="dxa" w:w="3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Institutional sign-off. Considers whether acceleration affects the student's classroom attendance, group work, or other institutional commitments.</w:t>
            </w:r>
          </w:p>
        </w:tc>
        <w:tc>
          <w:tcPr>
            <w:tcW w:type="dxa" w:w="3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5 working days. Signature logged.</w:t>
            </w:r>
          </w:p>
        </w:tc>
      </w:tr>
      <w:tr>
        <w:tc>
          <w:tcPr>
            <w:tcW w:type="dxa" w:w="900"/>
            <w:tcBorders>
              <w:top w:val="single" w:color="B0B0B0" w:sz="4"/>
              <w:left w:val="single" w:color="B0B0B0" w:sz="4"/>
              <w:bottom w:val="single" w:color="B0B0B0" w:sz="4"/>
              <w:right w:val="single" w:color="B0B0B0" w:sz="4"/>
            </w:tcBorders>
            <w:shd w:fill="F2F2F2" w:val="clear"/>
            <w:tcMar>
              <w:top w:type="dxa" w:w="100"/>
              <w:left w:type="dxa" w:w="120"/>
              <w:bottom w:type="dxa" w:w="100"/>
              <w:right w:type="dxa" w:w="120"/>
            </w:tcMar>
          </w:tcPr>
          <w:p>
            <w:pPr>
              <w:spacing w:after="40"/>
              <w:jc w:val="left"/>
            </w:pPr>
            <w:r>
              <w:rPr>
                <w:b/>
                <w:bCs/>
                <w:sz w:val="20"/>
                <w:szCs w:val="20"/>
              </w:rPr>
              <w:t xml:space="preserve">5</w:t>
            </w:r>
          </w:p>
        </w:tc>
        <w:tc>
          <w:tcPr>
            <w:tcW w:type="dxa" w:w="2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Student</w:t>
            </w:r>
          </w:p>
        </w:tc>
        <w:tc>
          <w:tcPr>
            <w:tcW w:type="dxa" w:w="32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Final opt-in confirmation. The student acknowledges they understand the pace, that the gate at the next stage still requires ALL courses at ≥70%, and that acceleration does not change the SRI formula.</w:t>
            </w:r>
          </w:p>
        </w:tc>
        <w:tc>
          <w:tcPr>
            <w:tcW w:type="dxa" w:w="30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Within 7 days of approval. If not confirmed, approval lapses.</w:t>
            </w:r>
          </w:p>
        </w:tc>
      </w:tr>
    </w:tbl>
    <w:p>
      <w:pPr>
        <w:spacing w:after="120" w:before="0"/>
        <w:jc w:val="left"/>
      </w:pPr>
      <w:r>
        <w:t xml:space="preserve"/>
      </w:r>
    </w:p>
    <w:p>
      <w:pPr>
        <w:pStyle w:val="Heading3"/>
        <w:spacing w:after="120" w:before="220"/>
      </w:pPr>
      <w:r>
        <w:t xml:space="preserve">5.5.3 Safeguards on the Fast Learner path</w:t>
      </w:r>
    </w:p>
    <w:p>
      <w:pPr>
        <w:pStyle w:val="ListParagraph"/>
        <w:numPr>
          <w:ilvl w:val="0"/>
          <w:numId w:val="2"/>
        </w:numPr>
        <w:spacing w:after="80"/>
      </w:pPr>
      <w:r>
        <w:t xml:space="preserve">Acceleration is a ONE-TIME grant per semester. A student who is accelerated from Semester 1 to Semester 2 must apply again (and re-qualify) to accelerate from Semester 2 to Semester 3.</w:t>
      </w:r>
    </w:p>
    <w:p>
      <w:pPr>
        <w:pStyle w:val="ListParagraph"/>
        <w:numPr>
          <w:ilvl w:val="0"/>
          <w:numId w:val="2"/>
        </w:numPr>
        <w:spacing w:after="80"/>
      </w:pPr>
      <w:r>
        <w:t xml:space="preserve">Acceleration unlocks the NEXT semester only — not multiple semesters ahead. A student cannot leap from Semester 1 to Semester 3 in one request.</w:t>
      </w:r>
    </w:p>
    <w:p>
      <w:pPr>
        <w:pStyle w:val="ListParagraph"/>
        <w:numPr>
          <w:ilvl w:val="0"/>
          <w:numId w:val="2"/>
        </w:numPr>
        <w:spacing w:after="80"/>
      </w:pPr>
      <w:r>
        <w:t xml:space="preserve">Sequential unlock within the new semester still applies. The student sees S03 only on entering Semester 2, and sees S09 only after passing S03.</w:t>
      </w:r>
    </w:p>
    <w:p>
      <w:pPr>
        <w:pStyle w:val="ListParagraph"/>
        <w:numPr>
          <w:ilvl w:val="0"/>
          <w:numId w:val="2"/>
        </w:numPr>
        <w:spacing w:after="80"/>
      </w:pPr>
      <w:r>
        <w:t xml:space="preserve">The Skills Passport does NOT record or display acceleration status. Employers see the same standards, scores and SRI they would see for any other student. Acceleration is a delivery mechanic, not a credential.</w:t>
      </w:r>
    </w:p>
    <w:p>
      <w:pPr>
        <w:pStyle w:val="ListParagraph"/>
        <w:numPr>
          <w:ilvl w:val="0"/>
          <w:numId w:val="2"/>
        </w:numPr>
        <w:spacing w:after="80"/>
      </w:pPr>
      <w:r>
        <w:t xml:space="preserve">Quarterly bias audit (Document 2A Section B.4.2) checks whether acceleration is being granted disproportionately to any demographic group. If a pattern emerges, the eligibility thresholds are reviewed.</w:t>
      </w:r>
    </w:p>
    <w:p>
      <w:pPr>
        <w:pStyle w:val="Heading3"/>
        <w:spacing w:after="120" w:before="220"/>
      </w:pPr>
      <w:r>
        <w:t xml:space="preserve">5.5.4 Worked example</w:t>
      </w:r>
    </w:p>
    <w:p>
      <w:pPr>
        <w:spacing w:after="200" w:before="0"/>
        <w:jc w:val="left"/>
      </w:pPr>
      <w:r>
        <w:t xml:space="preserve">Anjali is in Year 1 Semester 1 of a B.Com programme. She completes S01 CLEAR-5 in Week 3 at 82%, S07 OWN-4 in Week 5 at 85%, and S05 RESET-4 in Week 7 at 88%. She has maintained daily micro-challenges throughout. Semester 2 is scheduled to begin in Week 18. In Week 8 she submits a Request Accelerated Progression form. The system checks: all courses passed at ≥80% (yes), no T-assessment yet (T1 score was 68 — does not meet the ≥70% rule, but T1 alone does not disqualify a Semester 1 → Semester 2 acceleration request because T1 is a baseline, not a progress measure — the rule applies from T2 onwards). The PO reviews Anjali's behavioural pattern, confirms consistency, endorses. The Programme Head confirms her attendance and group-project participation are on track. Anjali confirms opt-in. Semester 2 courses unlock in Week 9 — nine weeks ahead of schedule. She completes Semester 2 by Week 16, then immediately takes T2 at the normal T2 trigger (5+ courses passed, 4 months since T1 — now met). Her SRI is calculated on exactly the same formula. She is not advantaged or disadvantaged in scoring — only in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B0B0B0" w:sz="4"/>
              <w:bottom w:val="single" w:color="B0B0B0" w:sz="4"/>
              <w:right w:val="single" w:color="B0B0B0" w:sz="4"/>
            </w:tcBorders>
            <w:shd w:fill="D9E2F3" w:val="clear"/>
            <w:tcMar>
              <w:top w:type="dxa" w:w="160"/>
              <w:left w:type="dxa" w:w="200"/>
              <w:bottom w:type="dxa" w:w="160"/>
              <w:right w:type="dxa" w:w="200"/>
            </w:tcMar>
          </w:tcPr>
          <w:p>
            <w:pPr>
              <w:spacing w:after="80"/>
            </w:pPr>
            <w:r>
              <w:rPr>
                <w:b/>
                <w:bCs/>
                <w:sz w:val="22"/>
                <w:szCs w:val="22"/>
              </w:rPr>
              <w:t xml:space="preserve">Why this design is defensible to a regulator</w:t>
            </w:r>
          </w:p>
          <w:p>
            <w:pPr>
              <w:spacing w:after="0"/>
            </w:pPr>
            <w:r>
              <w:rPr>
                <w:sz w:val="20"/>
                <w:szCs w:val="20"/>
              </w:rPr>
              <w:t xml:space="preserve">The acceleration exception is documented, has explicit criteria, requires dual institutional sign-off, is auditable, and is quarterly-audited for demographic disparity. A student who wants to accelerate has a clear path; a student who does not want to accelerate faces zero pressure. The default is semester-locked rigour; the exception is principled and narrow. This is the same pattern as credit portability in NEP 2020 and the UK apprenticeship fast-track — structured flexibility, not informal permission.</w:t>
            </w:r>
          </w:p>
        </w:tc>
      </w:tr>
    </w:tbl>
    <w:p>
      <w:r>
        <w:br w:type="page"/>
      </w:r>
    </w:p>
    <w:p>
      <w:pPr>
        <w:pStyle w:val="Heading2"/>
        <w:spacing w:after="160" w:before="280"/>
      </w:pPr>
      <w:r>
        <w:t xml:space="preserve">5.6 Reference — 3-year UG / 2-year PG semester calendar</w:t>
      </w:r>
    </w:p>
    <w:p>
      <w:pPr>
        <w:spacing w:after="120" w:before="0"/>
        <w:jc w:val="left"/>
      </w:pPr>
      <w:r>
        <w:rPr>
          <w:i/>
          <w:iCs/>
          <w:color w:val="595959"/>
        </w:rPr>
        <w:t xml:space="preserve">The expected timeline assuming no acceleration. For MBA and PG students, see Document 2A Part A for the compressed 2-year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Programme term</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Approx. month range</w:t>
            </w:r>
          </w:p>
        </w:tc>
        <w:tc>
          <w:tcPr>
            <w:tcW w:type="dxa" w:w="24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What the student does</w:t>
            </w:r>
          </w:p>
        </w:tc>
        <w:tc>
          <w:tcPr>
            <w:tcW w:type="dxa" w:w="336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Milestone</w:t>
            </w:r>
          </w:p>
        </w:tc>
      </w:tr>
      <w:tr>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Onboarding + T1</w:t>
            </w:r>
          </w:p>
        </w:tc>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Month 1</w:t>
            </w:r>
          </w:p>
        </w:tc>
        <w:tc>
          <w:tcPr>
            <w:tcW w:type="dxa" w:w="24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Profile, direction, interests, T1 baseline (21 SJTs for Track A, 14 SJTs for a lighter baseline).</w:t>
            </w:r>
          </w:p>
        </w:tc>
        <w:tc>
          <w:tcPr>
            <w:tcW w:type="dxa" w:w="3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Baseline score recorded for all 7 quotients.</w:t>
            </w:r>
          </w:p>
        </w:tc>
      </w:tr>
      <w:tr>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Year 1 Semester 1</w:t>
            </w:r>
          </w:p>
        </w:tc>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Months 2–5</w:t>
            </w:r>
          </w:p>
        </w:tc>
        <w:tc>
          <w:tcPr>
            <w:tcW w:type="dxa" w:w="24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Sequential: S01 → S07 → S05. PIQ Track unlocks after S05. English starts.</w:t>
            </w:r>
          </w:p>
        </w:tc>
        <w:tc>
          <w:tcPr>
            <w:tcW w:type="dxa" w:w="3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3 Capacity courses passed at ≥70%.</w:t>
            </w:r>
          </w:p>
        </w:tc>
      </w:tr>
      <w:tr>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Year 1 Semester 2</w:t>
            </w:r>
          </w:p>
        </w:tc>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Months 6–9</w:t>
            </w:r>
          </w:p>
        </w:tc>
        <w:tc>
          <w:tcPr>
            <w:tcW w:type="dxa" w:w="24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Sequential: S03 → S09 → S10. English continues.</w:t>
            </w:r>
          </w:p>
        </w:tc>
        <w:tc>
          <w:tcPr>
            <w:tcW w:type="dxa" w:w="3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All 6 Year-1 courses passed. T2 trigger conditions met.</w:t>
            </w:r>
          </w:p>
        </w:tc>
      </w:tr>
      <w:tr>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T2 Stage Assessment</w:t>
            </w:r>
          </w:p>
        </w:tc>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Month 10</w:t>
            </w:r>
          </w:p>
        </w:tc>
        <w:tc>
          <w:tcPr>
            <w:tcW w:type="dxa" w:w="24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21 SJTs + Framework Recall.</w:t>
            </w:r>
          </w:p>
        </w:tc>
        <w:tc>
          <w:tcPr>
            <w:tcW w:type="dxa" w:w="3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Growth vs T1 measured.</w:t>
            </w:r>
          </w:p>
        </w:tc>
      </w:tr>
      <w:tr>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Year 2 Semester 1</w:t>
            </w:r>
          </w:p>
        </w:tc>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Months 11–15</w:t>
            </w:r>
          </w:p>
        </w:tc>
        <w:tc>
          <w:tcPr>
            <w:tcW w:type="dxa" w:w="24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Sequential: remaining Capacity (S02, S04, S06, S08). Then Capability begins (S11 SIGNAL-3).</w:t>
            </w:r>
          </w:p>
        </w:tc>
        <w:tc>
          <w:tcPr>
            <w:tcW w:type="dxa" w:w="3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Capacity gate crossed when S02, S04, S06, S08 are all passed.</w:t>
            </w:r>
          </w:p>
        </w:tc>
      </w:tr>
      <w:tr>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Year 2 Semester 2</w:t>
            </w:r>
          </w:p>
        </w:tc>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Months 16–21</w:t>
            </w:r>
          </w:p>
        </w:tc>
        <w:tc>
          <w:tcPr>
            <w:tcW w:type="dxa" w:w="24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Sequential Capability courses through S15 GUARD-4 + S16, S17. AIQ Track unlocks after S15.</w:t>
            </w:r>
          </w:p>
        </w:tc>
        <w:tc>
          <w:tcPr>
            <w:tcW w:type="dxa" w:w="3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AIQ Track in progress.</w:t>
            </w:r>
          </w:p>
        </w:tc>
      </w:tr>
      <w:tr>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T3 Stage Assessment</w:t>
            </w:r>
          </w:p>
        </w:tc>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Month 22</w:t>
            </w:r>
          </w:p>
        </w:tc>
        <w:tc>
          <w:tcPr>
            <w:tcW w:type="dxa" w:w="24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21 harder SJTs + Framework Recall. Requires all 9 Capability courses at ≥70%.</w:t>
            </w:r>
          </w:p>
        </w:tc>
        <w:tc>
          <w:tcPr>
            <w:tcW w:type="dxa" w:w="3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Capability gate crossed.</w:t>
            </w:r>
          </w:p>
        </w:tc>
      </w:tr>
      <w:tr>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Year 3 Semester 1</w:t>
            </w:r>
          </w:p>
        </w:tc>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Months 23–28</w:t>
            </w:r>
          </w:p>
        </w:tc>
        <w:tc>
          <w:tcPr>
            <w:tcW w:type="dxa" w:w="24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Sequential Leadership: S20 → S21 → S22 → S23. SQ Track unlocks after S21. AIQ completes.</w:t>
            </w:r>
          </w:p>
        </w:tc>
        <w:tc>
          <w:tcPr>
            <w:tcW w:type="dxa" w:w="3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AIQ certification awarded. SQ in progress.</w:t>
            </w:r>
          </w:p>
        </w:tc>
      </w:tr>
      <w:tr>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Year 3 Semester 2</w:t>
            </w:r>
          </w:p>
        </w:tc>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Months 29–34</w:t>
            </w:r>
          </w:p>
        </w:tc>
        <w:tc>
          <w:tcPr>
            <w:tcW w:type="dxa" w:w="24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Sequential: S24 → S25. SQ Track completion.</w:t>
            </w:r>
          </w:p>
        </w:tc>
        <w:tc>
          <w:tcPr>
            <w:tcW w:type="dxa" w:w="3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SQ certification awarded.</w:t>
            </w:r>
          </w:p>
        </w:tc>
      </w:tr>
      <w:tr>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T4 &amp; Programme complete</w:t>
            </w:r>
          </w:p>
        </w:tc>
        <w:tc>
          <w:tcPr>
            <w:tcW w:type="dxa" w:w="18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Month 35–36</w:t>
            </w:r>
          </w:p>
        </w:tc>
        <w:tc>
          <w:tcPr>
            <w:tcW w:type="dxa" w:w="24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Final T4 stage assessment. Verified Skills Passport generated.</w:t>
            </w:r>
          </w:p>
        </w:tc>
        <w:tc>
          <w:tcPr>
            <w:tcW w:type="dxa" w:w="3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Full T1–T4 trajectory on record.</w:t>
            </w:r>
          </w:p>
        </w:tc>
      </w:tr>
    </w:tbl>
    <w:p>
      <w:pPr>
        <w:spacing w:after="12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0B0" w:sz="4"/>
              <w:left w:val="single" w:color="B0B0B0" w:sz="4"/>
              <w:bottom w:val="single" w:color="B0B0B0" w:sz="4"/>
              <w:right w:val="single" w:color="B0B0B0" w:sz="4"/>
            </w:tcBorders>
            <w:shd w:fill="D9E2F3" w:val="clear"/>
            <w:tcMar>
              <w:top w:type="dxa" w:w="160"/>
              <w:left w:type="dxa" w:w="200"/>
              <w:bottom w:type="dxa" w:w="160"/>
              <w:right w:type="dxa" w:w="200"/>
            </w:tcMar>
          </w:tcPr>
          <w:p>
            <w:pPr>
              <w:spacing w:after="80"/>
            </w:pPr>
            <w:r>
              <w:rPr>
                <w:b/>
                <w:bCs/>
                <w:sz w:val="22"/>
                <w:szCs w:val="22"/>
              </w:rPr>
              <w:t xml:space="preserve">Track B (Postgraduate / MBA)</w:t>
            </w:r>
          </w:p>
          <w:p>
            <w:pPr>
              <w:spacing w:after="0"/>
            </w:pPr>
            <w:r>
              <w:rPr>
                <w:sz w:val="20"/>
                <w:szCs w:val="20"/>
              </w:rPr>
              <w:t xml:space="preserve">The 2-year PG pathway (ACCELERATED) is a pre-designed condensed programme, not a Fast Learner exception. It is assigned at onboarding for PG students with 12+ months of work experience and follows its own calendar-locked semester plan. See Document 2A Part A for the full Track B schedule. A PG student on ACCELERATED can still use the Fast Learner workflow within that compressed timeline, subject to the same approval process.</w:t>
            </w:r>
          </w:p>
        </w:tc>
      </w:tr>
    </w:tbl>
    <w:p>
      <w:r>
        <w:br w:type="page"/>
      </w:r>
    </w:p>
    <w:p>
      <w:pPr>
        <w:pStyle w:val="Heading1"/>
        <w:spacing w:after="200" w:before="360"/>
      </w:pPr>
      <w:r>
        <w:t xml:space="preserve">Section 6 — Crosswalks to UK and India Standards</w:t>
      </w:r>
    </w:p>
    <w:p>
      <w:pPr>
        <w:spacing w:after="200" w:before="0"/>
        <w:jc w:val="left"/>
      </w:pPr>
      <w:r>
        <w:t xml:space="preserve">These crosswalks let an institution insert SMAART into an existing accreditation, curriculum or workforce framework without redesign. Only the most common mappings are listed; a fuller mapping is maintained in the institutional onboarding pack.</w:t>
      </w:r>
    </w:p>
    <w:p>
      <w:pPr>
        <w:pStyle w:val="Heading2"/>
        <w:spacing w:after="160" w:before="280"/>
      </w:pPr>
      <w:r>
        <w:t xml:space="preserve">6.1 NAAC criteria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NAAC criterion</w:t>
            </w:r>
          </w:p>
        </w:tc>
        <w:tc>
          <w:tcPr>
            <w:tcW w:type="dxa" w:w="34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What it expects</w:t>
            </w:r>
          </w:p>
        </w:tc>
        <w:tc>
          <w:tcPr>
            <w:tcW w:type="dxa" w:w="396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Which SMAART courses / artefacts provide evidence</w:t>
            </w:r>
          </w:p>
        </w:tc>
      </w:tr>
      <w:tr>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1.3 Curriculum Enrichment</w:t>
            </w:r>
          </w:p>
        </w:tc>
        <w:tc>
          <w:tcPr>
            <w:tcW w:type="dxa" w:w="34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Cross-cutting issues: gender, environment, human values, professional ethics.</w:t>
            </w:r>
          </w:p>
        </w:tc>
        <w:tc>
          <w:tcPr>
            <w:tcW w:type="dxa" w:w="39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SQ Track (environment), S21 LENS-4 (ethics), S14 BRIDGE-3 (inclusion).</w:t>
            </w:r>
          </w:p>
        </w:tc>
      </w:tr>
      <w:tr>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2.6 Learning Outcomes</w:t>
            </w:r>
          </w:p>
        </w:tc>
        <w:tc>
          <w:tcPr>
            <w:tcW w:type="dxa" w:w="34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Evidence of attained programme outcomes.</w:t>
            </w:r>
          </w:p>
        </w:tc>
        <w:tc>
          <w:tcPr>
            <w:tcW w:type="dxa" w:w="39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The 10 Standards on the Skills Passport, derived from verified assessment data.</w:t>
            </w:r>
          </w:p>
        </w:tc>
      </w:tr>
      <w:tr>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5.1 &amp; 5.2 Student Support and Progression</w:t>
            </w:r>
          </w:p>
        </w:tc>
        <w:tc>
          <w:tcPr>
            <w:tcW w:type="dxa" w:w="34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Career counselling and placement.</w:t>
            </w:r>
          </w:p>
        </w:tc>
        <w:tc>
          <w:tcPr>
            <w:tcW w:type="dxa" w:w="39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PO dashboard with JD matching, readiness overview, gap analysis per cohort.</w:t>
            </w:r>
          </w:p>
        </w:tc>
      </w:tr>
      <w:tr>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6.5 IQAC / Quality Assurance</w:t>
            </w:r>
          </w:p>
        </w:tc>
        <w:tc>
          <w:tcPr>
            <w:tcW w:type="dxa" w:w="34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Internal Quality Assurance System with documented methodology.</w:t>
            </w:r>
          </w:p>
        </w:tc>
        <w:tc>
          <w:tcPr>
            <w:tcW w:type="dxa" w:w="39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Quarterly bias audit, transparent scoring weights, appeals process, external advisory board.</w:t>
            </w:r>
          </w:p>
        </w:tc>
      </w:tr>
      <w:tr>
        <w:tc>
          <w:tcPr>
            <w:tcW w:type="dxa" w:w="2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b/>
                <w:bCs/>
                <w:sz w:val="20"/>
                <w:szCs w:val="20"/>
              </w:rPr>
              <w:t xml:space="preserve">7 Institutional Values</w:t>
            </w:r>
          </w:p>
        </w:tc>
        <w:tc>
          <w:tcPr>
            <w:tcW w:type="dxa" w:w="34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Innovation, inclusion, sustainability.</w:t>
            </w:r>
          </w:p>
        </w:tc>
        <w:tc>
          <w:tcPr>
            <w:tcW w:type="dxa" w:w="39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SQ Track + scoring methodology's 12 prohibited inputs (inclusion) + AIQ Track (innovation).</w:t>
            </w:r>
          </w:p>
        </w:tc>
      </w:tr>
    </w:tbl>
    <w:p>
      <w:pPr>
        <w:spacing w:after="120" w:before="0"/>
        <w:jc w:val="left"/>
      </w:pPr>
      <w:r>
        <w:t xml:space="preserve"/>
      </w:r>
    </w:p>
    <w:p>
      <w:pPr>
        <w:pStyle w:val="Heading2"/>
        <w:spacing w:after="160" w:before="280"/>
      </w:pPr>
      <w:r>
        <w:t xml:space="preserve">6.2 AICTE Employability Skills Framework (2022)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AICTE employability competency</w:t>
            </w:r>
          </w:p>
        </w:tc>
        <w:tc>
          <w:tcPr>
            <w:tcW w:type="dxa" w:w="300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SMAART course(s) that teach it</w:t>
            </w:r>
          </w:p>
        </w:tc>
        <w:tc>
          <w:tcPr>
            <w:tcW w:type="dxa" w:w="3360"/>
            <w:tcBorders>
              <w:top w:val="single" w:color="B0B0B0" w:sz="4"/>
              <w:left w:val="single" w:color="B0B0B0" w:sz="4"/>
              <w:bottom w:val="single" w:color="B0B0B0" w:sz="4"/>
              <w:right w:val="single" w:color="B0B0B0" w:sz="4"/>
            </w:tcBorders>
            <w:shd w:fill="1F4E79" w:val="clear"/>
            <w:tcMar>
              <w:top w:type="dxa" w:w="100"/>
              <w:left w:type="dxa" w:w="120"/>
              <w:bottom w:type="dxa" w:w="100"/>
              <w:right w:type="dxa" w:w="120"/>
            </w:tcMar>
          </w:tcPr>
          <w:p>
            <w:pPr>
              <w:spacing w:after="40"/>
              <w:jc w:val="left"/>
            </w:pPr>
            <w:r>
              <w:rPr>
                <w:b/>
                <w:bCs/>
                <w:color w:val="FFFFFF"/>
                <w:sz w:val="20"/>
                <w:szCs w:val="20"/>
              </w:rPr>
              <w:t xml:space="preserve">SMAART artefact that evidences it</w:t>
            </w:r>
          </w:p>
        </w:tc>
      </w:tr>
      <w:tr>
        <w:tc>
          <w:tcPr>
            <w:tcW w:type="dxa" w:w="3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Effective Communication</w:t>
            </w:r>
          </w:p>
        </w:tc>
        <w:tc>
          <w:tcPr>
            <w:tcW w:type="dxa" w:w="3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S11 SIGNAL-3, S17 STAGE-4, S18 SERVE-4</w:t>
            </w:r>
          </w:p>
        </w:tc>
        <w:tc>
          <w:tcPr>
            <w:tcW w:type="dxa" w:w="3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COMMUNICATE standard rating + SIQ quotient</w:t>
            </w:r>
          </w:p>
        </w:tc>
      </w:tr>
      <w:tr>
        <w:tc>
          <w:tcPr>
            <w:tcW w:type="dxa" w:w="3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Critical and Analytical Thinking</w:t>
            </w:r>
          </w:p>
        </w:tc>
        <w:tc>
          <w:tcPr>
            <w:tcW w:type="dxa" w:w="3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S01 CLEAR-5, S02 BREAK-4, S03 READ-3</w:t>
            </w:r>
          </w:p>
        </w:tc>
        <w:tc>
          <w:tcPr>
            <w:tcW w:type="dxa" w:w="3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STRUCTURE and VERIFY standards + CRQ quotient</w:t>
            </w:r>
          </w:p>
        </w:tc>
      </w:tr>
      <w:tr>
        <w:tc>
          <w:tcPr>
            <w:tcW w:type="dxa" w:w="3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Problem-Solving</w:t>
            </w:r>
          </w:p>
        </w:tc>
        <w:tc>
          <w:tcPr>
            <w:tcW w:type="dxa" w:w="3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S02 BREAK-4, S20 EDGE-4</w:t>
            </w:r>
          </w:p>
        </w:tc>
        <w:tc>
          <w:tcPr>
            <w:tcW w:type="dxa" w:w="3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STRUCTURE standard + CRQ quotient</w:t>
            </w:r>
          </w:p>
        </w:tc>
      </w:tr>
      <w:tr>
        <w:tc>
          <w:tcPr>
            <w:tcW w:type="dxa" w:w="3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Teamwork and Collaboration</w:t>
            </w:r>
          </w:p>
        </w:tc>
        <w:tc>
          <w:tcPr>
            <w:tcW w:type="dxa" w:w="3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S13 TEAM-4, S14 BRIDGE-3, S19 DEAL-4</w:t>
            </w:r>
          </w:p>
        </w:tc>
        <w:tc>
          <w:tcPr>
            <w:tcW w:type="dxa" w:w="3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CONNECT standard + SIQ quotient</w:t>
            </w:r>
          </w:p>
        </w:tc>
      </w:tr>
      <w:tr>
        <w:tc>
          <w:tcPr>
            <w:tcW w:type="dxa" w:w="3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Time and Self-Management</w:t>
            </w:r>
          </w:p>
        </w:tc>
        <w:tc>
          <w:tcPr>
            <w:tcW w:type="dxa" w:w="3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S07 OWN-4, S08 CHECK-3</w:t>
            </w:r>
          </w:p>
        </w:tc>
        <w:tc>
          <w:tcPr>
            <w:tcW w:type="dxa" w:w="3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OWN standard + PEQ quotient</w:t>
            </w:r>
          </w:p>
        </w:tc>
      </w:tr>
      <w:tr>
        <w:tc>
          <w:tcPr>
            <w:tcW w:type="dxa" w:w="3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Digital Literacy</w:t>
            </w:r>
          </w:p>
        </w:tc>
        <w:tc>
          <w:tcPr>
            <w:tcW w:type="dxa" w:w="3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S15 GUARD-4, S16 ZOOM-3, AIQ Track</w:t>
            </w:r>
          </w:p>
        </w:tc>
        <w:tc>
          <w:tcPr>
            <w:tcW w:type="dxa" w:w="3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GROW standard + DAQ quotient + AIQ certification</w:t>
            </w:r>
          </w:p>
        </w:tc>
      </w:tr>
      <w:tr>
        <w:tc>
          <w:tcPr>
            <w:tcW w:type="dxa" w:w="3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Entrepreneurial Mindset</w:t>
            </w:r>
          </w:p>
        </w:tc>
        <w:tc>
          <w:tcPr>
            <w:tcW w:type="dxa" w:w="3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S09 VALUE-4, S25 FLIP-3</w:t>
            </w:r>
          </w:p>
        </w:tc>
        <w:tc>
          <w:tcPr>
            <w:tcW w:type="dxa" w:w="3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CREATE standard + LQ quotient</w:t>
            </w:r>
          </w:p>
        </w:tc>
      </w:tr>
      <w:tr>
        <w:tc>
          <w:tcPr>
            <w:tcW w:type="dxa" w:w="3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Resilience and Adaptability</w:t>
            </w:r>
          </w:p>
        </w:tc>
        <w:tc>
          <w:tcPr>
            <w:tcW w:type="dxa" w:w="3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S05 RESET-4, S06 SPRINT-4</w:t>
            </w:r>
          </w:p>
        </w:tc>
        <w:tc>
          <w:tcPr>
            <w:tcW w:type="dxa" w:w="3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ADAPT standard + SRQ quotient</w:t>
            </w:r>
          </w:p>
        </w:tc>
      </w:tr>
      <w:tr>
        <w:tc>
          <w:tcPr>
            <w:tcW w:type="dxa" w:w="3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Ethics and Integrity</w:t>
            </w:r>
          </w:p>
        </w:tc>
        <w:tc>
          <w:tcPr>
            <w:tcW w:type="dxa" w:w="3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S21 LENS-4, AIQ-4 TRUST-4</w:t>
            </w:r>
          </w:p>
        </w:tc>
        <w:tc>
          <w:tcPr>
            <w:tcW w:type="dxa" w:w="3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LEAD standard + SEQ quotient</w:t>
            </w:r>
          </w:p>
        </w:tc>
      </w:tr>
      <w:tr>
        <w:tc>
          <w:tcPr>
            <w:tcW w:type="dxa" w:w="3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Leadership and Initiative</w:t>
            </w:r>
          </w:p>
        </w:tc>
        <w:tc>
          <w:tcPr>
            <w:tcW w:type="dxa" w:w="300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S22 GROW-4, S23 HAND-4, S24 MOVE-4</w:t>
            </w:r>
          </w:p>
        </w:tc>
        <w:tc>
          <w:tcPr>
            <w:tcW w:type="dxa" w:w="3360"/>
            <w:tcBorders>
              <w:top w:val="single" w:color="B0B0B0" w:sz="4"/>
              <w:left w:val="single" w:color="B0B0B0" w:sz="4"/>
              <w:bottom w:val="single" w:color="B0B0B0" w:sz="4"/>
              <w:right w:val="single" w:color="B0B0B0" w:sz="4"/>
            </w:tcBorders>
            <w:tcMar>
              <w:top w:type="dxa" w:w="100"/>
              <w:left w:type="dxa" w:w="120"/>
              <w:bottom w:type="dxa" w:w="100"/>
              <w:right w:type="dxa" w:w="120"/>
            </w:tcMar>
          </w:tcPr>
          <w:p>
            <w:pPr>
              <w:spacing w:after="40"/>
              <w:jc w:val="left"/>
            </w:pPr>
            <w:r>
              <w:rPr>
                <w:sz w:val="20"/>
                <w:szCs w:val="20"/>
              </w:rPr>
              <w:t xml:space="preserve">LEAD standard + SEQ quotient</w:t>
            </w:r>
          </w:p>
        </w:tc>
      </w:tr>
    </w:tbl>
    <w:p>
      <w:pPr>
        <w:spacing w:after="120" w:before="0"/>
        <w:jc w:val="left"/>
      </w:pPr>
      <w:r>
        <w:t xml:space="preserve"/>
      </w:r>
    </w:p>
    <w:p>
      <w:pPr>
        <w:pStyle w:val="Heading2"/>
        <w:spacing w:after="160" w:before="280"/>
      </w:pPr>
      <w:r>
        <w:t xml:space="preserve">6.3 NASSCOM FutureSkills Prime mapping (illustrative)</w:t>
      </w:r>
    </w:p>
    <w:p>
      <w:pPr>
        <w:pStyle w:val="ListParagraph"/>
        <w:numPr>
          <w:ilvl w:val="0"/>
          <w:numId w:val="2"/>
        </w:numPr>
        <w:spacing w:after="80"/>
      </w:pPr>
      <w:r>
        <w:t xml:space="preserve">AI &amp; ML career track: AIQ Track + S04 COUNT-3 (data literacy) + S16 ZOOM-3 (systems).</w:t>
      </w:r>
    </w:p>
    <w:p>
      <w:pPr>
        <w:pStyle w:val="ListParagraph"/>
        <w:numPr>
          <w:ilvl w:val="0"/>
          <w:numId w:val="2"/>
        </w:numPr>
        <w:spacing w:after="80"/>
      </w:pPr>
      <w:r>
        <w:t xml:space="preserve">Data Analytics career track: S04 COUNT-3 + technical skill verification (Python / SQL / Power BI) + AIQ-2 VERIFY-4.</w:t>
      </w:r>
    </w:p>
    <w:p>
      <w:pPr>
        <w:pStyle w:val="ListParagraph"/>
        <w:numPr>
          <w:ilvl w:val="0"/>
          <w:numId w:val="2"/>
        </w:numPr>
        <w:spacing w:after="80"/>
      </w:pPr>
      <w:r>
        <w:t xml:space="preserve">Cybersecurity career track: S03 READ-3 + S08 CHECK-3 + AIQ-4 TRUST-4 + technical skill verifications.</w:t>
      </w:r>
    </w:p>
    <w:p>
      <w:pPr>
        <w:pStyle w:val="ListParagraph"/>
        <w:numPr>
          <w:ilvl w:val="0"/>
          <w:numId w:val="2"/>
        </w:numPr>
        <w:spacing w:after="80"/>
      </w:pPr>
      <w:r>
        <w:t xml:space="preserve">Digital Marketing career track: S09 VALUE-4 + S11 SIGNAL-3 + S17 STAGE-4 + S25 FLIP-3 + technical verifications.</w:t>
      </w:r>
    </w:p>
    <w:p>
      <w:pPr>
        <w:pStyle w:val="ListParagraph"/>
        <w:numPr>
          <w:ilvl w:val="0"/>
          <w:numId w:val="2"/>
        </w:numPr>
        <w:spacing w:after="80"/>
      </w:pPr>
      <w:r>
        <w:t xml:space="preserve">The cross-cutting soft skills component of FutureSkills Prime is entirely covered by the HI programme.</w:t>
      </w:r>
    </w:p>
    <w:p>
      <w:pPr>
        <w:spacing w:after="120" w:before="0"/>
        <w:jc w:val="left"/>
      </w:pPr>
      <w:r>
        <w:t xml:space="preserve"/>
      </w:r>
    </w:p>
    <w:p>
      <w:pPr>
        <w:pStyle w:val="Heading2"/>
        <w:spacing w:after="160" w:before="280"/>
      </w:pPr>
      <w:r>
        <w:t xml:space="preserve">6.4 UK SFIA 8 (Skills Framework for the Information Age) mapping — illustrative</w:t>
      </w:r>
    </w:p>
    <w:p>
      <w:pPr>
        <w:pStyle w:val="ListParagraph"/>
        <w:numPr>
          <w:ilvl w:val="0"/>
          <w:numId w:val="2"/>
        </w:numPr>
        <w:spacing w:after="80"/>
      </w:pPr>
      <w:r>
        <w:t xml:space="preserve">SFIA 'Strategy and Planning' (STPL) competencies — supported by S20 EDGE-4 and S24 MOVE-4.</w:t>
      </w:r>
    </w:p>
    <w:p>
      <w:pPr>
        <w:pStyle w:val="ListParagraph"/>
        <w:numPr>
          <w:ilvl w:val="0"/>
          <w:numId w:val="2"/>
        </w:numPr>
        <w:spacing w:after="80"/>
      </w:pPr>
      <w:r>
        <w:t xml:space="preserve">SFIA 'Ethics' (ETHR) — supported by S21 LENS-4 and AIQ-4 TRUST-4.</w:t>
      </w:r>
    </w:p>
    <w:p>
      <w:pPr>
        <w:pStyle w:val="ListParagraph"/>
        <w:numPr>
          <w:ilvl w:val="0"/>
          <w:numId w:val="2"/>
        </w:numPr>
        <w:spacing w:after="80"/>
      </w:pPr>
      <w:r>
        <w:t xml:space="preserve">SFIA 'Learning and Development' (LEDA) — supported by S06 SPRINT-4 and S22 GROW-4.</w:t>
      </w:r>
    </w:p>
    <w:p>
      <w:pPr>
        <w:pStyle w:val="ListParagraph"/>
        <w:numPr>
          <w:ilvl w:val="0"/>
          <w:numId w:val="2"/>
        </w:numPr>
        <w:spacing w:after="80"/>
      </w:pPr>
      <w:r>
        <w:t xml:space="preserve">SFIA 'Systems Development' at Level 2–3 — supported by technical skill verification (see Document 21 of the core spec) and S15 GUARD-4.</w:t>
      </w:r>
    </w:p>
    <w:p>
      <w:pPr>
        <w:pStyle w:val="ListParagraph"/>
        <w:numPr>
          <w:ilvl w:val="0"/>
          <w:numId w:val="2"/>
        </w:numPr>
        <w:spacing w:after="80"/>
      </w:pPr>
      <w:r>
        <w:t xml:space="preserve">A SMAART graduate's Skills Passport can be presented alongside a SFIA self-assessment to any UK employer that uses SFIA.</w:t>
      </w:r>
    </w:p>
    <w:p>
      <w:pPr>
        <w:spacing w:after="120" w:before="0"/>
        <w:jc w:val="left"/>
      </w:pPr>
      <w:r>
        <w:t xml:space="preserve"/>
      </w:r>
    </w:p>
    <w:p>
      <w:pPr>
        <w:pStyle w:val="Heading2"/>
        <w:spacing w:after="160" w:before="280"/>
      </w:pPr>
      <w:r>
        <w:t xml:space="preserve">6.5 UK QAA Subject Benchmark transferable-skills mapping</w:t>
      </w:r>
    </w:p>
    <w:p>
      <w:pPr>
        <w:pStyle w:val="ListParagraph"/>
        <w:numPr>
          <w:ilvl w:val="0"/>
          <w:numId w:val="2"/>
        </w:numPr>
        <w:spacing w:after="80"/>
      </w:pPr>
      <w:r>
        <w:t xml:space="preserve">Intellectual skills (analysis, synthesis, evaluation) — S01–S04, S20.</w:t>
      </w:r>
    </w:p>
    <w:p>
      <w:pPr>
        <w:pStyle w:val="ListParagraph"/>
        <w:numPr>
          <w:ilvl w:val="0"/>
          <w:numId w:val="2"/>
        </w:numPr>
        <w:spacing w:after="80"/>
      </w:pPr>
      <w:r>
        <w:t xml:space="preserve">Professional skills (communication, teamwork, ethical conduct) — S11, S13, S14, S17, S21.</w:t>
      </w:r>
    </w:p>
    <w:p>
      <w:pPr>
        <w:pStyle w:val="ListParagraph"/>
        <w:numPr>
          <w:ilvl w:val="0"/>
          <w:numId w:val="2"/>
        </w:numPr>
        <w:spacing w:after="80"/>
      </w:pPr>
      <w:r>
        <w:t xml:space="preserve">Personal skills (self-management, learning to learn) — S05, S06, S07, PIQ Track.</w:t>
      </w:r>
    </w:p>
    <w:p>
      <w:pPr>
        <w:pStyle w:val="ListParagraph"/>
        <w:numPr>
          <w:ilvl w:val="0"/>
          <w:numId w:val="2"/>
        </w:numPr>
        <w:spacing w:after="80"/>
      </w:pPr>
      <w:r>
        <w:t xml:space="preserve">Digital skills — S15, S16, AIQ Track.</w:t>
      </w:r>
    </w:p>
    <w:p>
      <w:r>
        <w:br w:type="page"/>
      </w:r>
    </w:p>
    <w:p>
      <w:pPr>
        <w:pStyle w:val="Heading1"/>
        <w:spacing w:after="200" w:before="360"/>
      </w:pPr>
      <w:r>
        <w:t xml:space="preserve">Section 7 — Why Sector-Agnostic and Role-Agnostic is the Correct Design</w:t>
      </w:r>
    </w:p>
    <w:p>
      <w:pPr>
        <w:spacing w:after="160" w:before="0"/>
        <w:jc w:val="left"/>
      </w:pPr>
      <w:r>
        <w:t xml:space="preserve">A common question from an institution or an employer is: 'Do you have a version of the course for banking / healthcare / engineering?' The answer is: the SKILL is universal; the SCENARIO contextualises it. Here is why that is right.</w:t>
      </w:r>
    </w:p>
    <w:p>
      <w:pPr>
        <w:pStyle w:val="Heading2"/>
        <w:spacing w:after="160" w:before="280"/>
      </w:pPr>
      <w:r>
        <w:t xml:space="preserve">7.1 The same framework works identically across sectors</w:t>
      </w:r>
    </w:p>
    <w:p>
      <w:pPr>
        <w:spacing w:after="120" w:before="0"/>
        <w:jc w:val="left"/>
      </w:pPr>
      <w:r>
        <w:t xml:space="preserve">CLEAR-5 (Clarify, List constraints, Evaluate, Act, Record) applies identically to a finance analyst choosing a valuation method, a doctor selecting a treatment plan, a software developer picking an architecture, a teacher designing a lesson, and a retail manager setting a pricing decision. The STRUCTURE of the capability is universal. The CONTENT changes. A CLEAR-5-trained graduate carries the capability into any of those settings; a graduate trained in 'banking decision-making' has no transferable capability if they change sector.</w:t>
      </w:r>
    </w:p>
    <w:p>
      <w:pPr>
        <w:pStyle w:val="Heading2"/>
        <w:spacing w:after="160" w:before="280"/>
      </w:pPr>
      <w:r>
        <w:t xml:space="preserve">7.2 Sector variation lives in the scenarios and in technical skills</w:t>
      </w:r>
    </w:p>
    <w:p>
      <w:pPr>
        <w:spacing w:after="120" w:before="0"/>
        <w:jc w:val="left"/>
      </w:pPr>
      <w:r>
        <w:t xml:space="preserve">Within the SJT pool (604 scenarios), the situations are drawn from multiple sectors: a software team, a hospital ward, a law firm, a retail shop floor, a manufacturing plant, a marketing agency, a school. Character names cross cultures and sectors: Priya, James, Fatima, Wei, Adaeze, Rohan, Elena. No single sector or culture dominates. This produces assessment validity across every sector the graduate might enter.</w:t>
      </w:r>
    </w:p>
    <w:p>
      <w:pPr>
        <w:spacing w:after="160" w:before="0"/>
        <w:jc w:val="left"/>
      </w:pPr>
      <w:r>
        <w:t xml:space="preserve">Technical skill verification, in contrast, IS sector-specific (Document 21 of the core spec). A commerce student verifies Tally ERP, GST basics, financial accounting. A computer science student verifies Python, SQL and Git. A nursing student verifies SOAP notes and clinical documentation. The technical layer is specific; the behavioural layer is universal. The SRI combines both.</w:t>
      </w:r>
    </w:p>
    <w:p>
      <w:pPr>
        <w:pStyle w:val="Heading2"/>
        <w:spacing w:after="160" w:before="280"/>
      </w:pPr>
      <w:r>
        <w:t xml:space="preserve">7.3 The benefit to the learner</w:t>
      </w:r>
    </w:p>
    <w:p>
      <w:pPr>
        <w:spacing w:after="120" w:before="0"/>
        <w:jc w:val="left"/>
      </w:pPr>
      <w:r>
        <w:t xml:space="preserve">A graduate who changes sector — which McKinsey estimates most graduates will do 3–5 times in a career — does not lose the 10 Standards, the 7 Quotients, or the SRI. Those travel with them. The technical skills get added to over a career. The foundation is portable. This is the opposite of how a vocational certificate works, and it is precisely why SMAART survives the WEF finding that 39% of today's skills will be obsolete by 2030.</w:t>
      </w:r>
    </w:p>
    <w:p>
      <w:pPr>
        <w:pStyle w:val="Heading2"/>
        <w:spacing w:after="160" w:before="280"/>
      </w:pPr>
      <w:r>
        <w:t xml:space="preserve">7.4 The benefit to the employer</w:t>
      </w:r>
    </w:p>
    <w:p>
      <w:pPr>
        <w:spacing w:after="120" w:before="0"/>
        <w:jc w:val="left"/>
      </w:pPr>
      <w:r>
        <w:t xml:space="preserve">An employer hiring across sectors (most large corporates, all placement agencies, all consulting firms, all Big Four auditors) can compare candidates from different degrees on the same scale. A B.Com student from a Tier 3 college and a B.Tech student from a Tier 1 IIT can be compared side-by-side on STRUCTURE, COMMUNICATE, CONNECT, VERIFY and the 7 quotients. The employer can then overlay their specific technical requirements. This is the fairness mechanism the market has lacked.</w:t>
      </w:r>
    </w:p>
    <w:p>
      <w:pPr>
        <w:pStyle w:val="Heading2"/>
        <w:spacing w:after="160" w:before="280"/>
      </w:pPr>
      <w:r>
        <w:t xml:space="preserve">7.5 The benefit to the institution</w:t>
      </w:r>
    </w:p>
    <w:p>
      <w:pPr>
        <w:spacing w:after="120" w:before="0"/>
        <w:jc w:val="left"/>
      </w:pPr>
      <w:r>
        <w:t xml:space="preserve">A single platform serves every department. The commerce faculty, the engineering faculty, the arts faculty and the law faculty all use the same SMAART courses, the same SRI, the same Skills Passport. Cohort-level comparisons become meaningful. IQAC reporting becomes consistent. Placement strategy becomes sharper. The institution's investment is amortised across all programmes, not fragmented by discipline.</w:t>
      </w:r>
    </w:p>
    <w:p>
      <w:pPr>
        <w:spacing w:after="480" w:before="0"/>
        <w:jc w:val="left"/>
      </w:pPr>
      <w:r>
        <w:t xml:space="preserve"/>
      </w:r>
    </w:p>
    <w:p>
      <w:pPr>
        <w:jc w:val="center"/>
      </w:pPr>
      <w:r>
        <w:rPr>
          <w:i/>
          <w:iCs/>
          <w:color w:val="595959"/>
        </w:rPr>
        <w:t xml:space="preserve">— End of Document 2 —</w:t>
      </w:r>
    </w:p>
    <w:p>
      <w:pPr>
        <w:spacing w:before="160"/>
        <w:jc w:val="center"/>
      </w:pPr>
      <w:r>
        <w:rPr>
          <w:i/>
          <w:iCs/>
          <w:color w:val="595959"/>
        </w:rPr>
        <w:t xml:space="preserve">Continue to Document 3: Assessment Methodology, Scoring Logic &amp; Exceptions.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SMAART — Course Catalogue &amp; Learning Architecture (Doc 2 of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2E5E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SMAART Course Catalogue &amp; Learning Architecture</dc:title>
  <dc:creator>SMAART</dc:creator>
  <cp:lastModifiedBy>Un-named</cp:lastModifiedBy>
  <cp:revision>1</cp:revision>
  <dcterms:created xsi:type="dcterms:W3CDTF">2026-04-21T20:04:24.725Z</dcterms:created>
  <dcterms:modified xsi:type="dcterms:W3CDTF">2026-04-21T20:04:24.726Z</dcterms:modified>
</cp:coreProperties>
</file>

<file path=docProps/custom.xml><?xml version="1.0" encoding="utf-8"?>
<Properties xmlns="http://schemas.openxmlformats.org/officeDocument/2006/custom-properties" xmlns:vt="http://schemas.openxmlformats.org/officeDocument/2006/docPropsVTypes"/>
</file>