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F8B97"/>
          <w:sz w:val="22"/>
          <w:szCs w:val="22"/>
        </w:rPr>
        <w:t xml:space="preserve">SMART INSTITUTE</w:t>
      </w:r>
    </w:p>
    <w:p>
      <w:pPr>
        <w:pBdr>
          <w:bottom w:val="single" w:color="002147" w:sz="12" w:space="6"/>
        </w:pBdr>
        <w:spacing w:after="60"/>
      </w:pPr>
      <w:r>
        <w:rPr>
          <w:b/>
          <w:bCs/>
          <w:color w:val="002147"/>
          <w:sz w:val="40"/>
          <w:szCs w:val="40"/>
        </w:rPr>
        <w:t xml:space="preserve">Security Testing &amp; Remediation — Delivery Report</w:t>
      </w:r>
    </w:p>
    <w:p>
      <w:pPr>
        <w:spacing w:after="40" w:line="276"/>
      </w:pPr>
      <w:r>
        <w:rPr>
          <w:color w:val="5A6B7B"/>
          <w:sz w:val="20"/>
          <w:szCs w:val="20"/>
        </w:rPr>
        <w:t xml:space="preserve">Static security assessment of the Smart Institute platform  ·  </w:t>
      </w:r>
      <w:r>
        <w:rPr>
          <w:b/>
          <w:bCs/>
          <w:color w:val="5A6B7B"/>
          <w:sz w:val="20"/>
          <w:szCs w:val="20"/>
        </w:rPr>
        <w:t xml:space="preserve">15 July 2026</w:t>
      </w:r>
    </w:p>
    <w:p>
      <w:pPr>
        <w:spacing w:after="200" w:line="276"/>
      </w:pPr>
      <w:r>
        <w:rPr>
          <w:color w:val="1B2836"/>
          <w:sz w:val="21"/>
          <w:szCs w:val="21"/>
        </w:rPr>
        <w:t xml:space="preserve">Prepared as a delivery record of the security testing performed, the fixes applied to the codebase, the tests that remain for the team to run manually, and how each item protects the platform in production.</w:t>
      </w:r>
    </w:p>
    <w:p>
      <w:pPr>
        <w:pStyle w:val="Heading1"/>
        <w:spacing w:after="140" w:before="320"/>
      </w:pPr>
      <w:r>
        <w:rPr>
          <w:b/>
          <w:bCs/>
          <w:color w:val="002147"/>
          <w:sz w:val="30"/>
          <w:szCs w:val="30"/>
        </w:rPr>
        <w:t xml:space="preserve">1. Executive summary</w:t>
      </w:r>
    </w:p>
    <w:p>
      <w:pPr>
        <w:spacing w:after="120" w:line="276"/>
      </w:pPr>
      <w:r>
        <w:t xml:space="preserve">This delivery ran the full set of security tests that can be performed safely and immediately against the Smart Institute source code and repository — without touching or disrupting the running application. Four test types were executed (dependency scanning, full-history secret scanning, static code analysis, and a four-domain manual penetration review), a fifth (infrastructure-as-code scanning) was run against the deployment configuration, and 12 confirmed vulnerabilities were fixed and verified.</w:t>
      </w:r>
    </w:p>
    <w:p>
      <w:pPr>
        <w:spacing w:after="120" w:line="276"/>
      </w:pPr>
      <w:r>
        <w:rPr>
          <w:b/>
          <w:bCs/>
        </w:rPr>
        <w:t xml:space="preserve">One launch-blocking issue remains and can only be resolved by the team: live secret keys are committed in the git history and must be rotated and purged before the platform goes to production. </w:t>
      </w:r>
      <w:r>
        <w:t xml:space="preserve">The active-attack tests (dynamic scanning, live API penetration testing, denial-of-service, and TLS grading) were deliberately not run — they require a dedicated staging environment with synthetic data and written authorisation, and must never be aimed at live production holding real student data.</w:t>
      </w:r>
    </w:p>
    <w:p>
      <w:pPr>
        <w:pStyle w:val="Heading1"/>
        <w:spacing w:after="140" w:before="320"/>
      </w:pPr>
      <w:r>
        <w:rPr>
          <w:b/>
          <w:bCs/>
          <w:color w:val="002147"/>
          <w:sz w:val="30"/>
          <w:szCs w:val="30"/>
        </w:rPr>
        <w:t xml:space="preserve">2. About Smart Institute</w:t>
      </w:r>
    </w:p>
    <w:p>
      <w:pPr>
        <w:spacing w:after="120" w:line="276"/>
      </w:pPr>
      <w:r>
        <w:t xml:space="preserve">Smart Institute is a web platform for education. Students take staged skill assessments, enrol in courses and track their progress, use AI-assisted career tools, build vision boards, and earn badges and certificates. It serves many colleges at once and supports four roles: student, teacher, coach, and administrator. Technically it is a MERN application — a Node/Express API with a MongoDB database, and a React web front-end.</w:t>
      </w:r>
    </w:p>
    <w:p>
      <w:pPr>
        <w:spacing w:after="60" w:line="276"/>
      </w:pPr>
      <w:r>
        <w:t xml:space="preserve">Security matters here for four concrete reasons:</w:t>
      </w:r>
    </w:p>
    <w:p>
      <w:pPr>
        <w:pStyle w:val="ListParagraph"/>
        <w:numPr>
          <w:ilvl w:val="0"/>
          <w:numId w:val="2"/>
        </w:numPr>
        <w:spacing w:after="70" w:line="268"/>
      </w:pPr>
      <w:r>
        <w:rPr>
          <w:b/>
          <w:bCs/>
        </w:rPr>
        <w:t xml:space="preserve">Privacy — </w:t>
      </w:r>
      <w:r>
        <w:t xml:space="preserve">it stores real student personal data (names, emails, phones, addresses, dates of birth, academic records, assessment scores), which carries legal obligations.</w:t>
      </w:r>
    </w:p>
    <w:p>
      <w:pPr>
        <w:pStyle w:val="ListParagraph"/>
        <w:numPr>
          <w:ilvl w:val="0"/>
          <w:numId w:val="2"/>
        </w:numPr>
        <w:spacing w:after="70" w:line="268"/>
      </w:pPr>
      <w:r>
        <w:rPr>
          <w:b/>
          <w:bCs/>
        </w:rPr>
        <w:t xml:space="preserve">Integrity — </w:t>
      </w:r>
      <w:r>
        <w:t xml:space="preserve">it grades assessments and issues certificates; if a student can grade themselves or forge a certificate, the credential becomes worthless.</w:t>
      </w:r>
    </w:p>
    <w:p>
      <w:pPr>
        <w:pStyle w:val="ListParagraph"/>
        <w:numPr>
          <w:ilvl w:val="0"/>
          <w:numId w:val="2"/>
        </w:numPr>
        <w:spacing w:after="70" w:line="268"/>
      </w:pPr>
      <w:r>
        <w:rPr>
          <w:b/>
          <w:bCs/>
        </w:rPr>
        <w:t xml:space="preserve">Availability — </w:t>
      </w:r>
      <w:r>
        <w:t xml:space="preserve">colleges depend on it; a cheap denial-of-service takes it down for everyone.</w:t>
      </w:r>
    </w:p>
    <w:p>
      <w:pPr>
        <w:pStyle w:val="ListParagraph"/>
        <w:numPr>
          <w:ilvl w:val="0"/>
          <w:numId w:val="2"/>
        </w:numPr>
        <w:spacing w:after="70" w:line="268"/>
      </w:pPr>
      <w:r>
        <w:rPr>
          <w:b/>
          <w:bCs/>
        </w:rPr>
        <w:t xml:space="preserve">Cost — </w:t>
      </w:r>
      <w:r>
        <w:t xml:space="preserve">it calls paid AI and OCR services; unprotected endpoints can be abused to run up bills ("denial-of-wallet").</w:t>
      </w:r>
    </w:p>
    <w:p>
      <w:pPr>
        <w:pStyle w:val="Heading1"/>
        <w:spacing w:after="140" w:before="320"/>
      </w:pPr>
      <w:r>
        <w:rPr>
          <w:b/>
          <w:bCs/>
          <w:color w:val="002147"/>
          <w:sz w:val="30"/>
          <w:szCs w:val="30"/>
        </w:rPr>
        <w:t xml:space="preserve">3. Tests performed in this delivery</w:t>
      </w:r>
    </w:p>
    <w:p>
      <w:pPr>
        <w:spacing w:after="120" w:line="276"/>
      </w:pPr>
      <w:r>
        <w:t xml:space="preserve">Each of these was run against the project’s own code and repository — safe, non-disruptive, and requiring no special authorisation.</w:t>
      </w:r>
    </w:p>
    <w:tbl>
      <w:tblPr>
        <w:tblW w:type="dxa" w:w="9360"/>
        <w:tblBorders>
          <w:top w:val="single" w:color="D5DDE4" w:sz="2"/>
          <w:left w:val="single" w:color="D5DDE4" w:sz="2"/>
          <w:bottom w:val="single" w:color="D5DDE4" w:sz="2"/>
          <w:right w:val="single" w:color="D5DDE4" w:sz="2"/>
          <w:insideH w:val="single" w:color="D5DDE4" w:sz="2"/>
          <w:insideV w:val="single" w:color="D5DDE4" w:sz="2"/>
        </w:tblBorders>
      </w:tblPr>
      <w:tblGrid>
        <w:gridCol w:w="1900"/>
        <w:gridCol w:w="4760"/>
        <w:gridCol w:w="2700"/>
      </w:tblGrid>
      <w:tr>
        <w:trPr>
          <w:tblHeader/>
        </w:trPr>
        <w:tc>
          <w:tcPr>
            <w:tcW w:type="dxa" w:w="1900"/>
            <w:shd w:fill="002147" w:color="auto" w:val="clear"/>
            <w:tcMar>
              <w:top w:type="dxa" w:w="60"/>
              <w:left w:type="dxa" w:w="110"/>
              <w:bottom w:type="dxa" w:w="60"/>
              <w:right w:type="dxa" w:w="110"/>
            </w:tcMar>
          </w:tcPr>
          <w:p>
            <w:pPr>
              <w:spacing w:after="0" w:line="260"/>
            </w:pPr>
            <w:r>
              <w:rPr>
                <w:b/>
                <w:bCs/>
                <w:color w:val="FFFFFF"/>
                <w:sz w:val="19"/>
                <w:szCs w:val="19"/>
              </w:rPr>
              <w:t xml:space="preserve">Test</w:t>
            </w:r>
          </w:p>
        </w:tc>
        <w:tc>
          <w:tcPr>
            <w:tcW w:type="dxa" w:w="4760"/>
            <w:shd w:fill="002147" w:color="auto" w:val="clear"/>
            <w:tcMar>
              <w:top w:type="dxa" w:w="60"/>
              <w:left w:type="dxa" w:w="110"/>
              <w:bottom w:type="dxa" w:w="60"/>
              <w:right w:type="dxa" w:w="110"/>
            </w:tcMar>
          </w:tcPr>
          <w:p>
            <w:pPr>
              <w:spacing w:after="0" w:line="260"/>
            </w:pPr>
            <w:r>
              <w:rPr>
                <w:b/>
                <w:bCs/>
                <w:color w:val="FFFFFF"/>
                <w:sz w:val="19"/>
                <w:szCs w:val="19"/>
              </w:rPr>
              <w:t xml:space="preserve">What it is (plain English)</w:t>
            </w:r>
          </w:p>
        </w:tc>
        <w:tc>
          <w:tcPr>
            <w:tcW w:type="dxa" w:w="2700"/>
            <w:shd w:fill="002147" w:color="auto" w:val="clear"/>
            <w:tcMar>
              <w:top w:type="dxa" w:w="60"/>
              <w:left w:type="dxa" w:w="110"/>
              <w:bottom w:type="dxa" w:w="60"/>
              <w:right w:type="dxa" w:w="110"/>
            </w:tcMar>
          </w:tcPr>
          <w:p>
            <w:pPr>
              <w:spacing w:after="0" w:line="260"/>
            </w:pPr>
            <w:r>
              <w:rPr>
                <w:b/>
                <w:bCs/>
                <w:color w:val="FFFFFF"/>
                <w:sz w:val="19"/>
                <w:szCs w:val="19"/>
              </w:rPr>
              <w:t xml:space="preserve">Result</w:t>
            </w:r>
          </w:p>
        </w:tc>
      </w:tr>
      <w:tr>
        <w:tc>
          <w:tcPr>
            <w:tcW w:type="dxa" w:w="1900"/>
            <w:tcMar>
              <w:top w:type="dxa" w:w="60"/>
              <w:left w:type="dxa" w:w="110"/>
              <w:bottom w:type="dxa" w:w="60"/>
              <w:right w:type="dxa" w:w="110"/>
            </w:tcMar>
          </w:tcPr>
          <w:p>
            <w:pPr>
              <w:spacing w:after="0" w:line="260"/>
            </w:pPr>
            <w:r>
              <w:rPr>
                <w:b w:val="false"/>
                <w:bCs w:val="false"/>
                <w:color w:val="1B2836"/>
                <w:sz w:val="19"/>
                <w:szCs w:val="19"/>
              </w:rPr>
              <w:t xml:space="preserve">Dependency scan (SCA)</w:t>
            </w:r>
          </w:p>
        </w:tc>
        <w:tc>
          <w:tcPr>
            <w:tcW w:type="dxa" w:w="4760"/>
            <w:tcMar>
              <w:top w:type="dxa" w:w="60"/>
              <w:left w:type="dxa" w:w="110"/>
              <w:bottom w:type="dxa" w:w="60"/>
              <w:right w:type="dxa" w:w="110"/>
            </w:tcMar>
          </w:tcPr>
          <w:p>
            <w:pPr>
              <w:spacing w:after="0" w:line="260"/>
            </w:pPr>
            <w:r>
              <w:rPr>
                <w:b w:val="false"/>
                <w:bCs w:val="false"/>
                <w:color w:val="1B2836"/>
                <w:sz w:val="19"/>
                <w:szCs w:val="19"/>
              </w:rPr>
              <w:t xml:space="preserve">Checks every third-party library against a database of known published vulnerabilities.</w:t>
            </w:r>
          </w:p>
        </w:tc>
        <w:tc>
          <w:tcPr>
            <w:tcW w:type="dxa" w:w="2700"/>
            <w:tcMar>
              <w:top w:type="dxa" w:w="60"/>
              <w:left w:type="dxa" w:w="110"/>
              <w:bottom w:type="dxa" w:w="60"/>
              <w:right w:type="dxa" w:w="110"/>
            </w:tcMar>
          </w:tcPr>
          <w:p>
            <w:pPr>
              <w:spacing w:after="0" w:line="260"/>
            </w:pPr>
            <w:r>
              <w:rPr>
                <w:b w:val="false"/>
                <w:bCs w:val="false"/>
                <w:color w:val="1B2836"/>
                <w:sz w:val="19"/>
                <w:szCs w:val="19"/>
              </w:rPr>
              <w:t xml:space="preserve">Found a critical remote-code-execution advisory plus others; front-end reduced from 20 to 3 vulnerabilities.</w:t>
            </w:r>
          </w:p>
        </w:tc>
      </w:tr>
      <w:tr>
        <w:tc>
          <w:tcPr>
            <w:tcW w:type="dxa" w:w="19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Secret scan — full history</w:t>
            </w:r>
          </w:p>
        </w:tc>
        <w:tc>
          <w:tcPr>
            <w:tcW w:type="dxa" w:w="476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Reads every commit in git history looking for committed passwords, keys, and tokens.</w:t>
            </w:r>
          </w:p>
        </w:tc>
        <w:tc>
          <w:tcPr>
            <w:tcW w:type="dxa" w:w="27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45 leaks across 374 commits confirmed — the launch blocker.</w:t>
            </w:r>
          </w:p>
        </w:tc>
      </w:tr>
      <w:tr>
        <w:tc>
          <w:tcPr>
            <w:tcW w:type="dxa" w:w="1900"/>
            <w:tcMar>
              <w:top w:type="dxa" w:w="60"/>
              <w:left w:type="dxa" w:w="110"/>
              <w:bottom w:type="dxa" w:w="60"/>
              <w:right w:type="dxa" w:w="110"/>
            </w:tcMar>
          </w:tcPr>
          <w:p>
            <w:pPr>
              <w:spacing w:after="0" w:line="260"/>
            </w:pPr>
            <w:r>
              <w:rPr>
                <w:b w:val="false"/>
                <w:bCs w:val="false"/>
                <w:color w:val="1B2836"/>
                <w:sz w:val="19"/>
                <w:szCs w:val="19"/>
              </w:rPr>
              <w:t xml:space="preserve">Static analysis (SAST)</w:t>
            </w:r>
          </w:p>
        </w:tc>
        <w:tc>
          <w:tcPr>
            <w:tcW w:type="dxa" w:w="4760"/>
            <w:tcMar>
              <w:top w:type="dxa" w:w="60"/>
              <w:left w:type="dxa" w:w="110"/>
              <w:bottom w:type="dxa" w:w="60"/>
              <w:right w:type="dxa" w:w="110"/>
            </w:tcMar>
          </w:tcPr>
          <w:p>
            <w:pPr>
              <w:spacing w:after="0" w:line="260"/>
            </w:pPr>
            <w:r>
              <w:rPr>
                <w:b w:val="false"/>
                <w:bCs w:val="false"/>
                <w:color w:val="1B2836"/>
                <w:sz w:val="19"/>
                <w:szCs w:val="19"/>
              </w:rPr>
              <w:t xml:space="preserve">Pattern-matches source code for dangerous constructs without running it.</w:t>
            </w:r>
          </w:p>
        </w:tc>
        <w:tc>
          <w:tcPr>
            <w:tcW w:type="dxa" w:w="2700"/>
            <w:tcMar>
              <w:top w:type="dxa" w:w="60"/>
              <w:left w:type="dxa" w:w="110"/>
              <w:bottom w:type="dxa" w:w="60"/>
              <w:right w:type="dxa" w:w="110"/>
            </w:tcMar>
          </w:tcPr>
          <w:p>
            <w:pPr>
              <w:spacing w:after="0" w:line="260"/>
            </w:pPr>
            <w:r>
              <w:rPr>
                <w:b w:val="false"/>
                <w:bCs w:val="false"/>
                <w:color w:val="1B2836"/>
                <w:sz w:val="19"/>
                <w:szCs w:val="19"/>
              </w:rPr>
              <w:t xml:space="preserve">Found HTML email injection, a stored XSS, and a hardcoded secret.</w:t>
            </w:r>
          </w:p>
        </w:tc>
      </w:tr>
      <w:tr>
        <w:tc>
          <w:tcPr>
            <w:tcW w:type="dxa" w:w="19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Manual penetration review</w:t>
            </w:r>
          </w:p>
        </w:tc>
        <w:tc>
          <w:tcPr>
            <w:tcW w:type="dxa" w:w="476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Expert, attacker-minded reading of authentication, access control, business logic, injection, and infrastructure.</w:t>
            </w:r>
          </w:p>
        </w:tc>
        <w:tc>
          <w:tcPr>
            <w:tcW w:type="dxa" w:w="27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Found 3 unauthenticated CRITICALs missed by earlier reviews, plus several HIGHs.</w:t>
            </w:r>
          </w:p>
        </w:tc>
      </w:tr>
      <w:tr>
        <w:tc>
          <w:tcPr>
            <w:tcW w:type="dxa" w:w="1900"/>
            <w:tcMar>
              <w:top w:type="dxa" w:w="60"/>
              <w:left w:type="dxa" w:w="110"/>
              <w:bottom w:type="dxa" w:w="60"/>
              <w:right w:type="dxa" w:w="110"/>
            </w:tcMar>
          </w:tcPr>
          <w:p>
            <w:pPr>
              <w:spacing w:after="0" w:line="260"/>
            </w:pPr>
            <w:r>
              <w:rPr>
                <w:b w:val="false"/>
                <w:bCs w:val="false"/>
                <w:color w:val="1B2836"/>
                <w:sz w:val="19"/>
                <w:szCs w:val="19"/>
              </w:rPr>
              <w:t xml:space="preserve">Infrastructure scan (IaC)</w:t>
            </w:r>
          </w:p>
        </w:tc>
        <w:tc>
          <w:tcPr>
            <w:tcW w:type="dxa" w:w="4760"/>
            <w:tcMar>
              <w:top w:type="dxa" w:w="60"/>
              <w:left w:type="dxa" w:w="110"/>
              <w:bottom w:type="dxa" w:w="60"/>
              <w:right w:type="dxa" w:w="110"/>
            </w:tcMar>
          </w:tcPr>
          <w:p>
            <w:pPr>
              <w:spacing w:after="0" w:line="260"/>
            </w:pPr>
            <w:r>
              <w:rPr>
                <w:b w:val="false"/>
                <w:bCs w:val="false"/>
                <w:color w:val="1B2836"/>
                <w:sz w:val="19"/>
                <w:szCs w:val="19"/>
              </w:rPr>
              <w:t xml:space="preserve">Checks deployment configuration (Docker, nginx, CI) for hardening gaps.</w:t>
            </w:r>
          </w:p>
        </w:tc>
        <w:tc>
          <w:tcPr>
            <w:tcW w:type="dxa" w:w="2700"/>
            <w:tcMar>
              <w:top w:type="dxa" w:w="60"/>
              <w:left w:type="dxa" w:w="110"/>
              <w:bottom w:type="dxa" w:w="60"/>
              <w:right w:type="dxa" w:w="110"/>
            </w:tcMar>
          </w:tcPr>
          <w:p>
            <w:pPr>
              <w:spacing w:after="0" w:line="260"/>
            </w:pPr>
            <w:r>
              <w:rPr>
                <w:b w:val="false"/>
                <w:bCs w:val="false"/>
                <w:color w:val="1B2836"/>
                <w:sz w:val="19"/>
                <w:szCs w:val="19"/>
              </w:rPr>
              <w:t xml:space="preserve">See section 6.</w:t>
            </w:r>
          </w:p>
        </w:tc>
      </w:tr>
    </w:tbl>
    <w:p>
      <w:pPr>
        <w:pStyle w:val="Heading1"/>
        <w:spacing w:after="140" w:before="320"/>
      </w:pPr>
      <w:r>
        <w:rPr>
          <w:b/>
          <w:bCs/>
          <w:color w:val="002147"/>
          <w:sz w:val="30"/>
          <w:szCs w:val="30"/>
        </w:rPr>
        <w:t xml:space="preserve">4. Vulnerabilities fixed and verified</w:t>
      </w:r>
    </w:p>
    <w:p>
      <w:pPr>
        <w:spacing w:after="120" w:line="276"/>
      </w:pPr>
      <w:r>
        <w:t xml:space="preserve">The following were fixed in the codebase during this delivery and verified (backend syntax checks pass; the front-end production build succeeds). They are in the working branch, ready for your review and commit after a smoke test.</w:t>
      </w:r>
    </w:p>
    <w:tbl>
      <w:tblPr>
        <w:tblW w:type="dxa" w:w="9360"/>
        <w:tblBorders>
          <w:top w:val="single" w:color="D5DDE4" w:sz="2"/>
          <w:left w:val="single" w:color="D5DDE4" w:sz="2"/>
          <w:bottom w:val="single" w:color="D5DDE4" w:sz="2"/>
          <w:right w:val="single" w:color="D5DDE4" w:sz="2"/>
          <w:insideH w:val="single" w:color="D5DDE4" w:sz="2"/>
          <w:insideV w:val="single" w:color="D5DDE4" w:sz="2"/>
        </w:tblBorders>
      </w:tblPr>
      <w:tblGrid>
        <w:gridCol w:w="1500"/>
        <w:gridCol w:w="5060"/>
        <w:gridCol w:w="2800"/>
      </w:tblGrid>
      <w:tr>
        <w:trPr>
          <w:tblHeader/>
        </w:trPr>
        <w:tc>
          <w:tcPr>
            <w:tcW w:type="dxa" w:w="1500"/>
            <w:shd w:fill="002147" w:color="auto" w:val="clear"/>
            <w:tcMar>
              <w:top w:type="dxa" w:w="60"/>
              <w:left w:type="dxa" w:w="110"/>
              <w:bottom w:type="dxa" w:w="60"/>
              <w:right w:type="dxa" w:w="110"/>
            </w:tcMar>
          </w:tcPr>
          <w:p>
            <w:pPr>
              <w:spacing w:after="0" w:line="260"/>
            </w:pPr>
            <w:r>
              <w:rPr>
                <w:b/>
                <w:bCs/>
                <w:color w:val="FFFFFF"/>
                <w:sz w:val="19"/>
                <w:szCs w:val="19"/>
              </w:rPr>
              <w:t xml:space="preserve">Severity</w:t>
            </w:r>
          </w:p>
        </w:tc>
        <w:tc>
          <w:tcPr>
            <w:tcW w:type="dxa" w:w="5060"/>
            <w:shd w:fill="002147" w:color="auto" w:val="clear"/>
            <w:tcMar>
              <w:top w:type="dxa" w:w="60"/>
              <w:left w:type="dxa" w:w="110"/>
              <w:bottom w:type="dxa" w:w="60"/>
              <w:right w:type="dxa" w:w="110"/>
            </w:tcMar>
          </w:tcPr>
          <w:p>
            <w:pPr>
              <w:spacing w:after="0" w:line="260"/>
            </w:pPr>
            <w:r>
              <w:rPr>
                <w:b/>
                <w:bCs/>
                <w:color w:val="FFFFFF"/>
                <w:sz w:val="19"/>
                <w:szCs w:val="19"/>
              </w:rPr>
              <w:t xml:space="preserve">Issue</w:t>
            </w:r>
          </w:p>
        </w:tc>
        <w:tc>
          <w:tcPr>
            <w:tcW w:type="dxa" w:w="2800"/>
            <w:shd w:fill="002147" w:color="auto" w:val="clear"/>
            <w:tcMar>
              <w:top w:type="dxa" w:w="60"/>
              <w:left w:type="dxa" w:w="110"/>
              <w:bottom w:type="dxa" w:w="60"/>
              <w:right w:type="dxa" w:w="110"/>
            </w:tcMar>
          </w:tcPr>
          <w:p>
            <w:pPr>
              <w:spacing w:after="0" w:line="260"/>
            </w:pPr>
            <w:r>
              <w:rPr>
                <w:b/>
                <w:bCs/>
                <w:color w:val="FFFFFF"/>
                <w:sz w:val="19"/>
                <w:szCs w:val="19"/>
              </w:rPr>
              <w:t xml:space="preserve">Fix applied</w:t>
            </w:r>
          </w:p>
        </w:tc>
      </w:tr>
      <w:tr>
        <w:tc>
          <w:tcPr>
            <w:tcW w:type="dxa" w:w="1500"/>
            <w:tcMar>
              <w:top w:type="dxa" w:w="60"/>
              <w:left w:type="dxa" w:w="110"/>
              <w:bottom w:type="dxa" w:w="60"/>
              <w:right w:type="dxa" w:w="110"/>
            </w:tcMar>
          </w:tcPr>
          <w:p>
            <w:pPr>
              <w:spacing w:after="0"/>
            </w:pPr>
            <w:r>
              <w:rPr>
                <w:b/>
                <w:bCs/>
                <w:color w:val="C0392B"/>
                <w:sz w:val="19"/>
                <w:szCs w:val="19"/>
              </w:rPr>
              <w:t xml:space="preserve">CRITICAL</w:t>
            </w:r>
          </w:p>
        </w:tc>
        <w:tc>
          <w:tcPr>
            <w:tcW w:type="dxa" w:w="5060"/>
            <w:tcMar>
              <w:top w:type="dxa" w:w="60"/>
              <w:left w:type="dxa" w:w="110"/>
              <w:bottom w:type="dxa" w:w="60"/>
              <w:right w:type="dxa" w:w="110"/>
            </w:tcMar>
          </w:tcPr>
          <w:p>
            <w:pPr>
              <w:spacing w:after="0" w:line="260"/>
            </w:pPr>
            <w:r>
              <w:rPr>
                <w:b w:val="false"/>
                <w:bCs w:val="false"/>
                <w:color w:val="1B2836"/>
                <w:sz w:val="19"/>
                <w:szCs w:val="19"/>
              </w:rPr>
              <w:t xml:space="preserve">Any student’s password hash + personal data returned by email, with no login</w:t>
            </w:r>
          </w:p>
        </w:tc>
        <w:tc>
          <w:tcPr>
            <w:tcW w:type="dxa" w:w="2800"/>
            <w:tcMar>
              <w:top w:type="dxa" w:w="60"/>
              <w:left w:type="dxa" w:w="110"/>
              <w:bottom w:type="dxa" w:w="60"/>
              <w:right w:type="dxa" w:w="110"/>
            </w:tcMar>
          </w:tcPr>
          <w:p>
            <w:pPr>
              <w:spacing w:after="0" w:line="260"/>
            </w:pPr>
            <w:r>
              <w:rPr>
                <w:b w:val="false"/>
                <w:bCs w:val="false"/>
                <w:color w:val="1B2836"/>
                <w:sz w:val="19"/>
                <w:szCs w:val="19"/>
              </w:rPr>
              <w:t xml:space="preserve">Sensitive fields stripped from all responses</w:t>
            </w:r>
          </w:p>
        </w:tc>
      </w:tr>
      <w:tr>
        <w:tc>
          <w:tcPr>
            <w:tcW w:type="dxa" w:w="1500"/>
            <w:shd w:fill="F1F5F8" w:color="auto" w:val="clear"/>
            <w:tcMar>
              <w:top w:type="dxa" w:w="60"/>
              <w:left w:type="dxa" w:w="110"/>
              <w:bottom w:type="dxa" w:w="60"/>
              <w:right w:type="dxa" w:w="110"/>
            </w:tcMar>
          </w:tcPr>
          <w:p>
            <w:pPr>
              <w:spacing w:after="0"/>
            </w:pPr>
            <w:r>
              <w:rPr>
                <w:b/>
                <w:bCs/>
                <w:color w:val="C0392B"/>
                <w:sz w:val="19"/>
                <w:szCs w:val="19"/>
              </w:rPr>
              <w:t xml:space="preserve">CRITICAL</w:t>
            </w:r>
          </w:p>
        </w:tc>
        <w:tc>
          <w:tcPr>
            <w:tcW w:type="dxa" w:w="506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Course-enrolment records readable/forgeable/deletable by any user (fake course completions)</w:t>
            </w:r>
          </w:p>
        </w:tc>
        <w:tc>
          <w:tcPr>
            <w:tcW w:type="dxa" w:w="28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Owner/role scoping on all enrolment routes</w:t>
            </w:r>
          </w:p>
        </w:tc>
      </w:tr>
      <w:tr>
        <w:tc>
          <w:tcPr>
            <w:tcW w:type="dxa" w:w="1500"/>
            <w:tcMar>
              <w:top w:type="dxa" w:w="60"/>
              <w:left w:type="dxa" w:w="110"/>
              <w:bottom w:type="dxa" w:w="60"/>
              <w:right w:type="dxa" w:w="110"/>
            </w:tcMar>
          </w:tcPr>
          <w:p>
            <w:pPr>
              <w:spacing w:after="0"/>
            </w:pPr>
            <w:r>
              <w:rPr>
                <w:b/>
                <w:bCs/>
                <w:color w:val="D35400"/>
                <w:sz w:val="19"/>
                <w:szCs w:val="19"/>
              </w:rPr>
              <w:t xml:space="preserve">HIGH</w:t>
            </w:r>
          </w:p>
        </w:tc>
        <w:tc>
          <w:tcPr>
            <w:tcW w:type="dxa" w:w="5060"/>
            <w:tcMar>
              <w:top w:type="dxa" w:w="60"/>
              <w:left w:type="dxa" w:w="110"/>
              <w:bottom w:type="dxa" w:w="60"/>
              <w:right w:type="dxa" w:w="110"/>
            </w:tcMar>
          </w:tcPr>
          <w:p>
            <w:pPr>
              <w:spacing w:after="0" w:line="260"/>
            </w:pPr>
            <w:r>
              <w:rPr>
                <w:b w:val="false"/>
                <w:bCs w:val="false"/>
                <w:color w:val="1B2836"/>
                <w:sz w:val="19"/>
                <w:szCs w:val="19"/>
              </w:rPr>
              <w:t xml:space="preserve">Vision boards readable, editable, and deletable by any user (full IDOR)</w:t>
            </w:r>
          </w:p>
        </w:tc>
        <w:tc>
          <w:tcPr>
            <w:tcW w:type="dxa" w:w="2800"/>
            <w:tcMar>
              <w:top w:type="dxa" w:w="60"/>
              <w:left w:type="dxa" w:w="110"/>
              <w:bottom w:type="dxa" w:w="60"/>
              <w:right w:type="dxa" w:w="110"/>
            </w:tcMar>
          </w:tcPr>
          <w:p>
            <w:pPr>
              <w:spacing w:after="0" w:line="260"/>
            </w:pPr>
            <w:r>
              <w:rPr>
                <w:b w:val="false"/>
                <w:bCs w:val="false"/>
                <w:color w:val="1B2836"/>
                <w:sz w:val="19"/>
                <w:szCs w:val="19"/>
              </w:rPr>
              <w:t xml:space="preserve">Ownership checks on every board route</w:t>
            </w:r>
          </w:p>
        </w:tc>
      </w:tr>
      <w:tr>
        <w:tc>
          <w:tcPr>
            <w:tcW w:type="dxa" w:w="1500"/>
            <w:shd w:fill="F1F5F8" w:color="auto" w:val="clear"/>
            <w:tcMar>
              <w:top w:type="dxa" w:w="60"/>
              <w:left w:type="dxa" w:w="110"/>
              <w:bottom w:type="dxa" w:w="60"/>
              <w:right w:type="dxa" w:w="110"/>
            </w:tcMar>
          </w:tcPr>
          <w:p>
            <w:pPr>
              <w:spacing w:after="0"/>
            </w:pPr>
            <w:r>
              <w:rPr>
                <w:b/>
                <w:bCs/>
                <w:color w:val="D35400"/>
                <w:sz w:val="19"/>
                <w:szCs w:val="19"/>
              </w:rPr>
              <w:t xml:space="preserve">HIGH</w:t>
            </w:r>
          </w:p>
        </w:tc>
        <w:tc>
          <w:tcPr>
            <w:tcW w:type="dxa" w:w="506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Any user could revoke anyone’s certificate</w:t>
            </w:r>
          </w:p>
        </w:tc>
        <w:tc>
          <w:tcPr>
            <w:tcW w:type="dxa" w:w="28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Restricted to administrators</w:t>
            </w:r>
          </w:p>
        </w:tc>
      </w:tr>
      <w:tr>
        <w:tc>
          <w:tcPr>
            <w:tcW w:type="dxa" w:w="1500"/>
            <w:tcMar>
              <w:top w:type="dxa" w:w="60"/>
              <w:left w:type="dxa" w:w="110"/>
              <w:bottom w:type="dxa" w:w="60"/>
              <w:right w:type="dxa" w:w="110"/>
            </w:tcMar>
          </w:tcPr>
          <w:p>
            <w:pPr>
              <w:spacing w:after="0"/>
            </w:pPr>
            <w:r>
              <w:rPr>
                <w:b/>
                <w:bCs/>
                <w:color w:val="D35400"/>
                <w:sz w:val="19"/>
                <w:szCs w:val="19"/>
              </w:rPr>
              <w:t xml:space="preserve">HIGH</w:t>
            </w:r>
          </w:p>
        </w:tc>
        <w:tc>
          <w:tcPr>
            <w:tcW w:type="dxa" w:w="5060"/>
            <w:tcMar>
              <w:top w:type="dxa" w:w="60"/>
              <w:left w:type="dxa" w:w="110"/>
              <w:bottom w:type="dxa" w:w="60"/>
              <w:right w:type="dxa" w:w="110"/>
            </w:tcMar>
          </w:tcPr>
          <w:p>
            <w:pPr>
              <w:spacing w:after="0" w:line="260"/>
            </w:pPr>
            <w:r>
              <w:rPr>
                <w:b w:val="false"/>
                <w:bCs w:val="false"/>
                <w:color w:val="1B2836"/>
                <w:sz w:val="19"/>
                <w:szCs w:val="19"/>
              </w:rPr>
              <w:t xml:space="preserve">Cache-refresh (heavy Excel parse) reachable by any user — denial-of-service</w:t>
            </w:r>
          </w:p>
        </w:tc>
        <w:tc>
          <w:tcPr>
            <w:tcW w:type="dxa" w:w="2800"/>
            <w:tcMar>
              <w:top w:type="dxa" w:w="60"/>
              <w:left w:type="dxa" w:w="110"/>
              <w:bottom w:type="dxa" w:w="60"/>
              <w:right w:type="dxa" w:w="110"/>
            </w:tcMar>
          </w:tcPr>
          <w:p>
            <w:pPr>
              <w:spacing w:after="0" w:line="260"/>
            </w:pPr>
            <w:r>
              <w:rPr>
                <w:b w:val="false"/>
                <w:bCs w:val="false"/>
                <w:color w:val="1B2836"/>
                <w:sz w:val="19"/>
                <w:szCs w:val="19"/>
              </w:rPr>
              <w:t xml:space="preserve">Restricted to administrators</w:t>
            </w:r>
          </w:p>
        </w:tc>
      </w:tr>
      <w:tr>
        <w:tc>
          <w:tcPr>
            <w:tcW w:type="dxa" w:w="1500"/>
            <w:shd w:fill="F1F5F8" w:color="auto" w:val="clear"/>
            <w:tcMar>
              <w:top w:type="dxa" w:w="60"/>
              <w:left w:type="dxa" w:w="110"/>
              <w:bottom w:type="dxa" w:w="60"/>
              <w:right w:type="dxa" w:w="110"/>
            </w:tcMar>
          </w:tcPr>
          <w:p>
            <w:pPr>
              <w:spacing w:after="0"/>
            </w:pPr>
            <w:r>
              <w:rPr>
                <w:b/>
                <w:bCs/>
                <w:color w:val="D35400"/>
                <w:sz w:val="19"/>
                <w:szCs w:val="19"/>
              </w:rPr>
              <w:t xml:space="preserve">HIGH</w:t>
            </w:r>
          </w:p>
        </w:tc>
        <w:tc>
          <w:tcPr>
            <w:tcW w:type="dxa" w:w="506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Critical dependency vulnerabilities (react-router RCE, rollup, ws)</w:t>
            </w:r>
          </w:p>
        </w:tc>
        <w:tc>
          <w:tcPr>
            <w:tcW w:type="dxa" w:w="28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Patched; build verified</w:t>
            </w:r>
          </w:p>
        </w:tc>
      </w:tr>
      <w:tr>
        <w:tc>
          <w:tcPr>
            <w:tcW w:type="dxa" w:w="1500"/>
            <w:tcMar>
              <w:top w:type="dxa" w:w="60"/>
              <w:left w:type="dxa" w:w="110"/>
              <w:bottom w:type="dxa" w:w="60"/>
              <w:right w:type="dxa" w:w="110"/>
            </w:tcMar>
          </w:tcPr>
          <w:p>
            <w:pPr>
              <w:spacing w:after="0"/>
            </w:pPr>
            <w:r>
              <w:rPr>
                <w:b/>
                <w:bCs/>
                <w:color w:val="B7860B"/>
                <w:sz w:val="19"/>
                <w:szCs w:val="19"/>
              </w:rPr>
              <w:t xml:space="preserve">MEDIUM</w:t>
            </w:r>
          </w:p>
        </w:tc>
        <w:tc>
          <w:tcPr>
            <w:tcW w:type="dxa" w:w="5060"/>
            <w:tcMar>
              <w:top w:type="dxa" w:w="60"/>
              <w:left w:type="dxa" w:w="110"/>
              <w:bottom w:type="dxa" w:w="60"/>
              <w:right w:type="dxa" w:w="110"/>
            </w:tcMar>
          </w:tcPr>
          <w:p>
            <w:pPr>
              <w:spacing w:after="0" w:line="260"/>
            </w:pPr>
            <w:r>
              <w:rPr>
                <w:b w:val="false"/>
                <w:bCs w:val="false"/>
                <w:color w:val="1B2836"/>
                <w:sz w:val="19"/>
                <w:szCs w:val="19"/>
              </w:rPr>
              <w:t xml:space="preserve">Assessment self-grade backdoor (only environment-guarded)</w:t>
            </w:r>
          </w:p>
        </w:tc>
        <w:tc>
          <w:tcPr>
            <w:tcW w:type="dxa" w:w="2800"/>
            <w:tcMar>
              <w:top w:type="dxa" w:w="60"/>
              <w:left w:type="dxa" w:w="110"/>
              <w:bottom w:type="dxa" w:w="60"/>
              <w:right w:type="dxa" w:w="110"/>
            </w:tcMar>
          </w:tcPr>
          <w:p>
            <w:pPr>
              <w:spacing w:after="0" w:line="260"/>
            </w:pPr>
            <w:r>
              <w:rPr>
                <w:b w:val="false"/>
                <w:bCs w:val="false"/>
                <w:color w:val="1B2836"/>
                <w:sz w:val="19"/>
                <w:szCs w:val="19"/>
              </w:rPr>
              <w:t xml:space="preserve">Permanently disabled in all environments</w:t>
            </w:r>
          </w:p>
        </w:tc>
      </w:tr>
      <w:tr>
        <w:tc>
          <w:tcPr>
            <w:tcW w:type="dxa" w:w="1500"/>
            <w:shd w:fill="F1F5F8" w:color="auto" w:val="clear"/>
            <w:tcMar>
              <w:top w:type="dxa" w:w="60"/>
              <w:left w:type="dxa" w:w="110"/>
              <w:bottom w:type="dxa" w:w="60"/>
              <w:right w:type="dxa" w:w="110"/>
            </w:tcMar>
          </w:tcPr>
          <w:p>
            <w:pPr>
              <w:spacing w:after="0"/>
            </w:pPr>
            <w:r>
              <w:rPr>
                <w:b/>
                <w:bCs/>
                <w:color w:val="B7860B"/>
                <w:sz w:val="19"/>
                <w:szCs w:val="19"/>
              </w:rPr>
              <w:t xml:space="preserve">MEDIUM</w:t>
            </w:r>
          </w:p>
        </w:tc>
        <w:tc>
          <w:tcPr>
            <w:tcW w:type="dxa" w:w="506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Sensitive data written to production logs (OTP, API-key prefix)</w:t>
            </w:r>
          </w:p>
        </w:tc>
        <w:tc>
          <w:tcPr>
            <w:tcW w:type="dxa" w:w="28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Removed</w:t>
            </w:r>
          </w:p>
        </w:tc>
      </w:tr>
      <w:tr>
        <w:tc>
          <w:tcPr>
            <w:tcW w:type="dxa" w:w="1500"/>
            <w:tcMar>
              <w:top w:type="dxa" w:w="60"/>
              <w:left w:type="dxa" w:w="110"/>
              <w:bottom w:type="dxa" w:w="60"/>
              <w:right w:type="dxa" w:w="110"/>
            </w:tcMar>
          </w:tcPr>
          <w:p>
            <w:pPr>
              <w:spacing w:after="0"/>
            </w:pPr>
            <w:r>
              <w:rPr>
                <w:b/>
                <w:bCs/>
                <w:color w:val="B7860B"/>
                <w:sz w:val="19"/>
                <w:szCs w:val="19"/>
              </w:rPr>
              <w:t xml:space="preserve">MEDIUM</w:t>
            </w:r>
          </w:p>
        </w:tc>
        <w:tc>
          <w:tcPr>
            <w:tcW w:type="dxa" w:w="5060"/>
            <w:tcMar>
              <w:top w:type="dxa" w:w="60"/>
              <w:left w:type="dxa" w:w="110"/>
              <w:bottom w:type="dxa" w:w="60"/>
              <w:right w:type="dxa" w:w="110"/>
            </w:tcMar>
          </w:tcPr>
          <w:p>
            <w:pPr>
              <w:spacing w:after="0" w:line="260"/>
            </w:pPr>
            <w:r>
              <w:rPr>
                <w:b w:val="false"/>
                <w:bCs w:val="false"/>
                <w:color w:val="1B2836"/>
                <w:sz w:val="19"/>
                <w:szCs w:val="19"/>
              </w:rPr>
              <w:t xml:space="preserve">Stored cross-site scripting on the first-login screen</w:t>
            </w:r>
          </w:p>
        </w:tc>
        <w:tc>
          <w:tcPr>
            <w:tcW w:type="dxa" w:w="2800"/>
            <w:tcMar>
              <w:top w:type="dxa" w:w="60"/>
              <w:left w:type="dxa" w:w="110"/>
              <w:bottom w:type="dxa" w:w="60"/>
              <w:right w:type="dxa" w:w="110"/>
            </w:tcMar>
          </w:tcPr>
          <w:p>
            <w:pPr>
              <w:spacing w:after="0" w:line="260"/>
            </w:pPr>
            <w:r>
              <w:rPr>
                <w:b w:val="false"/>
                <w:bCs w:val="false"/>
                <w:color w:val="1B2836"/>
                <w:sz w:val="19"/>
                <w:szCs w:val="19"/>
              </w:rPr>
              <w:t xml:space="preserve">User input escaped</w:t>
            </w:r>
          </w:p>
        </w:tc>
      </w:tr>
      <w:tr>
        <w:tc>
          <w:tcPr>
            <w:tcW w:type="dxa" w:w="1500"/>
            <w:shd w:fill="F1F5F8" w:color="auto" w:val="clear"/>
            <w:tcMar>
              <w:top w:type="dxa" w:w="60"/>
              <w:left w:type="dxa" w:w="110"/>
              <w:bottom w:type="dxa" w:w="60"/>
              <w:right w:type="dxa" w:w="110"/>
            </w:tcMar>
          </w:tcPr>
          <w:p>
            <w:pPr>
              <w:spacing w:after="0"/>
            </w:pPr>
            <w:r>
              <w:rPr>
                <w:b/>
                <w:bCs/>
                <w:color w:val="B7860B"/>
                <w:sz w:val="19"/>
                <w:szCs w:val="19"/>
              </w:rPr>
              <w:t xml:space="preserve">MEDIUM</w:t>
            </w:r>
          </w:p>
        </w:tc>
        <w:tc>
          <w:tcPr>
            <w:tcW w:type="dxa" w:w="506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HTML injection into contact-form emails (phishing into admin inboxes)</w:t>
            </w:r>
          </w:p>
        </w:tc>
        <w:tc>
          <w:tcPr>
            <w:tcW w:type="dxa" w:w="28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All user input HTML-escaped</w:t>
            </w:r>
          </w:p>
        </w:tc>
      </w:tr>
    </w:tbl>
    <w:p>
      <w:pPr>
        <w:pStyle w:val="Heading1"/>
        <w:spacing w:after="140" w:before="320"/>
      </w:pPr>
      <w:r>
        <w:rPr>
          <w:b/>
          <w:bCs/>
          <w:color w:val="002147"/>
          <w:sz w:val="30"/>
          <w:szCs w:val="30"/>
        </w:rPr>
        <w:t xml:space="preserve">5. The launch blocker — leaked secrets</w:t>
      </w:r>
    </w:p>
    <w:p>
      <w:pPr>
        <w:spacing w:after="120" w:line="276"/>
      </w:pPr>
      <w:r>
        <w:rPr>
          <w:b/>
          <w:bCs/>
        </w:rPr>
        <w:t xml:space="preserve">This is the single item that must be resolved before production, and only the team can do it. </w:t>
      </w:r>
      <w:r>
        <w:t xml:space="preserve">Full-history secret scanning (trufflehog and gitleaks) confirmed 45 leaks across 374 commits — live MongoDB, OpenRouter, Google, Deepgram, and Cloudinary keys and a JWT signing secret. They are present not only in the .env files but also pasted into roughly 15 committed troubleshooting notes and helper scripts.</w:t>
      </w:r>
    </w:p>
    <w:p>
      <w:pPr>
        <w:spacing w:after="60" w:line="276"/>
      </w:pPr>
      <w:r>
        <w:t xml:space="preserve">Required actions (team):</w:t>
      </w:r>
    </w:p>
    <w:p>
      <w:pPr>
        <w:pStyle w:val="ListParagraph"/>
        <w:numPr>
          <w:ilvl w:val="0"/>
          <w:numId w:val="3"/>
        </w:numPr>
        <w:spacing w:after="80" w:line="268"/>
      </w:pPr>
      <w:r>
        <w:rPr>
          <w:sz w:val="21"/>
          <w:szCs w:val="21"/>
        </w:rPr>
        <w:t xml:space="preserve">Rotate every affected secret (new database password, new API keys, new JWT/admin secrets).</w:t>
      </w:r>
    </w:p>
    <w:p>
      <w:pPr>
        <w:pStyle w:val="ListParagraph"/>
        <w:numPr>
          <w:ilvl w:val="0"/>
          <w:numId w:val="3"/>
        </w:numPr>
        <w:spacing w:after="80" w:line="268"/>
      </w:pPr>
      <w:r>
        <w:rPr>
          <w:sz w:val="21"/>
          <w:szCs w:val="21"/>
        </w:rPr>
        <w:t xml:space="preserve">Purge the secrets from git history (git filter-repo or BFG), covering all the identified files — not just .env.</w:t>
      </w:r>
    </w:p>
    <w:p>
      <w:pPr>
        <w:pStyle w:val="ListParagraph"/>
        <w:numPr>
          <w:ilvl w:val="0"/>
          <w:numId w:val="3"/>
        </w:numPr>
        <w:spacing w:after="80" w:line="268"/>
      </w:pPr>
      <w:r>
        <w:rPr>
          <w:sz w:val="21"/>
          <w:szCs w:val="21"/>
        </w:rPr>
        <w:t xml:space="preserve">Force-push the cleaned history; everyone re-clones.</w:t>
      </w:r>
    </w:p>
    <w:p>
      <w:pPr>
        <w:pStyle w:val="ListParagraph"/>
        <w:numPr>
          <w:ilvl w:val="0"/>
          <w:numId w:val="3"/>
        </w:numPr>
        <w:spacing w:after="80" w:line="268"/>
      </w:pPr>
      <w:r>
        <w:rPr>
          <w:sz w:val="21"/>
          <w:szCs w:val="21"/>
        </w:rPr>
        <w:t xml:space="preserve">Re-scan to confirm the history is clean.</w:t>
      </w:r>
    </w:p>
    <w:p>
      <w:pPr>
        <w:spacing w:after="120" w:line="276"/>
      </w:pPr>
      <w:r>
        <w:rPr>
          <w:i/>
          <w:iCs/>
          <w:color w:val="5A6B7B"/>
        </w:rPr>
        <w:t xml:space="preserve">Until this is done, the repository and every environment using those keys should be treated as compromised.</w:t>
      </w:r>
    </w:p>
    <w:p>
      <w:pPr>
        <w:pStyle w:val="Heading2"/>
        <w:spacing w:after="100" w:before="240"/>
      </w:pPr>
      <w:r>
        <w:rPr>
          <w:b/>
          <w:bCs/>
          <w:color w:val="2F8B97"/>
          <w:sz w:val="25"/>
          <w:szCs w:val="25"/>
        </w:rPr>
        <w:t xml:space="preserve">6. Infrastructure &amp; configuration scan (Trivy IaC)</w:t>
      </w:r>
    </w:p>
    <w:p>
      <w:pPr>
        <w:spacing w:after="120" w:line="276"/>
      </w:pPr>
      <w:r>
        <w:t xml:space="preserve">This scan checks the container and deployment configuration for hardening gaps. The container image (Dockerfile) </w:t>
      </w:r>
      <w:r>
        <w:rPr>
          <w:b/>
          <w:bCs/>
        </w:rPr>
        <w:t xml:space="preserve">passed all 27 hardening checks with 0 failures</w:t>
      </w:r>
      <w:r>
        <w:t xml:space="preserve"> — the container is well configured (non-root user, no baked secrets, production settings, health check).</w:t>
      </w:r>
    </w:p>
    <w:p>
      <w:pPr>
        <w:spacing w:after="60" w:line="276"/>
      </w:pPr>
      <w:r>
        <w:rPr>
          <w:b/>
          <w:bCs/>
        </w:rPr>
        <w:t xml:space="preserve">Important: </w:t>
      </w:r>
      <w:r>
        <w:rPr>
          <w:i/>
          <w:iCs/>
          <w:color w:val="5A6B7B"/>
        </w:rPr>
        <w:t xml:space="preserve">the automated container scan being clean does not cover everything. The web-server (nginx) and CI/deployment concerns identified in the manual review — a permissive Content-Security-Policy, missing HSTS, and a deployment pipeline that runs on every push with no security gate — are genuine hardening items tracked separately in the technical findings report, and remain to be addressed before launch.</w:t>
      </w:r>
    </w:p>
    <w:p>
      <w:pPr>
        <w:pStyle w:val="Heading1"/>
        <w:spacing w:after="140" w:before="320"/>
      </w:pPr>
      <w:r>
        <w:rPr>
          <w:b/>
          <w:bCs/>
          <w:color w:val="002147"/>
          <w:sz w:val="30"/>
          <w:szCs w:val="30"/>
        </w:rPr>
        <w:t xml:space="preserve">7. The tests you must do manually</w:t>
      </w:r>
    </w:p>
    <w:p>
      <w:pPr>
        <w:spacing w:after="120" w:line="276"/>
      </w:pPr>
      <w:r>
        <w:t xml:space="preserve">These cannot be done by an automated pass or by me — they need your credentials, your environments, your decisions, or an outside firm.</w:t>
      </w:r>
    </w:p>
    <w:p>
      <w:pPr>
        <w:pStyle w:val="ListParagraph"/>
        <w:numPr>
          <w:ilvl w:val="0"/>
          <w:numId w:val="2"/>
        </w:numPr>
        <w:spacing w:after="70" w:line="268"/>
      </w:pPr>
      <w:r>
        <w:rPr>
          <w:b/>
          <w:bCs/>
        </w:rPr>
        <w:t xml:space="preserve">Rotate secrets and purge git history </w:t>
      </w:r>
      <w:r>
        <w:t xml:space="preserve">— live-credential work; force-push rewrites shared history.</w:t>
      </w:r>
    </w:p>
    <w:p>
      <w:pPr>
        <w:pStyle w:val="ListParagraph"/>
        <w:numPr>
          <w:ilvl w:val="0"/>
          <w:numId w:val="2"/>
        </w:numPr>
        <w:spacing w:after="70" w:line="268"/>
      </w:pPr>
      <w:r>
        <w:rPr>
          <w:b/>
          <w:bCs/>
        </w:rPr>
        <w:t xml:space="preserve">Provide a staging environment + written authorisation </w:t>
      </w:r>
      <w:r>
        <w:t xml:space="preserve">— the gate that unlocks all active testing.</w:t>
      </w:r>
    </w:p>
    <w:p>
      <w:pPr>
        <w:pStyle w:val="ListParagraph"/>
        <w:numPr>
          <w:ilvl w:val="0"/>
          <w:numId w:val="2"/>
        </w:numPr>
        <w:spacing w:after="70" w:line="268"/>
      </w:pPr>
      <w:r>
        <w:rPr>
          <w:b/>
          <w:bCs/>
        </w:rPr>
        <w:t xml:space="preserve">Dynamic scan (DAST) and live authenticated API penetration test </w:t>
      </w:r>
      <w:r>
        <w:t xml:space="preserve">— real attack traffic; staging only.</w:t>
      </w:r>
    </w:p>
    <w:p>
      <w:pPr>
        <w:pStyle w:val="ListParagraph"/>
        <w:numPr>
          <w:ilvl w:val="0"/>
          <w:numId w:val="2"/>
        </w:numPr>
        <w:spacing w:after="70" w:line="268"/>
      </w:pPr>
      <w:r>
        <w:rPr>
          <w:b/>
          <w:bCs/>
        </w:rPr>
        <w:t xml:space="preserve">Denial-of-service / load testing </w:t>
      </w:r>
      <w:r>
        <w:t xml:space="preserve">— confirm rate limits and body caps hold under abuse; staging only.</w:t>
      </w:r>
    </w:p>
    <w:p>
      <w:pPr>
        <w:pStyle w:val="ListParagraph"/>
        <w:numPr>
          <w:ilvl w:val="0"/>
          <w:numId w:val="2"/>
        </w:numPr>
        <w:spacing w:after="70" w:line="268"/>
      </w:pPr>
      <w:r>
        <w:rPr>
          <w:b/>
          <w:bCs/>
        </w:rPr>
        <w:t xml:space="preserve">TLS / transport grading </w:t>
      </w:r>
      <w:r>
        <w:t xml:space="preserve">— once the site is on public HTTPS staging.</w:t>
      </w:r>
    </w:p>
    <w:p>
      <w:pPr>
        <w:pStyle w:val="ListParagraph"/>
        <w:numPr>
          <w:ilvl w:val="0"/>
          <w:numId w:val="2"/>
        </w:numPr>
        <w:spacing w:after="70" w:line="268"/>
      </w:pPr>
      <w:r>
        <w:rPr>
          <w:b/>
          <w:bCs/>
        </w:rPr>
        <w:t xml:space="preserve">Cloud configuration review </w:t>
      </w:r>
      <w:r>
        <w:t xml:space="preserve">— IAM, security groups, S3, WAF, logging; needs your AWS access (I can assist via connected tooling).</w:t>
      </w:r>
    </w:p>
    <w:p>
      <w:pPr>
        <w:pStyle w:val="ListParagraph"/>
        <w:numPr>
          <w:ilvl w:val="0"/>
          <w:numId w:val="2"/>
        </w:numPr>
        <w:spacing w:after="70" w:line="268"/>
      </w:pPr>
      <w:r>
        <w:rPr>
          <w:b/>
          <w:bCs/>
        </w:rPr>
        <w:t xml:space="preserve">Commission an external third-party penetration test </w:t>
      </w:r>
      <w:r>
        <w:t xml:space="preserve">— for a signed report that satisfies colleges and data-protection auditors.</w:t>
      </w:r>
    </w:p>
    <w:p>
      <w:pPr>
        <w:pStyle w:val="ListParagraph"/>
        <w:numPr>
          <w:ilvl w:val="0"/>
          <w:numId w:val="2"/>
        </w:numPr>
        <w:spacing w:after="70" w:line="268"/>
      </w:pPr>
      <w:r>
        <w:rPr>
          <w:b/>
          <w:bCs/>
        </w:rPr>
        <w:t xml:space="preserve">Approve breaking dependency upgrades and behaviour-risky fixes </w:t>
      </w:r>
      <w:r>
        <w:t xml:space="preserve">— e.g. jspdf v4, replacing the xlsx library, the session-token change, the assessment answer-oracle fix.</w:t>
      </w:r>
    </w:p>
    <w:p>
      <w:pPr>
        <w:pStyle w:val="Heading1"/>
        <w:spacing w:after="140" w:before="320"/>
      </w:pPr>
      <w:r>
        <w:rPr>
          <w:b/>
          <w:bCs/>
          <w:color w:val="002147"/>
          <w:sz w:val="30"/>
          <w:szCs w:val="30"/>
        </w:rPr>
        <w:t xml:space="preserve">8. How each bug was found, and how to prevent it</w:t>
      </w:r>
    </w:p>
    <w:tbl>
      <w:tblPr>
        <w:tblW w:type="dxa" w:w="9360"/>
        <w:tblBorders>
          <w:top w:val="single" w:color="D5DDE4" w:sz="2"/>
          <w:left w:val="single" w:color="D5DDE4" w:sz="2"/>
          <w:bottom w:val="single" w:color="D5DDE4" w:sz="2"/>
          <w:right w:val="single" w:color="D5DDE4" w:sz="2"/>
          <w:insideH w:val="single" w:color="D5DDE4" w:sz="2"/>
          <w:insideV w:val="single" w:color="D5DDE4" w:sz="2"/>
        </w:tblBorders>
      </w:tblPr>
      <w:tblGrid>
        <w:gridCol w:w="2000"/>
        <w:gridCol w:w="3680"/>
        <w:gridCol w:w="3680"/>
      </w:tblGrid>
      <w:tr>
        <w:trPr>
          <w:tblHeader/>
        </w:trPr>
        <w:tc>
          <w:tcPr>
            <w:tcW w:type="dxa" w:w="2000"/>
            <w:shd w:fill="002147" w:color="auto" w:val="clear"/>
            <w:tcMar>
              <w:top w:type="dxa" w:w="60"/>
              <w:left w:type="dxa" w:w="110"/>
              <w:bottom w:type="dxa" w:w="60"/>
              <w:right w:type="dxa" w:w="110"/>
            </w:tcMar>
          </w:tcPr>
          <w:p>
            <w:pPr>
              <w:spacing w:after="0" w:line="260"/>
            </w:pPr>
            <w:r>
              <w:rPr>
                <w:b/>
                <w:bCs/>
                <w:color w:val="FFFFFF"/>
                <w:sz w:val="19"/>
                <w:szCs w:val="19"/>
              </w:rPr>
              <w:t xml:space="preserve">Bug type</w:t>
            </w:r>
          </w:p>
        </w:tc>
        <w:tc>
          <w:tcPr>
            <w:tcW w:type="dxa" w:w="3680"/>
            <w:shd w:fill="002147" w:color="auto" w:val="clear"/>
            <w:tcMar>
              <w:top w:type="dxa" w:w="60"/>
              <w:left w:type="dxa" w:w="110"/>
              <w:bottom w:type="dxa" w:w="60"/>
              <w:right w:type="dxa" w:w="110"/>
            </w:tcMar>
          </w:tcPr>
          <w:p>
            <w:pPr>
              <w:spacing w:after="0" w:line="260"/>
            </w:pPr>
            <w:r>
              <w:rPr>
                <w:b/>
                <w:bCs/>
                <w:color w:val="FFFFFF"/>
                <w:sz w:val="19"/>
                <w:szCs w:val="19"/>
              </w:rPr>
              <w:t xml:space="preserve">How it was found</w:t>
            </w:r>
          </w:p>
        </w:tc>
        <w:tc>
          <w:tcPr>
            <w:tcW w:type="dxa" w:w="3680"/>
            <w:shd w:fill="002147" w:color="auto" w:val="clear"/>
            <w:tcMar>
              <w:top w:type="dxa" w:w="60"/>
              <w:left w:type="dxa" w:w="110"/>
              <w:bottom w:type="dxa" w:w="60"/>
              <w:right w:type="dxa" w:w="110"/>
            </w:tcMar>
          </w:tcPr>
          <w:p>
            <w:pPr>
              <w:spacing w:after="0" w:line="260"/>
            </w:pPr>
            <w:r>
              <w:rPr>
                <w:b/>
                <w:bCs/>
                <w:color w:val="FFFFFF"/>
                <w:sz w:val="19"/>
                <w:szCs w:val="19"/>
              </w:rPr>
              <w:t xml:space="preserve">How to prevent it in future</w:t>
            </w:r>
          </w:p>
        </w:tc>
      </w:tr>
      <w:tr>
        <w:tc>
          <w:tcPr>
            <w:tcW w:type="dxa" w:w="2000"/>
            <w:tcMar>
              <w:top w:type="dxa" w:w="60"/>
              <w:left w:type="dxa" w:w="110"/>
              <w:bottom w:type="dxa" w:w="60"/>
              <w:right w:type="dxa" w:w="110"/>
            </w:tcMar>
          </w:tcPr>
          <w:p>
            <w:pPr>
              <w:spacing w:after="0" w:line="260"/>
            </w:pPr>
            <w:r>
              <w:rPr>
                <w:b w:val="false"/>
                <w:bCs w:val="false"/>
                <w:color w:val="1B2836"/>
                <w:sz w:val="19"/>
                <w:szCs w:val="19"/>
              </w:rPr>
              <w:t xml:space="preserve">Broken access control (IDOR)</w:t>
            </w:r>
          </w:p>
        </w:tc>
        <w:tc>
          <w:tcPr>
            <w:tcW w:type="dxa" w:w="3680"/>
            <w:tcMar>
              <w:top w:type="dxa" w:w="60"/>
              <w:left w:type="dxa" w:w="110"/>
              <w:bottom w:type="dxa" w:w="60"/>
              <w:right w:type="dxa" w:w="110"/>
            </w:tcMar>
          </w:tcPr>
          <w:p>
            <w:pPr>
              <w:spacing w:after="0" w:line="260"/>
            </w:pPr>
            <w:r>
              <w:rPr>
                <w:b w:val="false"/>
                <w:bCs w:val="false"/>
                <w:color w:val="1B2836"/>
                <w:sz w:val="19"/>
                <w:szCs w:val="19"/>
              </w:rPr>
              <w:t xml:space="preserve">Read every route that takes an id and checked for an ownership test after the database lookup.</w:t>
            </w:r>
          </w:p>
        </w:tc>
        <w:tc>
          <w:tcPr>
            <w:tcW w:type="dxa" w:w="3680"/>
            <w:tcMar>
              <w:top w:type="dxa" w:w="60"/>
              <w:left w:type="dxa" w:w="110"/>
              <w:bottom w:type="dxa" w:w="60"/>
              <w:right w:type="dxa" w:w="110"/>
            </w:tcMar>
          </w:tcPr>
          <w:p>
            <w:pPr>
              <w:spacing w:after="0" w:line="260"/>
            </w:pPr>
            <w:r>
              <w:rPr>
                <w:b w:val="false"/>
                <w:bCs w:val="false"/>
                <w:color w:val="1B2836"/>
                <w:sz w:val="19"/>
                <w:szCs w:val="19"/>
              </w:rPr>
              <w:t xml:space="preserve">Deny by default; verify owner-or-staff on every object; never trust an id from the client.</w:t>
            </w:r>
          </w:p>
        </w:tc>
      </w:tr>
      <w:tr>
        <w:tc>
          <w:tcPr>
            <w:tcW w:type="dxa" w:w="20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Unauthenticated data leak</w:t>
            </w:r>
          </w:p>
        </w:tc>
        <w:tc>
          <w:tcPr>
            <w:tcW w:type="dxa" w:w="368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Mapped which routes require login and inspected responses for full-record dumps.</w:t>
            </w:r>
          </w:p>
        </w:tc>
        <w:tc>
          <w:tcPr>
            <w:tcW w:type="dxa" w:w="368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Require login by default; hide the password field; return an explicit whitelist of fields.</w:t>
            </w:r>
          </w:p>
        </w:tc>
      </w:tr>
      <w:tr>
        <w:tc>
          <w:tcPr>
            <w:tcW w:type="dxa" w:w="2000"/>
            <w:tcMar>
              <w:top w:type="dxa" w:w="60"/>
              <w:left w:type="dxa" w:w="110"/>
              <w:bottom w:type="dxa" w:w="60"/>
              <w:right w:type="dxa" w:w="110"/>
            </w:tcMar>
          </w:tcPr>
          <w:p>
            <w:pPr>
              <w:spacing w:after="0" w:line="260"/>
            </w:pPr>
            <w:r>
              <w:rPr>
                <w:b w:val="false"/>
                <w:bCs w:val="false"/>
                <w:color w:val="1B2836"/>
                <w:sz w:val="19"/>
                <w:szCs w:val="19"/>
              </w:rPr>
              <w:t xml:space="preserve">Mass assignment / self-grade</w:t>
            </w:r>
          </w:p>
        </w:tc>
        <w:tc>
          <w:tcPr>
            <w:tcW w:type="dxa" w:w="3680"/>
            <w:tcMar>
              <w:top w:type="dxa" w:w="60"/>
              <w:left w:type="dxa" w:w="110"/>
              <w:bottom w:type="dxa" w:w="60"/>
              <w:right w:type="dxa" w:w="110"/>
            </w:tcMar>
          </w:tcPr>
          <w:p>
            <w:pPr>
              <w:spacing w:after="0" w:line="260"/>
            </w:pPr>
            <w:r>
              <w:rPr>
                <w:b w:val="false"/>
                <w:bCs w:val="false"/>
                <w:color w:val="1B2836"/>
                <w:sz w:val="19"/>
                <w:szCs w:val="19"/>
              </w:rPr>
              <w:t xml:space="preserve">Searched for updates that trust the whole request body and for grading flags in the body.</w:t>
            </w:r>
          </w:p>
        </w:tc>
        <w:tc>
          <w:tcPr>
            <w:tcW w:type="dxa" w:w="3680"/>
            <w:tcMar>
              <w:top w:type="dxa" w:w="60"/>
              <w:left w:type="dxa" w:w="110"/>
              <w:bottom w:type="dxa" w:w="60"/>
              <w:right w:type="dxa" w:w="110"/>
            </w:tcMar>
          </w:tcPr>
          <w:p>
            <w:pPr>
              <w:spacing w:after="0" w:line="260"/>
            </w:pPr>
            <w:r>
              <w:rPr>
                <w:b w:val="false"/>
                <w:bCs w:val="false"/>
                <w:color w:val="1B2836"/>
                <w:sz w:val="19"/>
                <w:szCs w:val="19"/>
              </w:rPr>
              <w:t xml:space="preserve">Compute scores on the server; whitelist updatable fields; keep no debug backdoors in shipped code.</w:t>
            </w:r>
          </w:p>
        </w:tc>
      </w:tr>
      <w:tr>
        <w:tc>
          <w:tcPr>
            <w:tcW w:type="dxa" w:w="20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XSS / HTML injection</w:t>
            </w:r>
          </w:p>
        </w:tc>
        <w:tc>
          <w:tcPr>
            <w:tcW w:type="dxa" w:w="368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Grepped for raw-HTML sinks and confirmed with SAST rules.</w:t>
            </w:r>
          </w:p>
        </w:tc>
        <w:tc>
          <w:tcPr>
            <w:tcW w:type="dxa" w:w="368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Escape all user input in HTML and email; never disable the framework’s escaping; use a strict CSP.</w:t>
            </w:r>
          </w:p>
        </w:tc>
      </w:tr>
      <w:tr>
        <w:tc>
          <w:tcPr>
            <w:tcW w:type="dxa" w:w="2000"/>
            <w:tcMar>
              <w:top w:type="dxa" w:w="60"/>
              <w:left w:type="dxa" w:w="110"/>
              <w:bottom w:type="dxa" w:w="60"/>
              <w:right w:type="dxa" w:w="110"/>
            </w:tcMar>
          </w:tcPr>
          <w:p>
            <w:pPr>
              <w:spacing w:after="0" w:line="260"/>
            </w:pPr>
            <w:r>
              <w:rPr>
                <w:b w:val="false"/>
                <w:bCs w:val="false"/>
                <w:color w:val="1B2836"/>
                <w:sz w:val="19"/>
                <w:szCs w:val="19"/>
              </w:rPr>
              <w:t xml:space="preserve">Secrets in git</w:t>
            </w:r>
          </w:p>
        </w:tc>
        <w:tc>
          <w:tcPr>
            <w:tcW w:type="dxa" w:w="3680"/>
            <w:tcMar>
              <w:top w:type="dxa" w:w="60"/>
              <w:left w:type="dxa" w:w="110"/>
              <w:bottom w:type="dxa" w:w="60"/>
              <w:right w:type="dxa" w:w="110"/>
            </w:tcMar>
          </w:tcPr>
          <w:p>
            <w:pPr>
              <w:spacing w:after="0" w:line="260"/>
            </w:pPr>
            <w:r>
              <w:rPr>
                <w:b w:val="false"/>
                <w:bCs w:val="false"/>
                <w:color w:val="1B2836"/>
                <w:sz w:val="19"/>
                <w:szCs w:val="19"/>
              </w:rPr>
              <w:t xml:space="preserve">Scanned the full commit history, not just current files.</w:t>
            </w:r>
          </w:p>
        </w:tc>
        <w:tc>
          <w:tcPr>
            <w:tcW w:type="dxa" w:w="3680"/>
            <w:tcMar>
              <w:top w:type="dxa" w:w="60"/>
              <w:left w:type="dxa" w:w="110"/>
              <w:bottom w:type="dxa" w:w="60"/>
              <w:right w:type="dxa" w:w="110"/>
            </w:tcMar>
          </w:tcPr>
          <w:p>
            <w:pPr>
              <w:spacing w:after="0" w:line="260"/>
            </w:pPr>
            <w:r>
              <w:rPr>
                <w:b w:val="false"/>
                <w:bCs w:val="false"/>
                <w:color w:val="1B2836"/>
                <w:sz w:val="19"/>
                <w:szCs w:val="19"/>
              </w:rPr>
              <w:t xml:space="preserve">Never commit secrets; add a pre-commit hook; use a secrets manager; scan on every push.</w:t>
            </w:r>
          </w:p>
        </w:tc>
      </w:tr>
      <w:tr>
        <w:tc>
          <w:tcPr>
            <w:tcW w:type="dxa" w:w="200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Vulnerable dependencies</w:t>
            </w:r>
          </w:p>
        </w:tc>
        <w:tc>
          <w:tcPr>
            <w:tcW w:type="dxa" w:w="368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Ran a dependency scan against the lockfiles.</w:t>
            </w:r>
          </w:p>
        </w:tc>
        <w:tc>
          <w:tcPr>
            <w:tcW w:type="dxa" w:w="3680"/>
            <w:shd w:fill="F1F5F8" w:color="auto" w:val="clear"/>
            <w:tcMar>
              <w:top w:type="dxa" w:w="60"/>
              <w:left w:type="dxa" w:w="110"/>
              <w:bottom w:type="dxa" w:w="60"/>
              <w:right w:type="dxa" w:w="110"/>
            </w:tcMar>
          </w:tcPr>
          <w:p>
            <w:pPr>
              <w:spacing w:after="0" w:line="260"/>
            </w:pPr>
            <w:r>
              <w:rPr>
                <w:b w:val="false"/>
                <w:bCs w:val="false"/>
                <w:color w:val="1B2836"/>
                <w:sz w:val="19"/>
                <w:szCs w:val="19"/>
              </w:rPr>
              <w:t xml:space="preserve">Gate the build on high/critical CVEs; automate update PRs; replace unmaintained libraries.</w:t>
            </w:r>
          </w:p>
        </w:tc>
      </w:tr>
      <w:tr>
        <w:tc>
          <w:tcPr>
            <w:tcW w:type="dxa" w:w="2000"/>
            <w:tcMar>
              <w:top w:type="dxa" w:w="60"/>
              <w:left w:type="dxa" w:w="110"/>
              <w:bottom w:type="dxa" w:w="60"/>
              <w:right w:type="dxa" w:w="110"/>
            </w:tcMar>
          </w:tcPr>
          <w:p>
            <w:pPr>
              <w:spacing w:after="0" w:line="260"/>
            </w:pPr>
            <w:r>
              <w:rPr>
                <w:b w:val="false"/>
                <w:bCs w:val="false"/>
                <w:color w:val="1B2836"/>
                <w:sz w:val="19"/>
                <w:szCs w:val="19"/>
              </w:rPr>
              <w:t xml:space="preserve">Event-loop denial-of-service</w:t>
            </w:r>
          </w:p>
        </w:tc>
        <w:tc>
          <w:tcPr>
            <w:tcW w:type="dxa" w:w="3680"/>
            <w:tcMar>
              <w:top w:type="dxa" w:w="60"/>
              <w:left w:type="dxa" w:w="110"/>
              <w:bottom w:type="dxa" w:w="60"/>
              <w:right w:type="dxa" w:w="110"/>
            </w:tcMar>
          </w:tcPr>
          <w:p>
            <w:pPr>
              <w:spacing w:after="0" w:line="260"/>
            </w:pPr>
            <w:r>
              <w:rPr>
                <w:b w:val="false"/>
                <w:bCs w:val="false"/>
                <w:color w:val="1B2836"/>
                <w:sz w:val="19"/>
                <w:szCs w:val="19"/>
              </w:rPr>
              <w:t xml:space="preserve">Traced the cache-refresh handler to a synchronous Excel parse.</w:t>
            </w:r>
          </w:p>
        </w:tc>
        <w:tc>
          <w:tcPr>
            <w:tcW w:type="dxa" w:w="3680"/>
            <w:tcMar>
              <w:top w:type="dxa" w:w="60"/>
              <w:left w:type="dxa" w:w="110"/>
              <w:bottom w:type="dxa" w:w="60"/>
              <w:right w:type="dxa" w:w="110"/>
            </w:tcMar>
          </w:tcPr>
          <w:p>
            <w:pPr>
              <w:spacing w:after="0" w:line="260"/>
            </w:pPr>
            <w:r>
              <w:rPr>
                <w:b w:val="false"/>
                <w:bCs w:val="false"/>
                <w:color w:val="1B2836"/>
                <w:sz w:val="19"/>
                <w:szCs w:val="19"/>
              </w:rPr>
              <w:t xml:space="preserve">Move heavy work off the request path (worker/background job); rate-limit; restrict to admins.</w:t>
            </w:r>
          </w:p>
        </w:tc>
      </w:tr>
    </w:tbl>
    <w:p>
      <w:pPr>
        <w:pStyle w:val="Heading1"/>
        <w:spacing w:after="140" w:before="320"/>
      </w:pPr>
      <w:r>
        <w:rPr>
          <w:b/>
          <w:bCs/>
          <w:color w:val="002147"/>
          <w:sz w:val="30"/>
          <w:szCs w:val="30"/>
        </w:rPr>
        <w:t xml:space="preserve">9. Why this delivery is useful in production</w:t>
      </w:r>
    </w:p>
    <w:p>
      <w:pPr>
        <w:pStyle w:val="ListParagraph"/>
        <w:numPr>
          <w:ilvl w:val="0"/>
          <w:numId w:val="2"/>
        </w:numPr>
        <w:spacing w:after="70" w:line="268"/>
      </w:pPr>
      <w:r>
        <w:rPr>
          <w:b/>
          <w:bCs/>
        </w:rPr>
        <w:t xml:space="preserve">Prevents a data breach </w:t>
      </w:r>
      <w:r>
        <w:t xml:space="preserve">of student personal data — the biggest legal and reputational risk.</w:t>
      </w:r>
    </w:p>
    <w:p>
      <w:pPr>
        <w:pStyle w:val="ListParagraph"/>
        <w:numPr>
          <w:ilvl w:val="0"/>
          <w:numId w:val="2"/>
        </w:numPr>
        <w:spacing w:after="70" w:line="268"/>
      </w:pPr>
      <w:r>
        <w:rPr>
          <w:b/>
          <w:bCs/>
        </w:rPr>
        <w:t xml:space="preserve">Protects credential integrity </w:t>
      </w:r>
      <w:r>
        <w:t xml:space="preserve">so assessments and certificates stay trustworthy.</w:t>
      </w:r>
    </w:p>
    <w:p>
      <w:pPr>
        <w:pStyle w:val="ListParagraph"/>
        <w:numPr>
          <w:ilvl w:val="0"/>
          <w:numId w:val="2"/>
        </w:numPr>
        <w:spacing w:after="70" w:line="268"/>
      </w:pPr>
      <w:r>
        <w:rPr>
          <w:b/>
          <w:bCs/>
        </w:rPr>
        <w:t xml:space="preserve">Keeps the service available </w:t>
      </w:r>
      <w:r>
        <w:t xml:space="preserve">by closing cheap denial-of-service and cost-abuse paths.</w:t>
      </w:r>
    </w:p>
    <w:p>
      <w:pPr>
        <w:pStyle w:val="ListParagraph"/>
        <w:numPr>
          <w:ilvl w:val="0"/>
          <w:numId w:val="2"/>
        </w:numPr>
        <w:spacing w:after="70" w:line="268"/>
      </w:pPr>
      <w:r>
        <w:rPr>
          <w:b/>
          <w:bCs/>
        </w:rPr>
        <w:t xml:space="preserve">Makes security continuous </w:t>
      </w:r>
      <w:r>
        <w:t xml:space="preserve">— once CI gates are added, the next risky change is caught automatically.</w:t>
      </w:r>
    </w:p>
    <w:p>
      <w:pPr>
        <w:pStyle w:val="ListParagraph"/>
        <w:numPr>
          <w:ilvl w:val="0"/>
          <w:numId w:val="2"/>
        </w:numPr>
        <w:spacing w:after="70" w:line="268"/>
      </w:pPr>
      <w:r>
        <w:rPr>
          <w:b/>
          <w:bCs/>
        </w:rPr>
        <w:t xml:space="preserve">Creates an audit trail </w:t>
      </w:r>
      <w:r>
        <w:t xml:space="preserve">— this report is the evidence colleges and auditors ask for.</w:t>
      </w:r>
    </w:p>
    <w:p>
      <w:pPr>
        <w:pStyle w:val="ListParagraph"/>
        <w:numPr>
          <w:ilvl w:val="0"/>
          <w:numId w:val="2"/>
        </w:numPr>
        <w:spacing w:after="70" w:line="268"/>
      </w:pPr>
      <w:r>
        <w:rPr>
          <w:b/>
          <w:bCs/>
        </w:rPr>
        <w:t xml:space="preserve">De-risks the launch </w:t>
      </w:r>
      <w:r>
        <w:t xml:space="preserve">— hardening the deployment means going live does not open a new, untested attack surface.</w:t>
      </w:r>
    </w:p>
    <w:p>
      <w:pPr>
        <w:pStyle w:val="Heading1"/>
        <w:spacing w:after="140" w:before="320"/>
      </w:pPr>
      <w:r>
        <w:rPr>
          <w:b/>
          <w:bCs/>
          <w:color w:val="002147"/>
          <w:sz w:val="30"/>
          <w:szCs w:val="30"/>
        </w:rPr>
        <w:t xml:space="preserve">10. The way forward</w:t>
      </w:r>
    </w:p>
    <w:p>
      <w:pPr>
        <w:pStyle w:val="ListParagraph"/>
        <w:numPr>
          <w:ilvl w:val="0"/>
          <w:numId w:val="3"/>
        </w:numPr>
        <w:spacing w:after="80" w:line="268"/>
      </w:pPr>
      <w:r>
        <w:rPr>
          <w:sz w:val="21"/>
          <w:szCs w:val="21"/>
        </w:rPr>
        <w:t xml:space="preserve">Rotate secrets and purge git history (the blocker).</w:t>
      </w:r>
    </w:p>
    <w:p>
      <w:pPr>
        <w:pStyle w:val="ListParagraph"/>
        <w:numPr>
          <w:ilvl w:val="0"/>
          <w:numId w:val="3"/>
        </w:numPr>
        <w:spacing w:after="80" w:line="268"/>
      </w:pPr>
      <w:r>
        <w:rPr>
          <w:sz w:val="21"/>
          <w:szCs w:val="21"/>
        </w:rPr>
        <w:t xml:space="preserve">Review and commit the 12 fixes after a smoke test of login, registration, vision boards, course progress, certificates, and the contact form.</w:t>
      </w:r>
    </w:p>
    <w:p>
      <w:pPr>
        <w:pStyle w:val="ListParagraph"/>
        <w:numPr>
          <w:ilvl w:val="0"/>
          <w:numId w:val="3"/>
        </w:numPr>
        <w:spacing w:after="80" w:line="268"/>
      </w:pPr>
      <w:r>
        <w:rPr>
          <w:sz w:val="21"/>
          <w:szCs w:val="21"/>
        </w:rPr>
        <w:t xml:space="preserve">Implement the remaining open items (session token, certificate issuance, assessment oracle, student-update scoping, deploy pipeline, nginx headers, xlsx replacement).</w:t>
      </w:r>
    </w:p>
    <w:p>
      <w:pPr>
        <w:pStyle w:val="ListParagraph"/>
        <w:numPr>
          <w:ilvl w:val="0"/>
          <w:numId w:val="3"/>
        </w:numPr>
        <w:spacing w:after="80" w:line="268"/>
      </w:pPr>
      <w:r>
        <w:rPr>
          <w:sz w:val="21"/>
          <w:szCs w:val="21"/>
        </w:rPr>
        <w:t xml:space="preserve">Add automated security gates to the build (secret scan, static analysis, dependency scan) so nothing regresses.</w:t>
      </w:r>
    </w:p>
    <w:p>
      <w:pPr>
        <w:pStyle w:val="ListParagraph"/>
        <w:numPr>
          <w:ilvl w:val="0"/>
          <w:numId w:val="3"/>
        </w:numPr>
        <w:spacing w:after="80" w:line="268"/>
      </w:pPr>
      <w:r>
        <w:rPr>
          <w:sz w:val="21"/>
          <w:szCs w:val="21"/>
        </w:rPr>
        <w:t xml:space="preserve">Stand up a staging environment with synthetic data and issue written authorisation.</w:t>
      </w:r>
    </w:p>
    <w:p>
      <w:pPr>
        <w:pStyle w:val="ListParagraph"/>
        <w:numPr>
          <w:ilvl w:val="0"/>
          <w:numId w:val="3"/>
        </w:numPr>
        <w:spacing w:after="80" w:line="268"/>
      </w:pPr>
      <w:r>
        <w:rPr>
          <w:sz w:val="21"/>
          <w:szCs w:val="21"/>
        </w:rPr>
        <w:t xml:space="preserve">Run the active tests on staging (dynamic scan, API penetration test, denial-of-service, TLS).</w:t>
      </w:r>
    </w:p>
    <w:p>
      <w:pPr>
        <w:pStyle w:val="ListParagraph"/>
        <w:numPr>
          <w:ilvl w:val="0"/>
          <w:numId w:val="3"/>
        </w:numPr>
        <w:spacing w:after="80" w:line="268"/>
      </w:pPr>
      <w:r>
        <w:rPr>
          <w:sz w:val="21"/>
          <w:szCs w:val="21"/>
        </w:rPr>
        <w:t xml:space="preserve">Review the cloud configuration once the target architecture is fixed.</w:t>
      </w:r>
    </w:p>
    <w:p>
      <w:pPr>
        <w:pStyle w:val="ListParagraph"/>
        <w:numPr>
          <w:ilvl w:val="0"/>
          <w:numId w:val="3"/>
        </w:numPr>
        <w:spacing w:after="80" w:line="268"/>
      </w:pPr>
      <w:r>
        <w:rPr>
          <w:sz w:val="21"/>
          <w:szCs w:val="21"/>
        </w:rPr>
        <w:t xml:space="preserve">Re-test every finding and sign off with no high or critical issues open.</w:t>
      </w:r>
    </w:p>
    <w:p>
      <w:pPr>
        <w:pBdr>
          <w:top w:val="single" w:color="D5DDE4" w:sz="8" w:space="8"/>
        </w:pBdr>
        <w:spacing w:before="260"/>
      </w:pPr>
      <w:r>
        <w:rPr>
          <w:i/>
          <w:iCs/>
          <w:color w:val="5A6B7B"/>
          <w:sz w:val="18"/>
          <w:szCs w:val="18"/>
        </w:rPr>
        <w:t xml:space="preserve">Companion technical files in the repository: docs/Reports/SECURITY-PENTEST-2026-07-15.md (findings &amp; fixes) and docs/Reports/SECURITY-TESTING-PLAN.md (full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F8B97"/>
      </w:rPr>
    </w:lvl>
  </w:abstractNum>
  <w:abstractNum w:abstractNumId="3" w15:restartNumberingAfterBreak="0">
    <w:multiLevelType w:val="hybridMultilevel"/>
    <w:lvl w:ilvl="0" w15:tentative="1">
      <w:start w:val="1"/>
      <w:numFmt w:val="decimal"/>
      <w:lvlText w:val="%1."/>
      <w:lvlJc w:val="left"/>
      <w:pPr>
        <w:ind w:left="360" w:hanging="240"/>
      </w:pPr>
      <w:rPr>
        <w:b/>
        <w:bCs/>
        <w:color w:val="00214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Institute — Security Testing &amp; Remediation Delivery Report</dc:title>
  <dc:creator>Smart Institute Security</dc:creator>
  <cp:lastModifiedBy>Un-named</cp:lastModifiedBy>
  <cp:revision>1</cp:revision>
  <dcterms:created xsi:type="dcterms:W3CDTF">2026-07-15T12:15:02.362Z</dcterms:created>
  <dcterms:modified xsi:type="dcterms:W3CDTF">2026-07-15T12:15:02.363Z</dcterms:modified>
</cp:coreProperties>
</file>

<file path=docProps/custom.xml><?xml version="1.0" encoding="utf-8"?>
<Properties xmlns="http://schemas.openxmlformats.org/officeDocument/2006/custom-properties" xmlns:vt="http://schemas.openxmlformats.org/officeDocument/2006/docPropsVTypes"/>
</file>