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pPr>
      <w:r>
        <w:drawing>
          <wp:inline distT="0" distB="0" distL="0" distR="0">
            <wp:extent cx="2381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609600"/>
                    </a:xfrm>
                    <a:prstGeom prst="rect">
                      <a:avLst/>
                    </a:prstGeom>
                  </pic:spPr>
                </pic:pic>
              </a:graphicData>
            </a:graphic>
          </wp:inline>
        </w:drawing>
      </w:r>
    </w:p>
    <w:p>
      <w:pPr>
        <w:spacing w:after="120"/>
      </w:pPr>
      <w:r>
        <w:rPr>
          <w:rFonts w:ascii="Calibri" w:cs="Calibri" w:eastAsia="Calibri" w:hAnsi="Calibri"/>
          <w:b/>
          <w:bCs/>
          <w:color w:val="0E2136"/>
          <w:sz w:val="60"/>
          <w:szCs w:val="60"/>
        </w:rPr>
        <w:t xml:space="preserve">System Document</w:t>
      </w:r>
    </w:p>
    <w:p>
      <w:pPr>
        <w:pBdr>
          <w:bottom w:val="single" w:color="1A3884" w:sz="12" w:space="14"/>
        </w:pBdr>
        <w:spacing w:after="260"/>
      </w:pPr>
      <w:r>
        <w:rPr>
          <w:rFonts w:ascii="Calibri" w:cs="Calibri" w:eastAsia="Calibri" w:hAnsi="Calibri"/>
          <w:color w:val="1A3884"/>
          <w:sz w:val="26"/>
          <w:szCs w:val="26"/>
        </w:rPr>
        <w:t xml:space="preserve">The complete SMAART Institute platform</w:t>
      </w:r>
    </w:p>
    <w:p>
      <w:pPr>
        <w:keepNext w:val="false"/>
        <w:spacing w:after="900" w:before="0" w:line="300"/>
      </w:pPr>
      <w:r>
        <w:rPr>
          <w:rFonts w:ascii="Calibri" w:cs="Calibri" w:eastAsia="Calibri" w:hAnsi="Calibri"/>
          <w:b w:val="false"/>
          <w:bCs w:val="false"/>
          <w:i w:val="false"/>
          <w:iCs w:val="false"/>
          <w:caps w:val="false"/>
          <w:color w:val="5F6E82"/>
          <w:sz w:val="22"/>
          <w:szCs w:val="22"/>
        </w:rPr>
        <w:t xml:space="preserve">What the system is, who uses it, how every part works, and how the parts fit together — from a student's first login to a recruiter's offer.</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6584"/>
      </w:tblGrid>
      <w:tr>
        <w:tc>
          <w:tcPr>
            <w:tcW w:type="dxa" w:w="2822"/>
            <w:tcBorders>
              <w:top w:val="single" w:color="D8E0EC" w:sz="4"/>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Document</w:t>
            </w:r>
          </w:p>
        </w:tc>
        <w:tc>
          <w:tcPr>
            <w:tcW w:type="dxa" w:w="6584"/>
            <w:tcBorders>
              <w:top w:val="single" w:color="D8E0EC" w:sz="4"/>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System Document</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Platform</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SMAART Institute</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Applications</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smaartinstitute.com  ·  admin.smaartinstitute.com</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Status</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Live in production</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Version</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1.0</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Date</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August 2026</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Companion document</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Hosting — production environment and deployment</w:t>
            </w:r>
          </w:p>
        </w:tc>
      </w:tr>
    </w:tbl>
    <w:p>
      <w:r>
        <w:br w:type="page"/>
      </w:r>
    </w:p>
    <w:p>
      <w:pPr>
        <w:pBdr>
          <w:bottom w:val="single" w:color="1A3884" w:sz="12" w:space="12"/>
        </w:pBdr>
        <w:spacing w:after="200" w:before="200"/>
      </w:pPr>
      <w:r>
        <w:rPr>
          <w:rFonts w:ascii="Calibri" w:cs="Calibri" w:eastAsia="Calibri" w:hAnsi="Calibri"/>
          <w:b/>
          <w:bCs/>
          <w:color w:val="0E2136"/>
          <w:sz w:val="40"/>
          <w:szCs w:val="40"/>
        </w:rPr>
        <w:t xml:space="preserve">Contents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  Executive summary</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2.  What SMAART Institute is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3.  The system at a glance</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4.  People and roles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5.  The student journey, end to end</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6.  Registration and onboarding</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7.  Login, sessions and access control</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8.  The measurement model — seven quotients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9.  The assessment system</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10. AI proctoring</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11. The learning architecture</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12. Progress, motivation and recognition</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13. The skills passport and verification</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14. Placement and recruitment</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15. Community, groups and moderation</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16. Support, grievances and wellbeing</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17. The SMAART Toolkit — AI features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18. Notifications and communication</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19. Analytics and reporting</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20. The admin panel, module by module</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21. Technical architecture</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22. Security and data protection</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23. Integrations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24. Quality assurance and testing</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25. Glossary</w:t>
      </w:r>
    </w:p>
    <w:p>
      <w:pPr>
        <w:spacing w:after="3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How to read this document</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Sections 1 to 5 describe what the platform is and what it does. Sections 6 to 20 work through the system feature by feature, in the order a student meets them. Sections 21 to 25 are the technical and reference material.</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Nothing in this document requires a technical background to follow.</w:t>
            </w:r>
          </w:p>
        </w:tc>
      </w:tr>
    </w:tbl>
    <w:p>
      <w:pPr>
        <w:sectPr>
          <w:pgSz w:w="11906" w:h="16838" w:orient="portrait"/>
          <w:pgMar w:top="1300" w:right="1250" w:bottom="1300" w:left="1250" w:header="708" w:footer="708" w:gutter="0"/>
          <w:pgNumType/>
          <w:titlePg w:val="false"/>
          <w:docGrid w:linePitch="360"/>
        </w:sectPr>
      </w:pP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  Executive summary</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SMAART Institute is a production education platform that carries a student from the moment they first register to the moment they accept a job offer, and gives every college, coach and recruiter around that student the same live view of their progress.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It is not a course catalogue with a login. The platform measures capability before it teaches anything, opens the curriculum in a deliberate order, gates each stage behind a proctored assessment, and then hands the resulting verified profile to the placement process. Learning, assessment, coaching, community, support and hiring all read and write the same student record.</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platform is live. Two applications are in production — the student dashboard at smaartinstitute.com and the administration panel at admin.smaartinstitute.com — running in containers on a single AWS instance in Mumbai, behind HTTPS, with an automated build pipeline and a one-click deployment that verifies itself and rolls back if anything is wrong.</w:t>
      </w:r>
    </w:p>
    <w:p>
      <w:pPr>
        <w:spacing w:after="6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0E2136" w:sz="4"/>
              <w:left w:val="single" w:color="0E2136" w:sz="4"/>
              <w:bottom w:val="single" w:color="0E2136" w:sz="4"/>
              <w:right w:val="single" w:color="0E2136" w:sz="4"/>
            </w:tcBorders>
            <w:shd w:fill="0E2136"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FFFFFF"/>
                <w:sz w:val="21"/>
                <w:szCs w:val="21"/>
              </w:rPr>
              <w:t xml:space="preserve">The idea in one sentence</w:t>
            </w:r>
          </w:p>
          <w:p>
            <w:pPr>
              <w:keepNext w:val="false"/>
              <w:spacing w:after="0" w:before="0" w:line="264"/>
            </w:pPr>
            <w:r>
              <w:rPr>
                <w:rFonts w:ascii="Calibri" w:cs="Calibri" w:eastAsia="Calibri" w:hAnsi="Calibri"/>
                <w:b w:val="false"/>
                <w:bCs w:val="false"/>
                <w:i w:val="false"/>
                <w:iCs w:val="false"/>
                <w:caps w:val="false"/>
                <w:color w:val="C9D6E8"/>
                <w:sz w:val="20"/>
                <w:szCs w:val="20"/>
              </w:rPr>
              <w:t xml:space="preserve">Measure honestly, teach in the right order, prove the result, then place — all inside one record that nobody has to reconcile by hand.</w:t>
            </w:r>
          </w:p>
        </w:tc>
      </w:tr>
    </w:tbl>
    <w:p>
      <w:pPr>
        <w:spacing w:after="140"/>
      </w:pPr>
    </w:p>
    <w:p>
      <w:pPr>
        <w:pStyle w:val="Heading2"/>
        <w:keepNext/>
        <w:spacing w:after="120" w:before="320"/>
      </w:pPr>
      <w:r>
        <w:rPr>
          <w:rFonts w:ascii="Calibri" w:cs="Calibri" w:eastAsia="Calibri" w:hAnsi="Calibri"/>
          <w:b/>
          <w:bCs/>
          <w:color w:val="1A3884"/>
          <w:sz w:val="25"/>
          <w:szCs w:val="25"/>
        </w:rPr>
        <w:t xml:space="preserve">1.1  Who this document is for</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This document describes the complete system: what it does, who uses it, how each part works, and how the parts fit together. It is written to be read by a non-technical reader end to end, with the technical detail placed in clearly marked sections so an engineer can find it quickly.</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8"/>
        <w:gridCol w:w="6208"/>
      </w:tblGrid>
      <w:tr>
        <w:trPr>
          <w:tblHeader/>
        </w:trPr>
        <w:tc>
          <w:tcPr>
            <w:tcW w:type="dxa" w:w="3198"/>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Reader</w:t>
            </w:r>
          </w:p>
        </w:tc>
        <w:tc>
          <w:tcPr>
            <w:tcW w:type="dxa" w:w="6208"/>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Start here</w:t>
            </w:r>
          </w:p>
        </w:tc>
      </w:tr>
      <w:tr>
        <w:tc>
          <w:tcPr>
            <w:tcW w:type="dxa" w:w="319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 college or institution partner</w:t>
            </w:r>
          </w:p>
        </w:tc>
        <w:tc>
          <w:tcPr>
            <w:tcW w:type="dxa" w:w="620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Sections 2 to 5, then 11 (learning) and 14 (placement).</w:t>
            </w:r>
          </w:p>
        </w:tc>
      </w:tr>
      <w:tr>
        <w:tc>
          <w:tcPr>
            <w:tcW w:type="dxa" w:w="319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 member of the operations team</w:t>
            </w:r>
          </w:p>
        </w:tc>
        <w:tc>
          <w:tcPr>
            <w:tcW w:type="dxa" w:w="620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Sections 4, 6, 16 and 20.</w:t>
            </w:r>
          </w:p>
        </w:tc>
      </w:tr>
      <w:tr>
        <w:tc>
          <w:tcPr>
            <w:tcW w:type="dxa" w:w="319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 developer joining the project</w:t>
            </w:r>
          </w:p>
        </w:tc>
        <w:tc>
          <w:tcPr>
            <w:tcW w:type="dxa" w:w="620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Sections 3, 21 and 22, then the module reference in Section 20.</w:t>
            </w:r>
          </w:p>
        </w:tc>
      </w:tr>
      <w:tr>
        <w:tc>
          <w:tcPr>
            <w:tcW w:type="dxa" w:w="319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 reviewer or auditor</w:t>
            </w:r>
          </w:p>
        </w:tc>
        <w:tc>
          <w:tcPr>
            <w:tcW w:type="dxa" w:w="620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Sections 7, 9, 10 and 22.</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 companion document, Hosting, covers the production environment, the build pipeline and the deployment procedure. It is deliberately kept separate so that operations staff have one short document to work from.</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2.  What SMAART Institute is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SMAART Institute is a "phygital" skilling platform. The word is a deliberate one: the physical part of education does not disappear. Coaching conversations, campus drives and job fairs still happen in a room with people in it. What the platform does is run the record, the measurement, the progress and the paperwork around those events, so that nothing depends on someone remembering to update a spreadsheet.</w:t>
      </w:r>
    </w:p>
    <w:p>
      <w:pPr>
        <w:pStyle w:val="Heading2"/>
        <w:keepNext/>
        <w:spacing w:after="120" w:before="320"/>
      </w:pPr>
      <w:r>
        <w:rPr>
          <w:rFonts w:ascii="Calibri" w:cs="Calibri" w:eastAsia="Calibri" w:hAnsi="Calibri"/>
          <w:b/>
          <w:bCs/>
          <w:color w:val="1A3884"/>
          <w:sz w:val="25"/>
          <w:szCs w:val="25"/>
        </w:rPr>
        <w:t xml:space="preserve">2.1  The problem it addresses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Most institutions already have students, courses and hiring partners. What they usually do not have is one honest, current answer to a simple question: how ready is this student, right now, for the work they want to do?</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Academic marks measure recall of a syllabus. They do not measure reasoning, resilience, collaboration or digital fluency.</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Learning content, assessment results and placement activity typically live in three different systems, and they rarely agree with one another.</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 college usually discovers that a student has disengaged at the end of a term, when it is too late to intervene.</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 recruiter receives a self-written resume with no way to verify a single claim in it.</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 certificate is a PDF. Anyone can produce one that looks identical.</w:t>
      </w:r>
    </w:p>
    <w:p>
      <w:pPr>
        <w:pStyle w:val="Heading2"/>
        <w:keepNext/>
        <w:spacing w:after="120" w:before="320"/>
      </w:pPr>
      <w:r>
        <w:rPr>
          <w:rFonts w:ascii="Calibri" w:cs="Calibri" w:eastAsia="Calibri" w:hAnsi="Calibri"/>
          <w:b/>
          <w:bCs/>
          <w:color w:val="1A3884"/>
          <w:sz w:val="25"/>
          <w:szCs w:val="25"/>
        </w:rPr>
        <w:t xml:space="preserve">2.2  How the platform answers it</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6584"/>
      </w:tblGrid>
      <w:tr>
        <w:trPr>
          <w:tblHeader/>
        </w:trPr>
        <w:tc>
          <w:tcPr>
            <w:tcW w:type="dxa" w:w="282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The problem</w:t>
            </w:r>
          </w:p>
        </w:tc>
        <w:tc>
          <w:tcPr>
            <w:tcW w:type="dxa" w:w="658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What SMAART Institute does about it</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Readiness is unknown</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proctored baseline assessment measures six capability areas before any course opens, and re-measures at every stage gate.</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Data is scattered</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One database. The learning side, the assessment engine, the placement pipeline and the analytics all read the same student record.</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Disengagement is invisible</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Progress, streaks, activity and red-flag escalations are visible to the college and the coach while there is still time to act.</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Claims cannot be verified</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skills passport, badges and certificates each carry a public verification link that anyone can check without an account.</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Scores cannot be trusted</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Assessments are proctored, question order is randomised per candidate, and progression rules are enforced on the server.</w:t>
            </w:r>
          </w:p>
        </w:tc>
      </w:tr>
    </w:tbl>
    <w:p>
      <w:pPr>
        <w:pStyle w:val="Heading2"/>
        <w:keepNext/>
        <w:spacing w:after="120" w:before="320"/>
      </w:pPr>
      <w:r>
        <w:rPr>
          <w:rFonts w:ascii="Calibri" w:cs="Calibri" w:eastAsia="Calibri" w:hAnsi="Calibri"/>
          <w:b/>
          <w:bCs/>
          <w:color w:val="1A3884"/>
          <w:sz w:val="25"/>
          <w:szCs w:val="25"/>
        </w:rPr>
        <w:t xml:space="preserve">2.3  The design principles behind it</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Measure before you teach. A learning path built on an unmeasured assumption is guesswork.</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One record, one truth. If two systems can disagree about a student, eventually they will.</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Progress must be earned. A stage opens because a gate was cleared, not because time passed.</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Enforce rules where they cannot be bypassed — on the server, not only in the interface.</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Never let automation ship silently. A person decides when new code reaches students.</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3.  The system at a glance</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platform is delivered as two web applications that share a single database. Each has its own audience, its own interface and its own deployment, but neither holds a private copy of any data.</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3951"/>
        <w:gridCol w:w="3950"/>
      </w:tblGrid>
      <w:tr>
        <w:trPr>
          <w:tblHeader/>
        </w:trPr>
        <w:tc>
          <w:tcPr>
            <w:tcW w:type="dxa" w:w="150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
            </w:r>
          </w:p>
        </w:tc>
        <w:tc>
          <w:tcPr>
            <w:tcW w:type="dxa" w:w="395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Student Dashboard</w:t>
            </w:r>
          </w:p>
        </w:tc>
        <w:tc>
          <w:tcPr>
            <w:tcW w:type="dxa" w:w="395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Admin Panel</w:t>
            </w:r>
          </w:p>
        </w:tc>
      </w:tr>
      <w:tr>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Address</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smaartinstitute.com</w:t>
            </w:r>
          </w:p>
        </w:tc>
        <w:tc>
          <w:tcPr>
            <w:tcW w:type="dxa" w:w="395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admin.smaartinstitute.com</w:t>
            </w:r>
          </w:p>
        </w:tc>
      </w:tr>
      <w:tr>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Primary users</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Students, coaches, recruiters</w:t>
            </w:r>
          </w:p>
        </w:tc>
        <w:tc>
          <w:tcPr>
            <w:tcW w:type="dxa" w:w="395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Platform administrators, college administrators, support staff</w:t>
            </w:r>
          </w:p>
        </w:tc>
      </w:tr>
      <w:tr>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Built with</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React 19 and Vite</w:t>
            </w:r>
          </w:p>
        </w:tc>
        <w:tc>
          <w:tcPr>
            <w:tcW w:type="dxa" w:w="395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React (Create React App)</w:t>
            </w:r>
          </w:p>
        </w:tc>
      </w:tr>
      <w:tr>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Served by</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Node.js and Express on port 5000</w:t>
            </w:r>
          </w:p>
        </w:tc>
        <w:tc>
          <w:tcPr>
            <w:tcW w:type="dxa" w:w="395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Node.js and Express on port 5001</w:t>
            </w:r>
          </w:p>
        </w:tc>
      </w:tr>
      <w:tr>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Purpose</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Delivery — learning, assessment, community, placement, support</w:t>
            </w:r>
          </w:p>
        </w:tc>
        <w:tc>
          <w:tcPr>
            <w:tcW w:type="dxa" w:w="395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Authoring and administration — colleges, users, courses, assessments, analytics</w:t>
            </w:r>
          </w:p>
        </w:tc>
      </w:tr>
      <w:tr>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Database</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Shared MongoDB Atlas cluster</w:t>
            </w:r>
          </w:p>
        </w:tc>
        <w:tc>
          <w:tcPr>
            <w:tcW w:type="dxa" w:w="395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same MongoDB Atlas cluster</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Why one database matters</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A course published in the admin panel appears in the student catalogue immediately. A submitted assessment appears in college analytics immediately. There is no synchronisation job that can fail overnight, and no second copy of the truth to reconcile.</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The trade-off is discipline: because both applications define their own model for shared collections, a schema change has to be made in both places. This is a known constraint and is documented in the technical reference.</w:t>
            </w:r>
          </w:p>
        </w:tc>
      </w:tr>
    </w:tbl>
    <w:p>
      <w:pPr>
        <w:spacing w:after="140"/>
      </w:pPr>
    </w:p>
    <w:p>
      <w:pPr>
        <w:pStyle w:val="Heading2"/>
        <w:keepNext/>
        <w:spacing w:after="120" w:before="320"/>
      </w:pPr>
      <w:r>
        <w:rPr>
          <w:rFonts w:ascii="Calibri" w:cs="Calibri" w:eastAsia="Calibri" w:hAnsi="Calibri"/>
          <w:b/>
          <w:bCs/>
          <w:color w:val="1A3884"/>
          <w:sz w:val="25"/>
          <w:szCs w:val="25"/>
        </w:rPr>
        <w:t xml:space="preserve">3.1  How a request flows through the system</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The browser loads the single-page application from an Nginx container.</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Every data call goes to /api on the same hostname, so there is no cross-origin request for normal use.</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The edge proxy inspects the hostname and forwards the call to the correct backend service.</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The backend authenticates the request, checks the role, and applies any scope rule — a college administrator only ever sees their own college.</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The controller reads or writes MongoDB through Mongoose models, triggers any side effects (notifications, badge checks, emails), and returns JSON.</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4.  People and roles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Every account carries exactly one role, and the role determines both what is visible and how far it reaches. The same analytics page shows a college administrator their own institution and shows a platform administrator every institution.</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1"/>
        <w:gridCol w:w="5455"/>
        <w:gridCol w:w="2070"/>
      </w:tblGrid>
      <w:tr>
        <w:trPr>
          <w:tblHeader/>
        </w:trPr>
        <w:tc>
          <w:tcPr>
            <w:tcW w:type="dxa" w:w="188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Role</w:t>
            </w:r>
          </w:p>
        </w:tc>
        <w:tc>
          <w:tcPr>
            <w:tcW w:type="dxa" w:w="545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What they do</w:t>
            </w:r>
          </w:p>
        </w:tc>
        <w:tc>
          <w:tcPr>
            <w:tcW w:type="dxa" w:w="207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Scope</w:t>
            </w:r>
          </w:p>
        </w:tc>
      </w:tr>
      <w:tr>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Student</w:t>
            </w:r>
          </w:p>
        </w:tc>
        <w:tc>
          <w:tcPr>
            <w:tcW w:type="dxa" w:w="545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Learns, takes assessments, builds a skills passport, applies to jobs and job fairs, uses the community and support.</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Their own record</w:t>
            </w:r>
          </w:p>
        </w:tc>
      </w:tr>
      <w:tr>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College Admin</w:t>
            </w:r>
          </w:p>
        </w:tc>
        <w:tc>
          <w:tcPr>
            <w:tcW w:type="dxa" w:w="545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Runs one institution: students, batches, degrees, departments, the placement office, notifications and reports.</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One college</w:t>
            </w:r>
          </w:p>
        </w:tc>
      </w:tr>
      <w:tr>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Coach</w:t>
            </w:r>
          </w:p>
        </w:tc>
        <w:tc>
          <w:tcPr>
            <w:tcW w:type="dxa" w:w="545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Runs coaching and MindCare sessions, monitors red-flag escalations and mentorship logs.</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Assigned students</w:t>
            </w:r>
          </w:p>
        </w:tc>
      </w:tr>
      <w:tr>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Recruiter</w:t>
            </w:r>
          </w:p>
        </w:tc>
        <w:tc>
          <w:tcPr>
            <w:tcW w:type="dxa" w:w="545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Posts jobs and job fairs, screens applicants, moves candidates through the hiring pipeline.</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Own jobs; platform-wide or one college</w:t>
            </w:r>
          </w:p>
        </w:tc>
      </w:tr>
      <w:tr>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Consultant</w:t>
            </w:r>
          </w:p>
        </w:tc>
        <w:tc>
          <w:tcPr>
            <w:tcW w:type="dxa" w:w="545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Manages colleges and users and reviews analytics on behalf of the platform.</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Assigned colleges</w:t>
            </w:r>
          </w:p>
        </w:tc>
      </w:tr>
      <w:tr>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Teacher</w:t>
            </w:r>
          </w:p>
        </w:tc>
        <w:tc>
          <w:tcPr>
            <w:tcW w:type="dxa" w:w="545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Supports delivery and student progress within a college.</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One college</w:t>
            </w:r>
          </w:p>
        </w:tc>
      </w:tr>
      <w:tr>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Moderator</w:t>
            </w:r>
          </w:p>
        </w:tc>
        <w:tc>
          <w:tcPr>
            <w:tcW w:type="dxa" w:w="545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Reviews reported community content and takes moderation action.</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Platform-wide, community only</w:t>
            </w:r>
          </w:p>
        </w:tc>
      </w:tr>
      <w:tr>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Support / Office Admin</w:t>
            </w:r>
          </w:p>
        </w:tc>
        <w:tc>
          <w:tcPr>
            <w:tcW w:type="dxa" w:w="545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Handles IT support tickets, grievances and day-to-day administration.</w:t>
            </w:r>
          </w:p>
        </w:tc>
        <w:tc>
          <w:tcPr>
            <w:tcW w:type="dxa" w:w="207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Platform-wide, support only</w:t>
            </w:r>
          </w:p>
        </w:tc>
      </w:tr>
      <w:tr>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Platform Admin</w:t>
            </w:r>
          </w:p>
        </w:tc>
        <w:tc>
          <w:tcPr>
            <w:tcW w:type="dxa" w:w="545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Owns the whole system: colleges, courses, assessments, question banks, users, configuration and analytics.</w:t>
            </w:r>
          </w:p>
        </w:tc>
        <w:tc>
          <w:tcPr>
            <w:tcW w:type="dxa" w:w="207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Everything</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Roles are not decorative. Access is checked by middleware on every protected route, and record-level scope (for example, "students belonging to this college") is applied inside the query rather than filtered in the browser.</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5.  The student journey, end to end</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This is the spine of the platform. Everything described later in this document exists to serve one of these six steps.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4891"/>
        <w:gridCol w:w="3010"/>
      </w:tblGrid>
      <w:tr>
        <w:trPr>
          <w:tblHeader/>
        </w:trPr>
        <w:tc>
          <w:tcPr>
            <w:tcW w:type="dxa" w:w="150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Step</w:t>
            </w:r>
          </w:p>
        </w:tc>
        <w:tc>
          <w:tcPr>
            <w:tcW w:type="dxa" w:w="489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What happens</w:t>
            </w:r>
          </w:p>
        </w:tc>
        <w:tc>
          <w:tcPr>
            <w:tcW w:type="dxa" w:w="301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What the platform records</w:t>
            </w:r>
          </w:p>
        </w:tc>
      </w:tr>
      <w:tr>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1. Register</w:t>
            </w:r>
          </w:p>
        </w:tc>
        <w:tc>
          <w:tcPr>
            <w:tcW w:type="dxa" w:w="489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Email verification by one-time password, then a guided multi-section profile covering education, projects, work experience, certificates and career goals.</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registration and user record, with documents stored securely</w:t>
            </w:r>
          </w:p>
        </w:tc>
      </w:tr>
      <w:tr>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2. Baseline</w:t>
            </w:r>
          </w:p>
        </w:tc>
        <w:tc>
          <w:tcPr>
            <w:tcW w:type="dxa" w:w="489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proctored 36-question baseline assessment (T1) measures six capability areas. Nothing in the curriculum opens until it is complete.</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baseline result with a score per quotient</w:t>
            </w:r>
          </w:p>
        </w:tc>
      </w:tr>
      <w:tr>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3. Learn</w:t>
            </w:r>
          </w:p>
        </w:tc>
        <w:tc>
          <w:tcPr>
            <w:tcW w:type="dxa" w:w="489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Courses unlock in a fixed order. Each course runs as an eight-step flow, with video, practice, a case study, an assessment, a reflection and notes.</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Per-step progress and an enrolment-level completion percentage</w:t>
            </w:r>
          </w:p>
        </w:tc>
      </w:tr>
      <w:tr>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4. Prove</w:t>
            </w:r>
          </w:p>
        </w:tc>
        <w:tc>
          <w:tcPr>
            <w:tcW w:type="dxa" w:w="489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Stage gate assessments (T2, T3) and a final assessment (T4). Clearing a gate opens the next stage of the curriculum.</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stage result with weighted quotient scores and a band</w:t>
            </w:r>
          </w:p>
        </w:tc>
      </w:tr>
      <w:tr>
        <w:tc>
          <w:tcPr>
            <w:tcW w:type="dxa" w:w="150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5. Build a passport</w:t>
            </w:r>
          </w:p>
        </w:tc>
        <w:tc>
          <w:tcPr>
            <w:tcW w:type="dxa" w:w="489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Quotient scores, badges, streaks, completed courses and certificates collect into one skills passport with a public verification link.</w:t>
            </w:r>
          </w:p>
        </w:tc>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passport record and issued certificates</w:t>
            </w:r>
          </w:p>
        </w:tc>
      </w:tr>
      <w:tr>
        <w:tc>
          <w:tcPr>
            <w:tcW w:type="dxa" w:w="150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6. Get placed</w:t>
            </w:r>
          </w:p>
        </w:tc>
        <w:tc>
          <w:tcPr>
            <w:tcW w:type="dxa" w:w="489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student applies to jobs and job fairs; recruiters screen against the verified profile and move them through the pipeline.</w:t>
            </w:r>
          </w:p>
        </w:tc>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Placement applications with a full status history</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6.  Registration and onboarding</w:t>
      </w:r>
    </w:p>
    <w:p>
      <w:pPr>
        <w:pStyle w:val="Heading2"/>
        <w:keepNext/>
        <w:spacing w:after="120" w:before="320"/>
      </w:pPr>
      <w:r>
        <w:rPr>
          <w:rFonts w:ascii="Calibri" w:cs="Calibri" w:eastAsia="Calibri" w:hAnsi="Calibri"/>
          <w:b/>
          <w:bCs/>
          <w:color w:val="1A3884"/>
          <w:sz w:val="25"/>
          <w:szCs w:val="25"/>
        </w:rPr>
        <w:t xml:space="preserve">6.1  Email verification first</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Registration begins with a name and an email address. The platform generates a six-digit one-time password, stores it with an expiry and an attempt counter, and emails it. The account does not exist until that code is verified, which keeps invalid and duplicate addresses out of the database from the start.</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The code expires after a short window and allows a limited number of attempts.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Verification returns a temporary token that authorises the next step only.</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Login-page media and college branding are configurable, so a partner institution sees its own identity.</w:t>
      </w:r>
    </w:p>
    <w:p>
      <w:pPr>
        <w:pStyle w:val="Heading2"/>
        <w:keepNext/>
        <w:spacing w:after="120" w:before="320"/>
      </w:pPr>
      <w:r>
        <w:rPr>
          <w:rFonts w:ascii="Calibri" w:cs="Calibri" w:eastAsia="Calibri" w:hAnsi="Calibri"/>
          <w:b/>
          <w:bCs/>
          <w:color w:val="1A3884"/>
          <w:sz w:val="25"/>
          <w:szCs w:val="25"/>
        </w:rPr>
        <w:t xml:space="preserve">6.2  The guided profile</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Once the email is verified, the student completes a multi-section profile. Each section is validated on its own, and uploaded documents are stored through the platform's media service rather than in the database.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6396"/>
      </w:tblGrid>
      <w:tr>
        <w:trPr>
          <w:tblHeader/>
        </w:trPr>
        <w:tc>
          <w:tcPr>
            <w:tcW w:type="dxa" w:w="301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Section</w:t>
            </w:r>
          </w:p>
        </w:tc>
        <w:tc>
          <w:tcPr>
            <w:tcW w:type="dxa" w:w="639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What it captures</w:t>
            </w:r>
          </w:p>
        </w:tc>
      </w:tr>
      <w:tr>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Personal details</w:t>
            </w:r>
          </w:p>
        </w:tc>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Name, contact, location, identifiers</w:t>
            </w:r>
          </w:p>
        </w:tc>
      </w:tr>
      <w:tr>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Education</w:t>
            </w:r>
          </w:p>
        </w:tc>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Class 10, Class 12 and higher education, with institution, board or university, and results</w:t>
            </w:r>
          </w:p>
        </w:tc>
      </w:tr>
      <w:tr>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Extra-curricular activity</w:t>
            </w:r>
          </w:p>
        </w:tc>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Positions of responsibility, sport, volunteering and clubs</w:t>
            </w:r>
          </w:p>
        </w:tc>
      </w:tr>
      <w:tr>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Work experience</w:t>
            </w:r>
          </w:p>
        </w:tc>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Internships and employment, with role, duration and description</w:t>
            </w:r>
          </w:p>
        </w:tc>
      </w:tr>
      <w:tr>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Projects</w:t>
            </w:r>
          </w:p>
        </w:tc>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Academic and personal projects, with links and outcomes</w:t>
            </w:r>
          </w:p>
        </w:tc>
      </w:tr>
      <w:tr>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Certificates</w:t>
            </w:r>
          </w:p>
        </w:tc>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External certifications, with uploaded evidence</w:t>
            </w:r>
          </w:p>
        </w:tc>
      </w:tr>
      <w:tr>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Job preferences</w:t>
            </w:r>
          </w:p>
        </w:tc>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Role type, location, expected compensation and availability</w:t>
            </w:r>
          </w:p>
        </w:tc>
      </w:tr>
      <w:tr>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Sector preferences</w:t>
            </w:r>
          </w:p>
        </w:tc>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Industries the student wants to work in</w:t>
            </w:r>
          </w:p>
        </w:tc>
      </w:tr>
      <w:tr>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Career goals</w:t>
            </w:r>
          </w:p>
        </w:tc>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Short-term and long-term intent</w:t>
            </w:r>
          </w:p>
        </w:tc>
      </w:tr>
      <w:tr>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Personal development goals</w:t>
            </w:r>
          </w:p>
        </w:tc>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What the student wants to improve about themselves</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profile is not a formality. It is the input to the AI career coach, the source of the match score used in placement, and the basis of the resume the platform can generate.</w:t>
      </w:r>
    </w:p>
    <w:p>
      <w:pPr>
        <w:pStyle w:val="Heading2"/>
        <w:keepNext/>
        <w:spacing w:after="120" w:before="320"/>
      </w:pPr>
      <w:r>
        <w:rPr>
          <w:rFonts w:ascii="Calibri" w:cs="Calibri" w:eastAsia="Calibri" w:hAnsi="Calibri"/>
          <w:b/>
          <w:bCs/>
          <w:color w:val="1A3884"/>
          <w:sz w:val="25"/>
          <w:szCs w:val="25"/>
        </w:rPr>
        <w:t xml:space="preserve">6.3  Bulk and administrative onboarding</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Students do not have to self-register. A college administrator can onboard students individually or upload them in bulk, attach them to a degree, department and batch, and upload academic results. Recruiter accounts are created by staff and receive their credentials by email; there is no recruiter self-registration.</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7.  Login, sessions and access control</w:t>
      </w:r>
    </w:p>
    <w:p>
      <w:pPr>
        <w:pStyle w:val="Heading2"/>
        <w:keepNext/>
        <w:spacing w:after="120" w:before="320"/>
      </w:pPr>
      <w:r>
        <w:rPr>
          <w:rFonts w:ascii="Calibri" w:cs="Calibri" w:eastAsia="Calibri" w:hAnsi="Calibri"/>
          <w:b/>
          <w:bCs/>
          <w:color w:val="1A3884"/>
          <w:sz w:val="25"/>
          <w:szCs w:val="25"/>
        </w:rPr>
        <w:t xml:space="preserve">7.1  Signing in</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Sign-in is by email and password. Staff and recruiter accounts additionally verify a one-time password sent by email before a session is issued. On success the server issues a signed JSON Web Token carrying the user identifier, the role and a session identifier.</w:t>
      </w:r>
    </w:p>
    <w:p>
      <w:pPr>
        <w:pStyle w:val="Heading2"/>
        <w:keepNext/>
        <w:spacing w:after="120" w:before="320"/>
      </w:pPr>
      <w:r>
        <w:rPr>
          <w:rFonts w:ascii="Calibri" w:cs="Calibri" w:eastAsia="Calibri" w:hAnsi="Calibri"/>
          <w:b/>
          <w:bCs/>
          <w:color w:val="1A3884"/>
          <w:sz w:val="25"/>
          <w:szCs w:val="25"/>
        </w:rPr>
        <w:t xml:space="preserve">7.2  One active session per account</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session identifier inside the token is also written to the user record. Every protected request compares the two. If they differ — because the same account has signed in somewhere else — the request is rejected and the older session is signed out.</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Why this matters</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Shared credentials are the simplest way to defeat a proctored assessment. Enforcing a single active session per account removes that shortcut without inconveniencing an honest user, who only ever has one session anyway.</w:t>
            </w:r>
          </w:p>
        </w:tc>
      </w:tr>
    </w:tbl>
    <w:p>
      <w:pPr>
        <w:spacing w:after="140"/>
      </w:pPr>
    </w:p>
    <w:p>
      <w:pPr>
        <w:pStyle w:val="Heading2"/>
        <w:keepNext/>
        <w:spacing w:after="120" w:before="320"/>
      </w:pPr>
      <w:r>
        <w:rPr>
          <w:rFonts w:ascii="Calibri" w:cs="Calibri" w:eastAsia="Calibri" w:hAnsi="Calibri"/>
          <w:b/>
          <w:bCs/>
          <w:color w:val="1A3884"/>
          <w:sz w:val="25"/>
          <w:szCs w:val="25"/>
        </w:rPr>
        <w:t xml:space="preserve">7.3  Token lifetime and renewal</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The browser checks the token periodically and renews it before expiry, so an active user is never signed out mid-task.</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Signing out clears the stored session on the server and broadcasts the event to other open tabs.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Authentication endpoints are rate-limited separately from the rest of the API to slow down brute-force attempts.</w:t>
      </w:r>
    </w:p>
    <w:p>
      <w:pPr>
        <w:pStyle w:val="Heading2"/>
        <w:keepNext/>
        <w:spacing w:after="120" w:before="320"/>
      </w:pPr>
      <w:r>
        <w:rPr>
          <w:rFonts w:ascii="Calibri" w:cs="Calibri" w:eastAsia="Calibri" w:hAnsi="Calibri"/>
          <w:b/>
          <w:bCs/>
          <w:color w:val="1A3884"/>
          <w:sz w:val="25"/>
          <w:szCs w:val="25"/>
        </w:rPr>
        <w:t xml:space="preserve">7.4  Authorisation</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Authentication answers "who is this?". Authorisation answers "what may they touch?" — and it is applied in two layers.</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Route level: middleware rejects a request whose role is not permitted to call that endpoint at all.</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Record level: the query itself is scoped. A college administrator's request for students is filtered to their college inside the database query, so an altered request cannot widen it.</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8.  The measurement model — seven quotients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platform does not report one flat score. Every assessment question is tagged to a capability area, called a quotient, so a result says which capability is strong and which needs work.</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9"/>
        <w:gridCol w:w="2822"/>
        <w:gridCol w:w="5455"/>
      </w:tblGrid>
      <w:tr>
        <w:trPr>
          <w:tblHeader/>
        </w:trPr>
        <w:tc>
          <w:tcPr>
            <w:tcW w:type="dxa" w:w="112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Code</w:t>
            </w:r>
          </w:p>
        </w:tc>
        <w:tc>
          <w:tcPr>
            <w:tcW w:type="dxa" w:w="282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Quotient</w:t>
            </w:r>
          </w:p>
        </w:tc>
        <w:tc>
          <w:tcPr>
            <w:tcW w:type="dxa" w:w="545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What it measures</w:t>
            </w:r>
          </w:p>
        </w:tc>
      </w:tr>
      <w:tr>
        <w:tc>
          <w:tcPr>
            <w:tcW w:type="dxa" w:w="112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CRQ</w:t>
            </w:r>
          </w:p>
        </w:tc>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Cognitive Reasoning</w:t>
            </w:r>
          </w:p>
        </w:tc>
        <w:tc>
          <w:tcPr>
            <w:tcW w:type="dxa" w:w="545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Critical thinking, logic, analysis and problem solving</w:t>
            </w:r>
          </w:p>
        </w:tc>
      </w:tr>
      <w:tr>
        <w:tc>
          <w:tcPr>
            <w:tcW w:type="dxa" w:w="112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SRQ</w:t>
            </w:r>
          </w:p>
        </w:tc>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Self-Regulation &amp; Drive</w:t>
            </w:r>
          </w:p>
        </w:tc>
        <w:tc>
          <w:tcPr>
            <w:tcW w:type="dxa" w:w="545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Motivation, resilience, discipline and emotional control</w:t>
            </w:r>
          </w:p>
        </w:tc>
      </w:tr>
      <w:tr>
        <w:tc>
          <w:tcPr>
            <w:tcW w:type="dxa" w:w="112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LQ</w:t>
            </w:r>
          </w:p>
        </w:tc>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Learning Agility</w:t>
            </w:r>
          </w:p>
        </w:tc>
        <w:tc>
          <w:tcPr>
            <w:tcW w:type="dxa" w:w="545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Adaptability and the habit of continuous learning</w:t>
            </w:r>
          </w:p>
        </w:tc>
      </w:tr>
      <w:tr>
        <w:tc>
          <w:tcPr>
            <w:tcW w:type="dxa" w:w="112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SIQ</w:t>
            </w:r>
          </w:p>
        </w:tc>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Social Interaction</w:t>
            </w:r>
          </w:p>
        </w:tc>
        <w:tc>
          <w:tcPr>
            <w:tcW w:type="dxa" w:w="545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Collaboration, empathy and communication</w:t>
            </w:r>
          </w:p>
        </w:tc>
      </w:tr>
      <w:tr>
        <w:tc>
          <w:tcPr>
            <w:tcW w:type="dxa" w:w="112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PEQ</w:t>
            </w:r>
          </w:p>
        </w:tc>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Professional Execution</w:t>
            </w:r>
          </w:p>
        </w:tc>
        <w:tc>
          <w:tcPr>
            <w:tcW w:type="dxa" w:w="545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Work ethic, reliability and consistent delivery</w:t>
            </w:r>
          </w:p>
        </w:tc>
      </w:tr>
      <w:tr>
        <w:tc>
          <w:tcPr>
            <w:tcW w:type="dxa" w:w="112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DAQ</w:t>
            </w:r>
          </w:p>
        </w:tc>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Digital &amp; AI Literacy</w:t>
            </w:r>
          </w:p>
        </w:tc>
        <w:tc>
          <w:tcPr>
            <w:tcW w:type="dxa" w:w="545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Technology proficiency and readiness to work with AI</w:t>
            </w:r>
          </w:p>
        </w:tc>
      </w:tr>
      <w:tr>
        <w:tc>
          <w:tcPr>
            <w:tcW w:type="dxa" w:w="112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SEQ</w:t>
            </w:r>
          </w:p>
        </w:tc>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Social &amp; Emotional</w:t>
            </w:r>
          </w:p>
        </w:tc>
        <w:tc>
          <w:tcPr>
            <w:tcW w:type="dxa" w:w="545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Emotional intelligence and social awareness</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Six quotients are measured from the first day. SEQ is introduced at the final assessment, once the student has enough platform history for the measurement to be meaningful. Specialist tracks add their own dimensions — PIQ, AIQ and SQ — on top of the core seven.</w:t>
      </w:r>
    </w:p>
    <w:p>
      <w:pPr>
        <w:pStyle w:val="Heading2"/>
        <w:keepNext/>
        <w:spacing w:after="120" w:before="320"/>
      </w:pPr>
      <w:r>
        <w:rPr>
          <w:rFonts w:ascii="Calibri" w:cs="Calibri" w:eastAsia="Calibri" w:hAnsi="Calibri"/>
          <w:b/>
          <w:bCs/>
          <w:color w:val="1A3884"/>
          <w:sz w:val="25"/>
          <w:szCs w:val="25"/>
        </w:rPr>
        <w:t xml:space="preserve">8.1  How a quotient score is produced</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Each question in the bank is tagged with a quotient and a difficulty of easy, medium or hard.</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An assessment paper is assembled by stratified sampling: a defined number of questions from each quotient at each difficulty level.</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Responses are scored per question and bucketed into their quotient.</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Stage-specific weights are applied, so the same quotient can matter more at one stage than another.</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The weighted result is converted into a level band, from Emerging through Developing, Progressing and Strong to Advanced.</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9.  The assessment system</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Assessments are authored in the admin panel and delivered, graded and proctored by the student dashboard. They are the mechanism that makes progression mean something.</w:t>
      </w:r>
    </w:p>
    <w:p>
      <w:pPr>
        <w:pStyle w:val="Heading2"/>
        <w:keepNext/>
        <w:spacing w:after="120" w:before="320"/>
      </w:pPr>
      <w:r>
        <w:rPr>
          <w:rFonts w:ascii="Calibri" w:cs="Calibri" w:eastAsia="Calibri" w:hAnsi="Calibri"/>
          <w:b/>
          <w:bCs/>
          <w:color w:val="1A3884"/>
          <w:sz w:val="25"/>
          <w:szCs w:val="25"/>
        </w:rPr>
        <w:t xml:space="preserve">9.1  The assessment ladder</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9"/>
        <w:gridCol w:w="2822"/>
        <w:gridCol w:w="4515"/>
      </w:tblGrid>
      <w:tr>
        <w:trPr>
          <w:tblHeader/>
        </w:trPr>
        <w:tc>
          <w:tcPr>
            <w:tcW w:type="dxa" w:w="206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Stage</w:t>
            </w:r>
          </w:p>
        </w:tc>
        <w:tc>
          <w:tcPr>
            <w:tcW w:type="dxa" w:w="282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Role</w:t>
            </w:r>
          </w:p>
        </w:tc>
        <w:tc>
          <w:tcPr>
            <w:tcW w:type="dxa" w:w="451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Notes</w:t>
            </w:r>
          </w:p>
        </w:tc>
      </w:tr>
      <w:tr>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T1 — Baseline</w:t>
            </w:r>
          </w:p>
        </w:tc>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Taken before anything unlocks</w:t>
            </w:r>
          </w:p>
        </w:tc>
        <w:tc>
          <w:tcPr>
            <w:tcW w:type="dxa" w:w="451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36 questions, stratified across six quotients and three difficulty levels. Produces the student's starting profile.</w:t>
            </w:r>
          </w:p>
        </w:tc>
      </w:tr>
      <w:tr>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T2 — Stage 1 gate</w:t>
            </w:r>
          </w:p>
        </w:tc>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Cleared after the Capacity courses</w:t>
            </w:r>
          </w:p>
        </w:tc>
        <w:tc>
          <w:tcPr>
            <w:tcW w:type="dxa" w:w="451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Opens Stage 2, Capability. Weighted towards CRQ, SRQ, LQ and DAQ.</w:t>
            </w:r>
          </w:p>
        </w:tc>
      </w:tr>
      <w:tr>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T3 — Stage 2 gate</w:t>
            </w:r>
          </w:p>
        </w:tc>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Cleared after the Capability courses</w:t>
            </w:r>
          </w:p>
        </w:tc>
        <w:tc>
          <w:tcPr>
            <w:tcW w:type="dxa" w:w="451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Opens Stage 3, Leadership. Weighted towards LQ, SIQ, PEQ and DAQ.</w:t>
            </w:r>
          </w:p>
        </w:tc>
      </w:tr>
      <w:tr>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T4 — Final</w:t>
            </w:r>
          </w:p>
        </w:tc>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Taken at the end of the core path</w:t>
            </w:r>
          </w:p>
        </w:tc>
        <w:tc>
          <w:tcPr>
            <w:tcW w:type="dxa" w:w="451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full seven-quotient measure, including SEQ. Feeds the skills passport.</w:t>
            </w:r>
          </w:p>
        </w:tc>
      </w:tr>
    </w:tbl>
    <w:p>
      <w:pPr>
        <w:pStyle w:val="Heading2"/>
        <w:keepNext/>
        <w:spacing w:after="120" w:before="320"/>
      </w:pPr>
      <w:r>
        <w:rPr>
          <w:rFonts w:ascii="Calibri" w:cs="Calibri" w:eastAsia="Calibri" w:hAnsi="Calibri"/>
          <w:b/>
          <w:bCs/>
          <w:color w:val="1A3884"/>
          <w:sz w:val="25"/>
          <w:szCs w:val="25"/>
        </w:rPr>
        <w:t xml:space="preserve">9.2  Other kinds of assessment</w:t>
      </w:r>
    </w:p>
    <w:p>
      <w:pPr>
        <w:pStyle w:val="ListParagraph"/>
        <w:numPr>
          <w:ilvl w:val="0"/>
          <w:numId w:val="2"/>
        </w:numPr>
        <w:spacing w:after="90" w:line="276"/>
      </w:pPr>
      <w:r>
        <w:rPr>
          <w:rFonts w:ascii="Calibri" w:cs="Calibri" w:eastAsia="Calibri" w:hAnsi="Calibri"/>
          <w:b/>
          <w:bCs/>
          <w:i w:val="false"/>
          <w:iCs w:val="false"/>
          <w:caps w:val="false"/>
          <w:color w:val="0F172A"/>
          <w:sz w:val="21"/>
          <w:szCs w:val="21"/>
        </w:rPr>
        <w:t xml:space="preserve">Course assessments. </w:t>
      </w:r>
      <w:r>
        <w:rPr>
          <w:rFonts w:ascii="Calibri" w:cs="Calibri" w:eastAsia="Calibri" w:hAnsi="Calibri"/>
          <w:b w:val="false"/>
          <w:bCs w:val="false"/>
          <w:i w:val="false"/>
          <w:iCs w:val="false"/>
          <w:caps w:val="false"/>
          <w:color w:val="2B3A4E"/>
          <w:sz w:val="21"/>
          <w:szCs w:val="21"/>
        </w:rPr>
        <w:t xml:space="preserve">Attached to a specific course and weighted across multiple choice, fill-in-the-blank and situational judgement questions.</w:t>
      </w:r>
    </w:p>
    <w:p>
      <w:pPr>
        <w:pStyle w:val="ListParagraph"/>
        <w:numPr>
          <w:ilvl w:val="0"/>
          <w:numId w:val="2"/>
        </w:numPr>
        <w:spacing w:after="90" w:line="276"/>
      </w:pPr>
      <w:r>
        <w:rPr>
          <w:rFonts w:ascii="Calibri" w:cs="Calibri" w:eastAsia="Calibri" w:hAnsi="Calibri"/>
          <w:b/>
          <w:bCs/>
          <w:i w:val="false"/>
          <w:iCs w:val="false"/>
          <w:caps w:val="false"/>
          <w:color w:val="0F172A"/>
          <w:sz w:val="21"/>
          <w:szCs w:val="21"/>
        </w:rPr>
        <w:t xml:space="preserve">Skill assessments. </w:t>
      </w:r>
      <w:r>
        <w:rPr>
          <w:rFonts w:ascii="Calibri" w:cs="Calibri" w:eastAsia="Calibri" w:hAnsi="Calibri"/>
          <w:b w:val="false"/>
          <w:bCs w:val="false"/>
          <w:i w:val="false"/>
          <w:iCs w:val="false"/>
          <w:caps w:val="false"/>
          <w:color w:val="2B3A4E"/>
          <w:sz w:val="21"/>
          <w:szCs w:val="21"/>
        </w:rPr>
        <w:t xml:space="preserve">Role-oriented evaluations built around distinct capability engines — knowledge, coding, data, writing, tool use and judgement — each with its own identifier.</w:t>
      </w:r>
    </w:p>
    <w:p>
      <w:pPr>
        <w:pStyle w:val="ListParagraph"/>
        <w:numPr>
          <w:ilvl w:val="0"/>
          <w:numId w:val="2"/>
        </w:numPr>
        <w:spacing w:after="90" w:line="276"/>
      </w:pPr>
      <w:r>
        <w:rPr>
          <w:rFonts w:ascii="Calibri" w:cs="Calibri" w:eastAsia="Calibri" w:hAnsi="Calibri"/>
          <w:b/>
          <w:bCs/>
          <w:i w:val="false"/>
          <w:iCs w:val="false"/>
          <w:caps w:val="false"/>
          <w:color w:val="0F172A"/>
          <w:sz w:val="21"/>
          <w:szCs w:val="21"/>
        </w:rPr>
        <w:t xml:space="preserve">Micro-assessments. </w:t>
      </w:r>
      <w:r>
        <w:rPr>
          <w:rFonts w:ascii="Calibri" w:cs="Calibri" w:eastAsia="Calibri" w:hAnsi="Calibri"/>
          <w:b w:val="false"/>
          <w:bCs w:val="false"/>
          <w:i w:val="false"/>
          <w:iCs w:val="false"/>
          <w:caps w:val="false"/>
          <w:color w:val="2B3A4E"/>
          <w:sz w:val="21"/>
          <w:szCs w:val="21"/>
        </w:rPr>
        <w:t xml:space="preserve">Short practice quizzes graded in the browser for immediate feedback. They are practice, and are deliberately not written into the formal results pipeline.</w:t>
      </w:r>
    </w:p>
    <w:p>
      <w:pPr>
        <w:pStyle w:val="Heading2"/>
        <w:keepNext/>
        <w:spacing w:after="120" w:before="320"/>
      </w:pPr>
      <w:r>
        <w:rPr>
          <w:rFonts w:ascii="Calibri" w:cs="Calibri" w:eastAsia="Calibri" w:hAnsi="Calibri"/>
          <w:b/>
          <w:bCs/>
          <w:color w:val="1A3884"/>
          <w:sz w:val="25"/>
          <w:szCs w:val="25"/>
        </w:rPr>
        <w:t xml:space="preserve">9.3  The attempt lifecycle</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The student opens a stage. The server checks eligibility, then either resumes an attempt already in progress or creates a new one.</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For a new attempt the server assembles the paper by stratified sampling and shuffles it deterministically for that student, so no two candidates see the same order.</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Answers are saved as the student works, so a dropped connection does not lose the attempt.</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On submission the server grades the paper, buckets scores by quotient, applies the stage weighting, assigns a band, and writes the stage result.</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The proctoring record for the session is evaluated once, at this point, and the attempt is marked verified or unverified.</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The student is notified, the result becomes visible in their dashboard, and it flows into college and platform analytics.</w:t>
      </w:r>
    </w:p>
    <w:p>
      <w:pPr>
        <w:pStyle w:val="Heading2"/>
        <w:keepNext/>
        <w:spacing w:after="120" w:before="320"/>
      </w:pPr>
      <w:r>
        <w:rPr>
          <w:rFonts w:ascii="Calibri" w:cs="Calibri" w:eastAsia="Calibri" w:hAnsi="Calibri"/>
          <w:b/>
          <w:bCs/>
          <w:color w:val="1A3884"/>
          <w:sz w:val="25"/>
          <w:szCs w:val="25"/>
        </w:rPr>
        <w:t xml:space="preserve">9.4  Authoring an assessment</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An administrator builds an assessment in the admin panel: question type, quotient tag, difficulty, options, correct answers and partial-credit scores for situational judgement items. Questions can be drawn from a managed question bank rather than retyped. Publishing makes the assessment available to the delivery side immediately.</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10.  AI proctoring</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 gated curriculum is only as credible as the assessments that gate it. The platform runs its own proctoring engine in the browser during an attempt and evaluates the whole session on the server at submission.</w:t>
      </w:r>
    </w:p>
    <w:p>
      <w:pPr>
        <w:pStyle w:val="Heading2"/>
        <w:keepNext/>
        <w:spacing w:after="120" w:before="320"/>
      </w:pPr>
      <w:r>
        <w:rPr>
          <w:rFonts w:ascii="Calibri" w:cs="Calibri" w:eastAsia="Calibri" w:hAnsi="Calibri"/>
          <w:b/>
          <w:bCs/>
          <w:color w:val="1A3884"/>
          <w:sz w:val="25"/>
          <w:szCs w:val="25"/>
        </w:rPr>
        <w:t xml:space="preserve">10.1  What is observed</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Camera presence and face visibility during the attempt.</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Window and focus events — switching tabs, minimising, leaving full screen.</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Extended inactivity.</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 regular heartbeat from the browser. A gap in the heartbeat is recorded as a violation the candidate cannot suppress, because an absence cannot be forged.</w:t>
      </w:r>
    </w:p>
    <w:p>
      <w:pPr>
        <w:pStyle w:val="Heading2"/>
        <w:keepNext/>
        <w:spacing w:after="120" w:before="320"/>
      </w:pPr>
      <w:r>
        <w:rPr>
          <w:rFonts w:ascii="Calibri" w:cs="Calibri" w:eastAsia="Calibri" w:hAnsi="Calibri"/>
          <w:b/>
          <w:bCs/>
          <w:color w:val="1A3884"/>
          <w:sz w:val="25"/>
          <w:szCs w:val="25"/>
        </w:rPr>
        <w:t xml:space="preserve">10.2  How it decides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Events are not simply counted. Each event type carries a risk weight, and the session accumulates a risk score. Informational events are weighted at zero by design and are kept for context rather than judgement.</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The design decision worth understanding</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An earlier version blocked a candidate mid-examination after three warnings. That punished the honest majority for a swivelling chair, and it judged isolated seconds instead of the whole session: twelve short glances away read very differently from one four-minute absence, and only an end-of-session view can tell them apart.</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Flags now accumulate quietly, the candidate finishes uninterrupted, and the server makes one decision at submission. The behaviour is controlled by a single policy file, so the number that flags a session can never drift from the number that decides its outcome.</w:t>
            </w:r>
          </w:p>
        </w:tc>
      </w:tr>
    </w:tbl>
    <w:p>
      <w:pPr>
        <w:spacing w:after="140"/>
      </w:pPr>
    </w:p>
    <w:p>
      <w:pPr>
        <w:pStyle w:val="Heading2"/>
        <w:keepNext/>
        <w:spacing w:after="120" w:before="320"/>
      </w:pPr>
      <w:r>
        <w:rPr>
          <w:rFonts w:ascii="Calibri" w:cs="Calibri" w:eastAsia="Calibri" w:hAnsi="Calibri"/>
          <w:b/>
          <w:bCs/>
          <w:color w:val="1A3884"/>
          <w:sz w:val="25"/>
          <w:szCs w:val="25"/>
        </w:rPr>
        <w:t xml:space="preserve">10.3  What happens to a flagged attempt</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An attempt over the risk threshold is marked unverified rather than deleted. The work is kept; the certification is withheld.</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The student may re-sit a limited number of times. Each re-sit draws a different question set, so a retry never hands the same paper back.</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Beyond that limit it stops being self-service and becomes a support ticket, so a genuine technical problem reaches a human.</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Administrators review proctoring sessions and events from a dedicated view in the admin panel.</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11.  The learning architecture</w:t>
      </w:r>
    </w:p>
    <w:p>
      <w:pPr>
        <w:pStyle w:val="Heading2"/>
        <w:keepNext/>
        <w:spacing w:after="120" w:before="320"/>
      </w:pPr>
      <w:r>
        <w:rPr>
          <w:rFonts w:ascii="Calibri" w:cs="Calibri" w:eastAsia="Calibri" w:hAnsi="Calibri"/>
          <w:b/>
          <w:bCs/>
          <w:color w:val="1A3884"/>
          <w:sz w:val="25"/>
          <w:szCs w:val="25"/>
        </w:rPr>
        <w:t xml:space="preserve">11.1  Three stages and four tracks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core curriculum is a fixed, ordered path of twenty-five courses in three stages. Four specialist tracks run alongside it and unlock at defined points in the core path.</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2257"/>
        <w:gridCol w:w="4515"/>
      </w:tblGrid>
      <w:tr>
        <w:trPr>
          <w:tblHeader/>
        </w:trPr>
        <w:tc>
          <w:tcPr>
            <w:tcW w:type="dxa" w:w="263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Stage or track</w:t>
            </w:r>
          </w:p>
        </w:tc>
        <w:tc>
          <w:tcPr>
            <w:tcW w:type="dxa" w:w="225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Courses</w:t>
            </w:r>
          </w:p>
        </w:tc>
        <w:tc>
          <w:tcPr>
            <w:tcW w:type="dxa" w:w="451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Opens</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Stage 1 — Capacity</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10 courses (S01–S10)</w:t>
            </w:r>
          </w:p>
        </w:tc>
        <w:tc>
          <w:tcPr>
            <w:tcW w:type="dxa" w:w="451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From day one, once the baseline is complete</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Stage 2 — Capability</w:t>
            </w:r>
          </w:p>
        </w:tc>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9 courses (S11–S19)</w:t>
            </w:r>
          </w:p>
        </w:tc>
        <w:tc>
          <w:tcPr>
            <w:tcW w:type="dxa" w:w="451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After Stage 1 and the T2 gate</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Stage 3 — Leadership</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6 courses (S20–S25)</w:t>
            </w:r>
          </w:p>
        </w:tc>
        <w:tc>
          <w:tcPr>
            <w:tcW w:type="dxa" w:w="451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After Stage 2 and the T3 gate</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PIQ track</w:t>
            </w:r>
          </w:p>
        </w:tc>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 courses</w:t>
            </w:r>
          </w:p>
        </w:tc>
        <w:tc>
          <w:tcPr>
            <w:tcW w:type="dxa" w:w="451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Part-way through Stage 1</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AIQ track</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 courses</w:t>
            </w:r>
          </w:p>
        </w:tc>
        <w:tc>
          <w:tcPr>
            <w:tcW w:type="dxa" w:w="451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Part-way through Stage 2</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SQ track</w:t>
            </w:r>
          </w:p>
        </w:tc>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 courses</w:t>
            </w:r>
          </w:p>
        </w:tc>
        <w:tc>
          <w:tcPr>
            <w:tcW w:type="dxa" w:w="451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Part-way through Stage 3</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English for Work</w:t>
            </w:r>
          </w:p>
        </w:tc>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5 courses</w:t>
            </w:r>
          </w:p>
        </w:tc>
        <w:tc>
          <w:tcPr>
            <w:tcW w:type="dxa" w:w="451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Early in Stage 1 — delivered through the British Council partner portal</w:t>
            </w:r>
          </w:p>
        </w:tc>
      </w:tr>
    </w:tbl>
    <w:p>
      <w:pPr>
        <w:pStyle w:val="Heading2"/>
        <w:keepNext/>
        <w:spacing w:after="120" w:before="320"/>
      </w:pPr>
      <w:r>
        <w:rPr>
          <w:rFonts w:ascii="Calibri" w:cs="Calibri" w:eastAsia="Calibri" w:hAnsi="Calibri"/>
          <w:b/>
          <w:bCs/>
          <w:color w:val="1A3884"/>
          <w:sz w:val="25"/>
          <w:szCs w:val="25"/>
        </w:rPr>
        <w:t xml:space="preserve">11.2  Sequential unlocking</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 course opens only when the one before it is complete, and a stage opens only when its gate assessment is cleared. The rule is expressed once as curriculum configuration and applied in two places: in the interface, so the student sees an honest roadmap, and again on the server, so the gate cannot be bypassed by calling the API directly.</w:t>
      </w:r>
    </w:p>
    <w:p>
      <w:pPr>
        <w:pStyle w:val="Heading2"/>
        <w:keepNext/>
        <w:spacing w:after="120" w:before="320"/>
      </w:pPr>
      <w:r>
        <w:rPr>
          <w:rFonts w:ascii="Calibri" w:cs="Calibri" w:eastAsia="Calibri" w:hAnsi="Calibri"/>
          <w:b/>
          <w:bCs/>
          <w:color w:val="1A3884"/>
          <w:sz w:val="25"/>
          <w:szCs w:val="25"/>
        </w:rPr>
        <w:t xml:space="preserve">11.3  The eight-step learning flow</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Every course runs the same shape. Consistency here is deliberate — a student learns the format once and then never has to work out how a course is structured again.</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6772"/>
      </w:tblGrid>
      <w:tr>
        <w:trPr>
          <w:tblHeader/>
        </w:trPr>
        <w:tc>
          <w:tcPr>
            <w:tcW w:type="dxa" w:w="263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Step</w:t>
            </w:r>
          </w:p>
        </w:tc>
        <w:tc>
          <w:tcPr>
            <w:tcW w:type="dxa" w:w="677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Purpose</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 — Why it matters</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Frames the problem the course solves before any content appears</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 — Concept</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core reading, in short sections</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 — Video</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Guided explanation, with viewing progress tracked</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 — Practice</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Applied exercises and multiple-choice practice</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 — Case study</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concept in a realistic situation</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F — Assessment</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graded course assessment</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G — Reflection</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written reflection the student keeps</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H — Notes</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Flashcards, summaries and downloadable material</w:t>
            </w:r>
          </w:p>
        </w:tc>
      </w:tr>
    </w:tbl>
    <w:p>
      <w:pPr>
        <w:pStyle w:val="Heading2"/>
        <w:keepNext/>
        <w:spacing w:after="120" w:before="320"/>
      </w:pPr>
      <w:r>
        <w:rPr>
          <w:rFonts w:ascii="Calibri" w:cs="Calibri" w:eastAsia="Calibri" w:hAnsi="Calibri"/>
          <w:b/>
          <w:bCs/>
          <w:color w:val="1A3884"/>
          <w:sz w:val="25"/>
          <w:szCs w:val="25"/>
        </w:rPr>
        <w:t xml:space="preserve">11.4  How progress is calculated</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Per-step state is recorded as the student moves through the player, including video watch progress and task results.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At enrolment level the platform counts completed days or steps and derives a completion percentage on the server, so the number cannot be inflated from the browser.</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An enrolment moves automatically from enrolled to in progress to completed, and completion triggers badge checks and notifications.</w:t>
      </w:r>
    </w:p>
    <w:p>
      <w:pPr>
        <w:pStyle w:val="Heading2"/>
        <w:keepNext/>
        <w:spacing w:after="120" w:before="320"/>
      </w:pPr>
      <w:r>
        <w:rPr>
          <w:rFonts w:ascii="Calibri" w:cs="Calibri" w:eastAsia="Calibri" w:hAnsi="Calibri"/>
          <w:b/>
          <w:bCs/>
          <w:color w:val="1A3884"/>
          <w:sz w:val="25"/>
          <w:szCs w:val="25"/>
        </w:rPr>
        <w:t xml:space="preserve">11.5  Authoring a course</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Courses are created in the admin panel: metadata and banner, then the eight-step learning flow, then the weighted course assessment. A course is only visible to students when its status is set to active, so work in progress is never exposed.</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12.  Progress, motivation and recognition</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 student who quietly stops logging in is the real failure mode of any learning platform. These systems exist to notice that early and to make continuing feel worthwhile.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6772"/>
      </w:tblGrid>
      <w:tr>
        <w:trPr>
          <w:tblHeader/>
        </w:trPr>
        <w:tc>
          <w:tcPr>
            <w:tcW w:type="dxa" w:w="263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System</w:t>
            </w:r>
          </w:p>
        </w:tc>
        <w:tc>
          <w:tcPr>
            <w:tcW w:type="dxa" w:w="677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How it works</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Badges</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Awarded automatically when criteria are met, across learning, consistency, community and assessment categories, at bronze, silver and gold tiers.</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Experience and levels</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Each badge carries experience points; accumulated points move the student up through levels, with an on-screen celebration.</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Streaks</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Consecutive-day activity is tracked and rewarded, which is the single strongest predictor of completion.</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Vision boards</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visual goal board the student builds themselves, with an active board surfaced on the dashboard.</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To-do tracker and notes</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Lightweight personal planning kept inside the platform rather than in another application.</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Escalations</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Where the automated encouragement is not working, a red flag is raised so a coach can intervene personally.</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13.  The skills passport and verification</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skills passport is the platform's output. It collects the student's quotient scores, completed courses, badges, streak history and issued certificates into one document that represents what they can actually do.</w:t>
      </w:r>
    </w:p>
    <w:p>
      <w:pPr>
        <w:pStyle w:val="Heading2"/>
        <w:keepNext/>
        <w:spacing w:after="120" w:before="320"/>
      </w:pPr>
      <w:r>
        <w:rPr>
          <w:rFonts w:ascii="Calibri" w:cs="Calibri" w:eastAsia="Calibri" w:hAnsi="Calibri"/>
          <w:b/>
          <w:bCs/>
          <w:color w:val="1A3884"/>
          <w:sz w:val="25"/>
          <w:szCs w:val="25"/>
        </w:rPr>
        <w:t xml:space="preserve">13.1  Verification without an account</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Everything the platform issues carries a public verification link. A recruiter, a parent or an employer can open that link, with no account and no login, and see whether the credential is genuine and who it belongs to.</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Certificates are verified at a public certificate address.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Badges are verified at a public badge address.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 skills passport can be shared and checked at a public passport address.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 generated resume carries its own verification link, so the document and the record behind it stay connected.</w:t>
      </w:r>
    </w:p>
    <w:p>
      <w:pPr>
        <w:spacing w:after="6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Why verification is a feature, not a detail</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The value of a measured, proctored assessment disappears the moment the result becomes an unverifiable PDF. Public verification is what turns a platform score into something an employer can rely on.</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14.  Placement and recruitment</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Placement is not a separate product bolted on at the end. It reads the same student record that the learning side has been writing all along.</w:t>
      </w:r>
    </w:p>
    <w:p>
      <w:pPr>
        <w:pStyle w:val="Heading2"/>
        <w:keepNext/>
        <w:spacing w:after="120" w:before="320"/>
      </w:pPr>
      <w:r>
        <w:rPr>
          <w:rFonts w:ascii="Calibri" w:cs="Calibri" w:eastAsia="Calibri" w:hAnsi="Calibri"/>
          <w:b/>
          <w:bCs/>
          <w:color w:val="1A3884"/>
          <w:sz w:val="25"/>
          <w:szCs w:val="25"/>
        </w:rPr>
        <w:t xml:space="preserve">14.1  The two job systems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platform supports both a college-run placement office and platform-wide hiring, and both feed the same application pipeline.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3"/>
        <w:gridCol w:w="3856"/>
        <w:gridCol w:w="3857"/>
      </w:tblGrid>
      <w:tr>
        <w:trPr>
          <w:tblHeader/>
        </w:trPr>
        <w:tc>
          <w:tcPr>
            <w:tcW w:type="dxa" w:w="1693"/>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
            </w:r>
          </w:p>
        </w:tc>
        <w:tc>
          <w:tcPr>
            <w:tcW w:type="dxa" w:w="385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College placement office</w:t>
            </w:r>
          </w:p>
        </w:tc>
        <w:tc>
          <w:tcPr>
            <w:tcW w:type="dxa" w:w="385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Platform-wide (SMAART) jobs</w:t>
            </w:r>
          </w:p>
        </w:tc>
      </w:tr>
      <w:tr>
        <w:tc>
          <w:tcPr>
            <w:tcW w:type="dxa" w:w="169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Who runs it</w:t>
            </w:r>
          </w:p>
        </w:tc>
        <w:tc>
          <w:tcPr>
            <w:tcW w:type="dxa" w:w="385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college administrator or a recruiter attached to that college</w:t>
            </w:r>
          </w:p>
        </w:tc>
        <w:tc>
          <w:tcPr>
            <w:tcW w:type="dxa" w:w="38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platform administrator or a platform-wide recruiter</w:t>
            </w:r>
          </w:p>
        </w:tc>
      </w:tr>
      <w:tr>
        <w:tc>
          <w:tcPr>
            <w:tcW w:type="dxa" w:w="169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Job reaches</w:t>
            </w:r>
          </w:p>
        </w:tc>
        <w:tc>
          <w:tcPr>
            <w:tcW w:type="dxa" w:w="385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That college only</w:t>
            </w:r>
          </w:p>
        </w:tc>
        <w:tc>
          <w:tcPr>
            <w:tcW w:type="dxa" w:w="38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Selected colleges, or every college</w:t>
            </w:r>
          </w:p>
        </w:tc>
      </w:tr>
      <w:tr>
        <w:tc>
          <w:tcPr>
            <w:tcW w:type="dxa" w:w="169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Typical use</w:t>
            </w:r>
          </w:p>
        </w:tc>
        <w:tc>
          <w:tcPr>
            <w:tcW w:type="dxa" w:w="385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campus drive with a known employer</w:t>
            </w:r>
          </w:p>
        </w:tc>
        <w:tc>
          <w:tcPr>
            <w:tcW w:type="dxa" w:w="38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An open role advertised across the network</w:t>
            </w:r>
          </w:p>
        </w:tc>
      </w:tr>
      <w:tr>
        <w:tc>
          <w:tcPr>
            <w:tcW w:type="dxa" w:w="169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Applications</w:t>
            </w:r>
          </w:p>
        </w:tc>
        <w:tc>
          <w:tcPr>
            <w:tcW w:type="dxa" w:w="385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Written to the shared placement pipeline</w:t>
            </w:r>
          </w:p>
        </w:tc>
        <w:tc>
          <w:tcPr>
            <w:tcW w:type="dxa" w:w="38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Written to the same shared pipeline</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 separate company directory lets a college keep its own record of employer contacts. It is a directory, not a login: it holds relationships, not accounts.</w:t>
      </w:r>
    </w:p>
    <w:p>
      <w:pPr>
        <w:pStyle w:val="Heading2"/>
        <w:keepNext/>
        <w:spacing w:after="120" w:before="320"/>
      </w:pPr>
      <w:r>
        <w:rPr>
          <w:rFonts w:ascii="Calibri" w:cs="Calibri" w:eastAsia="Calibri" w:hAnsi="Calibri"/>
          <w:b/>
          <w:bCs/>
          <w:color w:val="1A3884"/>
          <w:sz w:val="25"/>
          <w:szCs w:val="25"/>
        </w:rPr>
        <w:t xml:space="preserve">14.2  The application pipeline</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Every application, whichever system it came from, moves through one status sequence, and every transition is recorded.</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6772"/>
      </w:tblGrid>
      <w:tr>
        <w:trPr>
          <w:tblHeader/>
        </w:trPr>
        <w:tc>
          <w:tcPr>
            <w:tcW w:type="dxa" w:w="263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Status</w:t>
            </w:r>
          </w:p>
        </w:tc>
        <w:tc>
          <w:tcPr>
            <w:tcW w:type="dxa" w:w="677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Meaning</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Applied</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student has been entered for the role</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Under review</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recruiter or placement office is screening</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Shortlisted</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Selected for interview — the student and the college are notified</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Interviewing</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Interview scheduled or in progress</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Selected / Offered</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An offer has been made</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Placed</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offer is accepted and the placement is recorded</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Hold / Rejected / Declined</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alternative outcomes, each recorded rather than silently dropped</w:t>
            </w:r>
          </w:p>
        </w:tc>
      </w:tr>
    </w:tbl>
    <w:p>
      <w:pPr>
        <w:pStyle w:val="Heading2"/>
        <w:keepNext/>
        <w:spacing w:after="120" w:before="320"/>
      </w:pPr>
      <w:r>
        <w:rPr>
          <w:rFonts w:ascii="Calibri" w:cs="Calibri" w:eastAsia="Calibri" w:hAnsi="Calibri"/>
          <w:b/>
          <w:bCs/>
          <w:color w:val="1A3884"/>
          <w:sz w:val="25"/>
          <w:szCs w:val="25"/>
        </w:rPr>
        <w:t xml:space="preserve">14.3  Job fairs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Job fairs are run as first-class events, with participating employers, a digital pass for each attending student, a floor map and per-employer application tracking. The physical event and the digital record stay in step.</w:t>
      </w:r>
    </w:p>
    <w:p>
      <w:pPr>
        <w:pStyle w:val="Heading2"/>
        <w:keepNext/>
        <w:spacing w:after="120" w:before="320"/>
      </w:pPr>
      <w:r>
        <w:rPr>
          <w:rFonts w:ascii="Calibri" w:cs="Calibri" w:eastAsia="Calibri" w:hAnsi="Calibri"/>
          <w:b/>
          <w:bCs/>
          <w:color w:val="1A3884"/>
          <w:sz w:val="25"/>
          <w:szCs w:val="25"/>
        </w:rPr>
        <w:t xml:space="preserve">14.4  What each participant sees</w:t>
      </w:r>
    </w:p>
    <w:p>
      <w:pPr>
        <w:pStyle w:val="ListParagraph"/>
        <w:numPr>
          <w:ilvl w:val="0"/>
          <w:numId w:val="2"/>
        </w:numPr>
        <w:spacing w:after="90" w:line="276"/>
      </w:pPr>
      <w:r>
        <w:rPr>
          <w:rFonts w:ascii="Calibri" w:cs="Calibri" w:eastAsia="Calibri" w:hAnsi="Calibri"/>
          <w:b/>
          <w:bCs/>
          <w:i w:val="false"/>
          <w:iCs w:val="false"/>
          <w:caps w:val="false"/>
          <w:color w:val="0F172A"/>
          <w:sz w:val="21"/>
          <w:szCs w:val="21"/>
        </w:rPr>
        <w:t xml:space="preserve">The recruiter: </w:t>
      </w:r>
      <w:r>
        <w:rPr>
          <w:rFonts w:ascii="Calibri" w:cs="Calibri" w:eastAsia="Calibri" w:hAnsi="Calibri"/>
          <w:b w:val="false"/>
          <w:bCs w:val="false"/>
          <w:i w:val="false"/>
          <w:iCs w:val="false"/>
          <w:caps w:val="false"/>
          <w:color w:val="2B3A4E"/>
          <w:sz w:val="21"/>
          <w:szCs w:val="21"/>
        </w:rPr>
        <w:t xml:space="preserve">their jobs, their applicants ranked by match score, and the pipeline they control, in either a list or a grid view.</w:t>
      </w:r>
    </w:p>
    <w:p>
      <w:pPr>
        <w:pStyle w:val="ListParagraph"/>
        <w:numPr>
          <w:ilvl w:val="0"/>
          <w:numId w:val="2"/>
        </w:numPr>
        <w:spacing w:after="90" w:line="276"/>
      </w:pPr>
      <w:r>
        <w:rPr>
          <w:rFonts w:ascii="Calibri" w:cs="Calibri" w:eastAsia="Calibri" w:hAnsi="Calibri"/>
          <w:b/>
          <w:bCs/>
          <w:i w:val="false"/>
          <w:iCs w:val="false"/>
          <w:caps w:val="false"/>
          <w:color w:val="0F172A"/>
          <w:sz w:val="21"/>
          <w:szCs w:val="21"/>
        </w:rPr>
        <w:t xml:space="preserve">The college: </w:t>
      </w:r>
      <w:r>
        <w:rPr>
          <w:rFonts w:ascii="Calibri" w:cs="Calibri" w:eastAsia="Calibri" w:hAnsi="Calibri"/>
          <w:b w:val="false"/>
          <w:bCs w:val="false"/>
          <w:i w:val="false"/>
          <w:iCs w:val="false"/>
          <w:caps w:val="false"/>
          <w:color w:val="2B3A4E"/>
          <w:sz w:val="21"/>
          <w:szCs w:val="21"/>
        </w:rPr>
        <w:t xml:space="preserve">every drive and every student, the employer directory, student readiness before a drive, and funnel and time-to-hire reporting.</w:t>
      </w:r>
    </w:p>
    <w:p>
      <w:pPr>
        <w:pStyle w:val="ListParagraph"/>
        <w:numPr>
          <w:ilvl w:val="0"/>
          <w:numId w:val="2"/>
        </w:numPr>
        <w:spacing w:after="90" w:line="276"/>
      </w:pPr>
      <w:r>
        <w:rPr>
          <w:rFonts w:ascii="Calibri" w:cs="Calibri" w:eastAsia="Calibri" w:hAnsi="Calibri"/>
          <w:b/>
          <w:bCs/>
          <w:i w:val="false"/>
          <w:iCs w:val="false"/>
          <w:caps w:val="false"/>
          <w:color w:val="0F172A"/>
          <w:sz w:val="21"/>
          <w:szCs w:val="21"/>
        </w:rPr>
        <w:t xml:space="preserve">The student: </w:t>
      </w:r>
      <w:r>
        <w:rPr>
          <w:rFonts w:ascii="Calibri" w:cs="Calibri" w:eastAsia="Calibri" w:hAnsi="Calibri"/>
          <w:b w:val="false"/>
          <w:bCs w:val="false"/>
          <w:i w:val="false"/>
          <w:iCs w:val="false"/>
          <w:caps w:val="false"/>
          <w:color w:val="2B3A4E"/>
          <w:sz w:val="21"/>
          <w:szCs w:val="21"/>
        </w:rPr>
        <w:t xml:space="preserve">only the jobs and fairs they are eligible for, their application status at every stage, and interview preparation material.</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15.  Community, groups and moderation</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community is a moderated space, not an open forum. It is designed so that peer support is possible and abuse is not.</w:t>
      </w:r>
    </w:p>
    <w:p>
      <w:pPr>
        <w:pStyle w:val="Heading2"/>
        <w:keepNext/>
        <w:spacing w:after="120" w:before="320"/>
      </w:pPr>
      <w:r>
        <w:rPr>
          <w:rFonts w:ascii="Calibri" w:cs="Calibri" w:eastAsia="Calibri" w:hAnsi="Calibri"/>
          <w:b/>
          <w:bCs/>
          <w:color w:val="1A3884"/>
          <w:sz w:val="25"/>
          <w:szCs w:val="25"/>
        </w:rPr>
        <w:t xml:space="preserve">15.1  What students can do</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Post, reply, like, vote, bookmark and mention other students.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Join or create groups, each with its own conversation and shared tasks.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Follow announcements targeted at their role or their college.</w:t>
      </w:r>
    </w:p>
    <w:p>
      <w:pPr>
        <w:pStyle w:val="Heading2"/>
        <w:keepNext/>
        <w:spacing w:after="120" w:before="320"/>
      </w:pPr>
      <w:r>
        <w:rPr>
          <w:rFonts w:ascii="Calibri" w:cs="Calibri" w:eastAsia="Calibri" w:hAnsi="Calibri"/>
          <w:b/>
          <w:bCs/>
          <w:color w:val="1A3884"/>
          <w:sz w:val="25"/>
          <w:szCs w:val="25"/>
        </w:rPr>
        <w:t xml:space="preserve">15.2  How moderation works</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Any student can report a post. Reporting hides the post immediately, pending review.</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The post enters a moderation queue visible to moderators and administrators.</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The moderator restores, edits or removes it, and the action is written to a moderation log.</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Uploaded images pass through an automated content check before they are published.</w:t>
      </w:r>
    </w:p>
    <w:p>
      <w:pPr>
        <w:spacing w:after="6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Posts also carry an automatically calculated quality score, which is used to surface useful contributions rather than merely recent ones.</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16.  Support, grievances and wellbeing</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9"/>
        <w:gridCol w:w="4703"/>
        <w:gridCol w:w="2634"/>
      </w:tblGrid>
      <w:tr>
        <w:trPr>
          <w:tblHeader/>
        </w:trPr>
        <w:tc>
          <w:tcPr>
            <w:tcW w:type="dxa" w:w="206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Channel</w:t>
            </w:r>
          </w:p>
        </w:tc>
        <w:tc>
          <w:tcPr>
            <w:tcW w:type="dxa" w:w="4703"/>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What it is for</w:t>
            </w:r>
          </w:p>
        </w:tc>
        <w:tc>
          <w:tcPr>
            <w:tcW w:type="dxa" w:w="263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Who handles it</w:t>
            </w:r>
          </w:p>
        </w:tc>
      </w:tr>
      <w:tr>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Support tickets</w:t>
            </w:r>
          </w:p>
        </w:tc>
        <w:tc>
          <w:tcPr>
            <w:tcW w:type="dxa" w:w="470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Technical problems and account issues, with a full response history</w:t>
            </w:r>
          </w:p>
        </w:tc>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Support staff and administrators</w:t>
            </w:r>
          </w:p>
        </w:tc>
      </w:tr>
      <w:tr>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Grievance redressal</w:t>
            </w:r>
          </w:p>
        </w:tc>
        <w:tc>
          <w:tcPr>
            <w:tcW w:type="dxa" w:w="470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Formal complaints, kept separate from technical support and with its own audit trail</w:t>
            </w:r>
          </w:p>
        </w:tc>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Designated staff</w:t>
            </w:r>
          </w:p>
        </w:tc>
      </w:tr>
      <w:tr>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AI chatbot</w:t>
            </w:r>
          </w:p>
        </w:tc>
        <w:tc>
          <w:tcPr>
            <w:tcW w:type="dxa" w:w="470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Immediate answers to common questions, escalating to a ticket when it cannot help</w:t>
            </w:r>
          </w:p>
        </w:tc>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Automated, with a human fallback</w:t>
            </w:r>
          </w:p>
        </w:tc>
      </w:tr>
      <w:tr>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MindCare sessions</w:t>
            </w:r>
          </w:p>
        </w:tc>
        <w:tc>
          <w:tcPr>
            <w:tcW w:type="dxa" w:w="470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Booked sessions with certified coaches across academic, career, mental health and personal development needs</w:t>
            </w:r>
          </w:p>
        </w:tc>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Coaches</w:t>
            </w:r>
          </w:p>
        </w:tc>
      </w:tr>
      <w:tr>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Escalations</w:t>
            </w:r>
          </w:p>
        </w:tc>
        <w:tc>
          <w:tcPr>
            <w:tcW w:type="dxa" w:w="4703"/>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Red-flag intervention when a student's engagement or results indicate trouble</w:t>
            </w:r>
          </w:p>
        </w:tc>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Coaches and college administrators</w:t>
            </w:r>
          </w:p>
        </w:tc>
      </w:tr>
      <w:tr>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Contact</w:t>
            </w:r>
          </w:p>
        </w:tc>
        <w:tc>
          <w:tcPr>
            <w:tcW w:type="dxa" w:w="4703"/>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General enquiries from outside the platform</w:t>
            </w:r>
          </w:p>
        </w:tc>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Operations</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MindCare sessions carry a full lifecycle: request, scheduling, the session itself, completion, and a rating and feedback loop afterwards. A coach can see the history of every student they work with, including mentorship logs and any alerts raised against that student.</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17.  The SMAART Toolkit — AI features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Artificial intelligence is used where it saves a student real time. It is deliberately not used to decide whether a student passes: grading, gating and proctoring outcomes are all deterministic rules the platform can explain.</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6"/>
        <w:gridCol w:w="6960"/>
      </w:tblGrid>
      <w:tr>
        <w:trPr>
          <w:tblHeader/>
        </w:trPr>
        <w:tc>
          <w:tcPr>
            <w:tcW w:type="dxa" w:w="244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Tool</w:t>
            </w:r>
          </w:p>
        </w:tc>
        <w:tc>
          <w:tcPr>
            <w:tcW w:type="dxa" w:w="696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What it does</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AI Career Coach</w:t>
            </w:r>
          </w:p>
        </w:tc>
        <w:tc>
          <w:tcPr>
            <w:tcW w:type="dxa" w:w="696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career conversation available at any hour, grounded in the student's own profile, assessment results and course history</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Profile analysis</w:t>
            </w:r>
          </w:p>
        </w:tc>
        <w:tc>
          <w:tcPr>
            <w:tcW w:type="dxa" w:w="696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Strengths, weaknesses, suggested roles and a career trajectory, derived from platform data rather than a questionnaire</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Skill gap analysis</w:t>
            </w:r>
          </w:p>
        </w:tc>
        <w:tc>
          <w:tcPr>
            <w:tcW w:type="dxa" w:w="696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distance between where the student is and the role they want, expressed as specific missing skills</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Learning plan</w:t>
            </w:r>
          </w:p>
        </w:tc>
        <w:tc>
          <w:tcPr>
            <w:tcW w:type="dxa" w:w="696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That gap turned into a phased plan with courses, milestones and dates</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Resume builder</w:t>
            </w:r>
          </w:p>
        </w:tc>
        <w:tc>
          <w:tcPr>
            <w:tcW w:type="dxa" w:w="696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Wording and structure optimised for applicant tracking systems, with a verification link attached</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Career intelligence</w:t>
            </w:r>
          </w:p>
        </w:tc>
        <w:tc>
          <w:tcPr>
            <w:tcW w:type="dxa" w:w="696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Salary, demand and progression modelling over a curated market dataset, including optimistic, realistic and conservative scenarios</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Interview preparation</w:t>
            </w:r>
          </w:p>
        </w:tc>
        <w:tc>
          <w:tcPr>
            <w:tcW w:type="dxa" w:w="696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Role-specific preparation material and a student prep kit</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Everyday tools</w:t>
            </w:r>
          </w:p>
        </w:tc>
        <w:tc>
          <w:tcPr>
            <w:tcW w:type="dxa" w:w="696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global library search, dictionary and thesaurus, a CGPA calculator, notes and flashcards</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Conversational features run against a hosted language model through a single service layer, so the model can be changed in one place. The proctoring models run in the browser on the student's own device, which keeps camera data local.</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18.  Notifications and communication</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Notifications are generated by the platform itself rather than sent by hand, which is what allows a college to be confident that a shortlisted student actually heard about it.</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In-app notifications with a live unread count, delivered in real time over a socket connection and refreshed on a poll as a fallback.</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Email for the events that matter outside the platform: registration, one-time passwords, credentials, shortlisting, offers and session bookings.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Role-based and college-based announcements, so a message can be addressed to exactly the right audience.</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Per-user notification preferences, respected by every subsequent notification.</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19.  Analytics and reporting</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6772"/>
      </w:tblGrid>
      <w:tr>
        <w:trPr>
          <w:tblHeader/>
        </w:trPr>
        <w:tc>
          <w:tcPr>
            <w:tcW w:type="dxa" w:w="263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View</w:t>
            </w:r>
          </w:p>
        </w:tc>
        <w:tc>
          <w:tcPr>
            <w:tcW w:type="dxa" w:w="677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Answers the question</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Platform dashboard</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How is the whole network performing — colleges, students, courses, assessments and placements</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College analytics</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How is this institution performing, by department, batch and degree</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Student analytics</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How is this individual progressing, across quotients, courses, assessments and engagement</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Placement analytics</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What does the hiring funnel look like, and how long is time-to-hire</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Career agent analytics</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What are students actually asking the career tools, and where are the common gaps</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Activity and access logs</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Who did what, and when</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Reports can be exported to PDF and to Excel from the interface, so the numbers can be taken into a meeting without a screenshot.</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20.  The admin panel, module by module</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This section is a working reference for the administration application.</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7149"/>
      </w:tblGrid>
      <w:tr>
        <w:trPr>
          <w:tblHeader/>
        </w:trPr>
        <w:tc>
          <w:tcPr>
            <w:tcW w:type="dxa" w:w="225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Module</w:t>
            </w:r>
          </w:p>
        </w:tc>
        <w:tc>
          <w:tcPr>
            <w:tcW w:type="dxa" w:w="714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What it manages</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Colleges</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Onboarding, college profiles, institute chains, batches, degrees, departments and the academic calendar</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Users</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Creating, editing and suspending accounts across every role, with detail views and access logs</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Students</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Individual and bulk onboarding, student records, academic results and progress</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Courses</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Course creation, the learning-flow builder, module content, the assessment builder and the catalogue</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Assessments</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Creating assessments, managing the question bank, viewing submissions and reviewing responses</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Skill assessments</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Role-oriented, engine-based evaluations and the skills library</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Placements</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Jobs, platform-wide jobs, job fairs, applicants, the placement office and the employer directory</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Recruiters</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Recruiter accounts, employer registration and the recruiter workflow</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Community</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community hub and the moderation queue</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Support</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IT support tickets, ticket detail and grievance lists</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Proctoring</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Proctoring sessions, recorded events and review</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Analytics</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Platform, college, student and placement reporting</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Configuration</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Login media, college banners, notifications, degrees, skills lists and system settings</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Security</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Active sessions and access logs</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21.  Technical architecture</w:t>
      </w:r>
    </w:p>
    <w:p>
      <w:pPr>
        <w:pStyle w:val="Heading2"/>
        <w:keepNext/>
        <w:spacing w:after="120" w:before="320"/>
      </w:pPr>
      <w:r>
        <w:rPr>
          <w:rFonts w:ascii="Calibri" w:cs="Calibri" w:eastAsia="Calibri" w:hAnsi="Calibri"/>
          <w:b/>
          <w:bCs/>
          <w:color w:val="1A3884"/>
          <w:sz w:val="25"/>
          <w:szCs w:val="25"/>
        </w:rPr>
        <w:t xml:space="preserve">21.1  The stack</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7149"/>
      </w:tblGrid>
      <w:tr>
        <w:trPr>
          <w:tblHeader/>
        </w:trPr>
        <w:tc>
          <w:tcPr>
            <w:tcW w:type="dxa" w:w="225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Layer</w:t>
            </w:r>
          </w:p>
        </w:tc>
        <w:tc>
          <w:tcPr>
            <w:tcW w:type="dxa" w:w="714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Technology</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Student dashboard</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React 19, Vite, Tailwind CSS, Radix UI, React Router, Zustand, framer-motion</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Admin panel</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React (Create React App), Tailwind CSS, Recharts</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Backends</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Node.js with Express — one service per application</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Database</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MongoDB Atlas, accessed through Mongoose models</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Real time</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Socket.IO for notifications and live updates</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Authentication</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JSON Web Tokens with role-based access control and single-session enforcement</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Media</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Cloudinary for user media; a mounted volume for generated and uploaded documents</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AI</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OpenRouter and OpenAI-compatible clients for language models; in-browser models for proctoring</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Export</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jsPDF for PDF output and xlsx for spreadsheet output</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Delivery</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Docker images built in GitHub Actions, served behind an Nginx edge proxy</w:t>
            </w:r>
          </w:p>
        </w:tc>
      </w:tr>
    </w:tbl>
    <w:p>
      <w:pPr>
        <w:pStyle w:val="Heading2"/>
        <w:keepNext/>
        <w:spacing w:after="120" w:before="320"/>
      </w:pPr>
      <w:r>
        <w:rPr>
          <w:rFonts w:ascii="Calibri" w:cs="Calibri" w:eastAsia="Calibri" w:hAnsi="Calibri"/>
          <w:b/>
          <w:bCs/>
          <w:color w:val="1A3884"/>
          <w:sz w:val="25"/>
          <w:szCs w:val="25"/>
        </w:rPr>
        <w:t xml:space="preserve">21.2  Repository layout</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8"/>
        <w:gridCol w:w="6208"/>
      </w:tblGrid>
      <w:tr>
        <w:trPr>
          <w:tblHeader/>
        </w:trPr>
        <w:tc>
          <w:tcPr>
            <w:tcW w:type="dxa" w:w="3198"/>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Repository</w:t>
            </w:r>
          </w:p>
        </w:tc>
        <w:tc>
          <w:tcPr>
            <w:tcW w:type="dxa" w:w="6208"/>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Contains</w:t>
            </w:r>
          </w:p>
        </w:tc>
      </w:tr>
      <w:tr>
        <w:tc>
          <w:tcPr>
            <w:tcW w:type="dxa" w:w="319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SMAART-INSTITUE-USERDASHBOARD</w:t>
            </w:r>
          </w:p>
        </w:tc>
        <w:tc>
          <w:tcPr>
            <w:tcW w:type="dxa" w:w="620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front-end (the student application), back-end (its API), mobile-app, aws-deployment (the production stack), loadtest, Documentation</w:t>
            </w:r>
          </w:p>
        </w:tc>
      </w:tr>
      <w:tr>
        <w:tc>
          <w:tcPr>
            <w:tcW w:type="dxa" w:w="319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ADMIN-SMAART-INSTITUTE-26</w:t>
            </w:r>
          </w:p>
        </w:tc>
        <w:tc>
          <w:tcPr>
            <w:tcW w:type="dxa" w:w="620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Frontend (the admin application), Backend (its API), Documentation</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Both repositories now follow the same shape: application code at the top level, all written material consolidated under Documentation, and superseded scratch work retained under Archive rather than left loose in the root.</w:t>
      </w:r>
    </w:p>
    <w:p>
      <w:pPr>
        <w:pStyle w:val="Heading2"/>
        <w:keepNext/>
        <w:spacing w:after="120" w:before="320"/>
      </w:pPr>
      <w:r>
        <w:rPr>
          <w:rFonts w:ascii="Calibri" w:cs="Calibri" w:eastAsia="Calibri" w:hAnsi="Calibri"/>
          <w:b/>
          <w:bCs/>
          <w:color w:val="1A3884"/>
          <w:sz w:val="25"/>
          <w:szCs w:val="25"/>
        </w:rPr>
        <w:t xml:space="preserve">21.3  The API surface</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API is organised by domain. Each route file owns one area and delegates to a controller, which uses Mongoose models. The main groups are: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1"/>
        <w:gridCol w:w="7525"/>
      </w:tblGrid>
      <w:tr>
        <w:trPr>
          <w:tblHeader/>
        </w:trPr>
        <w:tc>
          <w:tcPr>
            <w:tcW w:type="dxa" w:w="188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Area</w:t>
            </w:r>
          </w:p>
        </w:tc>
        <w:tc>
          <w:tcPr>
            <w:tcW w:type="dxa" w:w="752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Representative endpoints</w:t>
            </w:r>
          </w:p>
        </w:tc>
      </w:tr>
      <w:tr>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Identity</w:t>
            </w:r>
          </w:p>
        </w:tc>
        <w:tc>
          <w:tcPr>
            <w:tcW w:type="dxa" w:w="752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/api/auth, /api/users, /api/security, /api/registrations</w:t>
            </w:r>
          </w:p>
        </w:tc>
      </w:tr>
      <w:tr>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Institutions</w:t>
            </w:r>
          </w:p>
        </w:tc>
        <w:tc>
          <w:tcPr>
            <w:tcW w:type="dxa" w:w="752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/api/colleges, /api/degrees, /api/departments, /api/institute-chains</w:t>
            </w:r>
          </w:p>
        </w:tc>
      </w:tr>
      <w:tr>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Learning</w:t>
            </w:r>
          </w:p>
        </w:tc>
        <w:tc>
          <w:tcPr>
            <w:tcW w:type="dxa" w:w="752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/api/courses, /api/enrollments, /api/courseEnrollments, /api/questionBanks</w:t>
            </w:r>
          </w:p>
        </w:tc>
      </w:tr>
      <w:tr>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Assessment</w:t>
            </w:r>
          </w:p>
        </w:tc>
        <w:tc>
          <w:tcPr>
            <w:tcW w:type="dxa" w:w="752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/api/assessments, /api/results, /api/baselineresults, /api/stageresults, /api/proctoring</w:t>
            </w:r>
          </w:p>
        </w:tc>
      </w:tr>
      <w:tr>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Recognition</w:t>
            </w:r>
          </w:p>
        </w:tc>
        <w:tc>
          <w:tcPr>
            <w:tcW w:type="dxa" w:w="752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/api/badges, /api/streaks, /api/certificates, /api/passport, /api/user-certificates</w:t>
            </w:r>
          </w:p>
        </w:tc>
      </w:tr>
      <w:tr>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Placement</w:t>
            </w:r>
          </w:p>
        </w:tc>
        <w:tc>
          <w:tcPr>
            <w:tcW w:type="dxa" w:w="752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/api/placements, /api/placements/smaart-jobs, /api/placements/job-fairs, /api/job-applications</w:t>
            </w:r>
          </w:p>
        </w:tc>
      </w:tr>
      <w:tr>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Community</w:t>
            </w:r>
          </w:p>
        </w:tc>
        <w:tc>
          <w:tcPr>
            <w:tcW w:type="dxa" w:w="752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/api/community, /api/groups, /api/moderation, /api/announcements</w:t>
            </w:r>
          </w:p>
        </w:tc>
      </w:tr>
      <w:tr>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Support</w:t>
            </w:r>
          </w:p>
        </w:tc>
        <w:tc>
          <w:tcPr>
            <w:tcW w:type="dxa" w:w="752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/api/tickets, /api/grievances, /api/chatbot, /api/escalations, /api/coachSessions</w:t>
            </w:r>
          </w:p>
        </w:tc>
      </w:tr>
      <w:tr>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Intelligence</w:t>
            </w:r>
          </w:p>
        </w:tc>
        <w:tc>
          <w:tcPr>
            <w:tcW w:type="dxa" w:w="752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/api/career-agent, /api/careerIntelligence, /api/analytics</w:t>
            </w:r>
          </w:p>
        </w:tc>
      </w:tr>
      <w:tr>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Utility</w:t>
            </w:r>
          </w:p>
        </w:tc>
        <w:tc>
          <w:tcPr>
            <w:tcW w:type="dxa" w:w="752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/api/upload, /api/notifications, /api/ocr, /api/contact, /api/health</w:t>
            </w:r>
          </w:p>
        </w:tc>
      </w:tr>
    </w:tbl>
    <w:p>
      <w:pPr>
        <w:pStyle w:val="Heading2"/>
        <w:keepNext/>
        <w:spacing w:after="120" w:before="320"/>
      </w:pPr>
      <w:r>
        <w:rPr>
          <w:rFonts w:ascii="Calibri" w:cs="Calibri" w:eastAsia="Calibri" w:hAnsi="Calibri"/>
          <w:b/>
          <w:bCs/>
          <w:color w:val="1A3884"/>
          <w:sz w:val="25"/>
          <w:szCs w:val="25"/>
        </w:rPr>
        <w:t xml:space="preserve">21.4  The data model</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database holds roughly sixty collections. The ones that carry the most meaning are: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6584"/>
      </w:tblGrid>
      <w:tr>
        <w:trPr>
          <w:tblHeader/>
        </w:trPr>
        <w:tc>
          <w:tcPr>
            <w:tcW w:type="dxa" w:w="282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Collection</w:t>
            </w:r>
          </w:p>
        </w:tc>
        <w:tc>
          <w:tcPr>
            <w:tcW w:type="dxa" w:w="658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Holds</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users</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Every account, its role, status and session state</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students</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academic and placement profile attached to a student account</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colleges</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Institutions, their configuration and their branding</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courses</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Course metadata, the eight-step learning flow and the course assessment</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courseenrollments</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student's enrolment in a course and their server-computed progress</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assessments / questionbanks</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Assessment definitions and the tagged question pool</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results / stageresults / baselineresults</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Attempts, scores by quotient, bands and outcomes</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proctoringsessions / proctoringevents</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integrity record for each attempt</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placementapplications</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Every application and its full status history</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jobpostings / smaartjobpostings / jobfairs</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Opportunities from both job systems</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communityposts / moderationlogs</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Community content and the actions taken on it</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notifications / userbadges / userstreaks</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Engagement and recognition state</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22.  Security and data protection</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6"/>
        <w:gridCol w:w="6960"/>
      </w:tblGrid>
      <w:tr>
        <w:trPr>
          <w:tblHeader/>
        </w:trPr>
        <w:tc>
          <w:tcPr>
            <w:tcW w:type="dxa" w:w="244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Control</w:t>
            </w:r>
          </w:p>
        </w:tc>
        <w:tc>
          <w:tcPr>
            <w:tcW w:type="dxa" w:w="696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How it is applied</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Transport security</w:t>
            </w:r>
          </w:p>
        </w:tc>
        <w:tc>
          <w:tcPr>
            <w:tcW w:type="dxa" w:w="696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HTTPS everywhere, with certificates renewed automatically; plain HTTP is redirected</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Authentication</w:t>
            </w:r>
          </w:p>
        </w:tc>
        <w:tc>
          <w:tcPr>
            <w:tcW w:type="dxa" w:w="696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Signed tokens with a short lifetime and background renewal; one-time passwords for staff and recruiter sign-in</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Session control</w:t>
            </w:r>
          </w:p>
        </w:tc>
        <w:tc>
          <w:tcPr>
            <w:tcW w:type="dxa" w:w="696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One active session per account, enforced on every protected request</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Authorisation</w:t>
            </w:r>
          </w:p>
        </w:tc>
        <w:tc>
          <w:tcPr>
            <w:tcW w:type="dxa" w:w="696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Role checks at the route and scope filters inside the query</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Rate limiting</w:t>
            </w:r>
          </w:p>
        </w:tc>
        <w:tc>
          <w:tcPr>
            <w:tcW w:type="dxa" w:w="696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general API limit, with tighter limits on login, registration and session endpoints</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Secrets</w:t>
            </w:r>
          </w:p>
        </w:tc>
        <w:tc>
          <w:tcPr>
            <w:tcW w:type="dxa" w:w="696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Held in environment files on the server, never committed and never baked into an image</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Input handling</w:t>
            </w:r>
          </w:p>
        </w:tc>
        <w:tc>
          <w:tcPr>
            <w:tcW w:type="dxa" w:w="696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Validation and sanitisation on write paths; uploads restricted by type and size</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Content safety</w:t>
            </w:r>
          </w:p>
        </w:tc>
        <w:tc>
          <w:tcPr>
            <w:tcW w:type="dxa" w:w="696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Automated image moderation before community publication</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Auditability</w:t>
            </w:r>
          </w:p>
        </w:tc>
        <w:tc>
          <w:tcPr>
            <w:tcW w:type="dxa" w:w="696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Access logs, activity logs and moderation logs, each queryable from the admin panel</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Assessment integrity</w:t>
            </w:r>
          </w:p>
        </w:tc>
        <w:tc>
          <w:tcPr>
            <w:tcW w:type="dxa" w:w="696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Per-attempt tokens, deterministic per-student shuffling and server-side progression gates</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Vulnerability scanning</w:t>
            </w:r>
          </w:p>
        </w:tc>
        <w:tc>
          <w:tcPr>
            <w:tcW w:type="dxa" w:w="696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Container images are scanned as part of the build pipeline</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 full pre-launch security review was carried out before go-live and its findings were remediated; the review and the remediation record are retained in the documentation set.</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23.  Integrations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6584"/>
      </w:tblGrid>
      <w:tr>
        <w:trPr>
          <w:tblHeader/>
        </w:trPr>
        <w:tc>
          <w:tcPr>
            <w:tcW w:type="dxa" w:w="282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Integration</w:t>
            </w:r>
          </w:p>
        </w:tc>
        <w:tc>
          <w:tcPr>
            <w:tcW w:type="dxa" w:w="658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Used for</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MongoDB Atlas</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managed database for both applications</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Cloudinary</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Image and media storage and delivery</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Email delivery</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One-time passwords, credentials, receipts and status notifications</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OpenRouter / OpenAI-compatible models</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career coach, profile analysis, learning plans and resume assistance</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British Council portal</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English for Work track, opened as an authenticated partner portal</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Google Books</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global library search</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Dictionary and thesaurus services</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Definitions, synonyms and pronunciation in the everyday tools</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Optical character recognition</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Reading text from uploaded documents</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GitHub Container Registry</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Storage of the built application images used for deployment</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24.  Quality assurance and testing</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Every push runs an automated pipeline before anything can be deployed.</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The backend image is built, started against a live database, and checked with a deep health probe.</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An API smoke test confirms that a public endpoint answers and a protected endpoint refuses an unauthenticated caller.</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The frontend is installed, linted and built exactly as it will be built for production.</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An end-to-end job brings up a production-shaped stack with a load balancer and two backend replicas, seeds fixtures, runs browser tests and verifies that traffic is genuinely distributed across replicas.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Container images are scanned for known high and critical vulnerabilities.</w:t>
      </w:r>
    </w:p>
    <w:p>
      <w:pPr>
        <w:spacing w:after="6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Beyond the pipeline, the project keeps written audit and bug-list documents per module, a load-testing harness, and a pre-launch audit series. All of this material is retained under Documentation in each repository.</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25.  Glossary</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7149"/>
      </w:tblGrid>
      <w:tr>
        <w:trPr>
          <w:tblHeader/>
        </w:trPr>
        <w:tc>
          <w:tcPr>
            <w:tcW w:type="dxa" w:w="225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Term</w:t>
            </w:r>
          </w:p>
        </w:tc>
        <w:tc>
          <w:tcPr>
            <w:tcW w:type="dxa" w:w="714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Meaning</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Phygital</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model in which physical teaching and coaching continue, with the digital platform carrying the record, measurement and progress around them</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Quotient</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named capability area that assessment questions are tagged to, so results are reported per capability rather than as one score</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T1 to T4</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assessment ladder: T1 is the baseline, T2 and T3 are stage gates, T4 is the final assessment</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Stage gate</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An assessment that must be cleared before the next stage of the curriculum opens</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Learning flow</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fixed eight-step structure (A to H) that every course follows</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Skills passport</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consolidated, publicly verifiable record of a student's measured capability and achievements</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Unverified attempt</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An assessment attempt whose proctoring risk score was too high to certify; the work is kept, the certification is withheld</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Match score</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computed indication of how well a student fits a specific role, used to rank applicants</w:t>
            </w:r>
          </w:p>
        </w:tc>
      </w:tr>
      <w:tr>
        <w:tc>
          <w:tcPr>
            <w:tcW w:type="dxa" w:w="225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Edge proxy</w:t>
            </w:r>
          </w:p>
        </w:tc>
        <w:tc>
          <w:tcPr>
            <w:tcW w:type="dxa" w:w="714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single Nginx container that receives all public traffic and routes it to the correct application by hostname</w:t>
            </w:r>
          </w:p>
        </w:tc>
      </w:tr>
      <w:tr>
        <w:tc>
          <w:tcPr>
            <w:tcW w:type="dxa" w:w="225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GHCR</w:t>
            </w:r>
          </w:p>
        </w:tc>
        <w:tc>
          <w:tcPr>
            <w:tcW w:type="dxa" w:w="714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GitHub Container Registry, where built application images are stored between build and deployment</w:t>
            </w:r>
          </w:p>
        </w:tc>
      </w:tr>
    </w:tbl>
    <w:sectPr>
      <w:headerReference w:type="default" r:id="rId7"/>
      <w:footerReference w:type="default" r:id="rId8"/>
      <w:pgSz w:w="11906" w:h="16838" w:orient="portrait"/>
      <w:pgMar w:top="1300" w:right="1250" w:bottom="13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C" w:sz="4" w:space="6"/>
      </w:pBdr>
      <w:spacing w:before="60"/>
    </w:pPr>
    <w:r>
      <w:rPr>
        <w:rFonts w:ascii="Calibri" w:cs="Calibri" w:eastAsia="Calibri" w:hAnsi="Calibri"/>
        <w:color w:val="5F6E82"/>
        <w:sz w:val="15"/>
        <w:szCs w:val="15"/>
      </w:rPr>
      <w:t xml:space="preserve">SMAART Institute  ·  Internal documentation</w:t>
    </w:r>
    <w:r>
      <w:ptab w:alignment="right" w:relativeTo="margin" w:leader="none"/>
    </w:r>
    <w:r>
      <w:rPr>
        <w:rFonts w:ascii="Calibri" w:cs="Calibri" w:eastAsia="Calibri" w:hAnsi="Calibri"/>
        <w:color w:val="5F6E82"/>
        <w:sz w:val="15"/>
        <w:szCs w:val="15"/>
      </w:rPr>
      <w:t xml:space="preserve">Page </w:t>
    </w:r>
    <w:r>
      <w:rPr>
        <w:rFonts w:ascii="Calibri" w:cs="Calibri" w:eastAsia="Calibri" w:hAnsi="Calibri"/>
        <w:b/>
        <w:bCs/>
        <w:color w:val="5F6E82"/>
        <w:sz w:val="15"/>
        <w:szCs w:val="15"/>
      </w:rPr>
      <w:fldChar w:fldCharType="begin"/>
      <w:instrText xml:space="preserve">PAGE</w:instrText>
      <w:fldChar w:fldCharType="separate"/>
      <w:fldChar w:fldCharType="end"/>
    </w:r>
    <w:r>
      <w:rPr>
        <w:rFonts w:ascii="Calibri" w:cs="Calibri" w:eastAsia="Calibri" w:hAnsi="Calibri"/>
        <w:color w:val="5F6E82"/>
        <w:sz w:val="15"/>
        <w:szCs w:val="15"/>
      </w:rPr>
      <w:t xml:space="preserve"> of </w:t>
    </w:r>
    <w:r>
      <w:rPr>
        <w:rFonts w:ascii="Calibri" w:cs="Calibri" w:eastAsia="Calibri" w:hAnsi="Calibri"/>
        <w:color w:val="5F6E8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C" w:sz="4" w:space="6"/>
      </w:pBdr>
      <w:spacing w:after="60"/>
    </w:pPr>
    <w:r>
      <w:rPr>
        <w:rFonts w:ascii="Calibri" w:cs="Calibri" w:eastAsia="Calibri" w:hAnsi="Calibri"/>
        <w:b/>
        <w:bCs/>
        <w:color w:val="1A3884"/>
        <w:spacing w:val="30"/>
        <w:sz w:val="16"/>
        <w:szCs w:val="16"/>
      </w:rPr>
      <w:t xml:space="preserve">SMAART INSTITUTE</w:t>
    </w:r>
    <w:r>
      <w:ptab w:alignment="right" w:relativeTo="margin" w:leader="none"/>
    </w:r>
    <w:r>
      <w:rPr>
        <w:rFonts w:ascii="Calibri" w:cs="Calibri" w:eastAsia="Calibri" w:hAnsi="Calibri"/>
        <w:color w:val="5F6E82"/>
        <w:sz w:val="16"/>
        <w:szCs w:val="16"/>
      </w:rPr>
      <w:t xml:space="preserve">System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A3884"/>
      </w:rPr>
    </w:lvl>
    <w:lvl w:ilvl="1" w15:tentative="1">
      <w:start w:val="1"/>
      <w:numFmt w:val="bullet"/>
      <w:lvlText w:val="–"/>
      <w:lvlJc w:val="left"/>
      <w:pPr>
        <w:ind w:left="720" w:hanging="220"/>
      </w:pPr>
      <w:rPr>
        <w:rFonts w:ascii="Calibri" w:cs="Calibri" w:eastAsia="Calibri" w:hAnsi="Calibri"/>
        <w:color w:val="1A3884"/>
      </w:rPr>
    </w:lvl>
  </w:abstractNum>
  <w:abstractNum w:abstractNumId="3" w15:restartNumberingAfterBreak="0">
    <w:multiLevelType w:val="hybridMultilevel"/>
    <w:lvl w:ilvl="0" w15:tentative="1">
      <w:start w:val="1"/>
      <w:numFmt w:val="decimal"/>
      <w:lvlText w:val="%1."/>
      <w:lvlJc w:val="left"/>
      <w:pPr>
        <w:ind w:left="400" w:hanging="260"/>
      </w:pPr>
      <w:rPr>
        <w:rFonts w:ascii="Calibri" w:cs="Calibri" w:eastAsia="Calibri" w:hAnsi="Calibri"/>
        <w:b/>
        <w:bCs/>
        <w:color w:val="1A388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A4E"/>
        <w:sz w:val="21"/>
        <w:szCs w:val="21"/>
      </w:rPr>
    </w:rPrDefault>
    <w:pPrDefault>
      <w:pPr>
        <w:spacing w:after="15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d795148b4ea882b74e98c32c27f09e16e6c22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SMAART Institute — System Document</dc:title>
  <dc:creator>SMAART Institute</dc:creator>
  <dc:description>Complete description of the SMAART Institute platform, its features and its architecture.</dc:description>
  <cp:lastModifiedBy>Un-named</cp:lastModifiedBy>
  <cp:revision>1</cp:revision>
  <dcterms:created xsi:type="dcterms:W3CDTF">2026-08-24T01:44:37.092Z</dcterms:created>
  <dcterms:modified xsi:type="dcterms:W3CDTF">2026-08-24T01:44:37.092Z</dcterms:modified>
</cp:coreProperties>
</file>

<file path=docProps/custom.xml><?xml version="1.0" encoding="utf-8"?>
<Properties xmlns="http://schemas.openxmlformats.org/officeDocument/2006/custom-properties" xmlns:vt="http://schemas.openxmlformats.org/officeDocument/2006/docPropsVTypes"/>
</file>