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1.7</w:t>
      </w:r>
    </w:p>
    <w:p>
      <w:pPr>
        <w:pStyle w:val="BodyText"/>
      </w:pPr>
      <w:r>
        <w:t>Status: Baseline (rev. 1.7 — ensemble inference scoped out)</w:t>
      </w:r>
    </w:p>
    <w:p>
      <w:pPr>
        <w:pStyle w:val="BodyText"/>
      </w:pPr>
      <w:r>
        <w:t>Date: 13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r>
        <w:tc>
          <w:tcPr>
            <w:tcW w:type="dxa" w:w="1980"/>
          </w:tcPr>
          <w:p>
            <w:r>
              <w:t>1.6</w:t>
            </w:r>
          </w:p>
        </w:tc>
        <w:tc>
          <w:tcPr>
            <w:tcW w:type="dxa" w:w="1980"/>
          </w:tcPr>
          <w:p>
            <w:r>
              <w:t>13-Sep-2026</w:t>
            </w:r>
          </w:p>
        </w:tc>
        <w:tc>
          <w:tcPr>
            <w:tcW w:type="dxa" w:w="1980"/>
          </w:tcPr>
          <w:p>
            <w:r>
              <w:t>Project Author</w:t>
            </w:r>
          </w:p>
        </w:tc>
        <w:tc>
          <w:tcPr>
            <w:tcW w:type="dxa" w:w="1980"/>
          </w:tcPr>
          <w:p>
            <w:r>
              <w:t>Recorded decisions Nos. 17-18: nnU-Net benchmark results (FR-3.6, split override + measured epoch cap; exceeds baseline in all regions) and frontend multi-screen expansion per Section 6.1 with Admin screen scoped out. No change to scope or quality gate; no re-approval required per Appendix D.</w:t>
            </w:r>
          </w:p>
        </w:tc>
      </w:tr>
      <w:tr>
        <w:tc>
          <w:tcPr>
            <w:tcW w:type="dxa" w:w="1980"/>
          </w:tcPr>
          <w:p>
            <w:r>
              <w:t>1.7</w:t>
            </w:r>
          </w:p>
        </w:tc>
        <w:tc>
          <w:tcPr>
            <w:tcW w:type="dxa" w:w="1980"/>
          </w:tcPr>
          <w:p>
            <w:r>
              <w:t>13-Sep-2026</w:t>
            </w:r>
          </w:p>
        </w:tc>
        <w:tc>
          <w:tcPr>
            <w:tcW w:type="dxa" w:w="1980"/>
          </w:tcPr>
          <w:p>
            <w:r>
              <w:t>Project Author</w:t>
            </w:r>
          </w:p>
        </w:tc>
        <w:tc>
          <w:tcPr>
            <w:tcW w:type="dxa" w:w="1980"/>
          </w:tcPr>
          <w:p>
            <w:r>
              <w:t>Recorded decision No.19: 3-fold ensemble inference scoped out — no leakage-free evaluation possible under the decision-No.13 fold structure; no GPU spent. No change to scope or quality gate;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p>
      <w:pPr>
        <w:pStyle w:val="FirstParagraph"/>
      </w:pPr>
      <w:r>
        <w:t>Decision No.17 — nnU-Net benchmark: split override, epoch cap, and results (FR-3.6, Sections 9.1–9.2): The nnU-Net v2 (2.8.1) benchmark path was run on the BraTS2020 Kaggle-hosted dataset with two deliberate deviations from nnU-Net defaults, both required for a defensible comparison against the baseline. (a) Split override: nnU-Net's own 5-fold split was replaced with a single-split splits_final.json generated from the decision-No.13 fold manifest (scripts/make_nnunet_split.py; val = fold 0, 74 cases; train = folds 1–4, 294 cases), so the benchmark validates on exactly the same held-out patients as baseline fold 0. (b) Epoch cap: nnUNetTrainer_100epochs was selected from measured data — a 5-epoch probe on the T4 measured ~191–196 s/epoch, pricing 100 epochs at ~5.7 hrs wall-clock (single Kaggle session, within quota; 250 epochs would exceed the 12-hr session cap, 500 the weekly quota) — and is comparable to the baseline's ~100–120-epoch training budget. Labels were remapped 4→3 for nnU-Net's consecutive-integer requirement; reported regions remain ET/TC/WT and are computed from the saved validation predictions as label unions (ET={3}, TC={1,3}, WT={1,2,3}). Result (fold-0 validation, n=74): nnU-Net ET 0.824 / TC 0.860 / WT 0.917, mean 0.8668, versus baseline fold 0 ET 0.799 / TC 0.835 / WT 0.896, mean 0.8439 — nnU-Net exceeds the baseline in every region (+0.02–0.025) at a comparable budget, consistent with Section 9.1's rationale, and clears the Section 5 accuracy thresholds. Note nnU-Net's own logged "Mean Validation Dice: 0.777" is a per-label mean (NCR/NET, ED, ET) and is not comparable to region means. The nnU-Net checkpoint is not servable by the FR-5.x API (different architecture/serialization); this decision records a benchmark result, not a promotion — the served model remains the baseline per decision No.15, and an nnU-Net export/serving path is future work requiring its own decision. Per-case metrics preserved as nnunet_fold0_region_metrics.json (Kaggle notebook nnunet-region-metrics). (Decision of 13-Sep-2026.)</w:t>
      </w:r>
    </w:p>
    <w:p>
      <w:pPr>
        <w:pStyle w:val="FirstParagraph"/>
      </w:pPr>
      <w:r>
        <w:t>Decision No.18 — Frontend multi-screen expansion; Admin screen scoped out (Section 6.1, FR-6.x): The frontend was restructured from a single-screen SPA to the multi-screen layout of Section 6.1 using React Router 7: Upload (/), Viewer (/cases/:id), History (/history), About (/about), with a shared Layout carrying navigation and the persistent FR-6.6 disclaimer banner on every route. Cases gained linkable URLs; the Viewer restores a completed case's overlay on open (quick re-open from History) without re-running inference. Exactly one backend change was made: GET /v1/cases (list of cases with status, last-updated timestamp, and model version, newest-first), implementing Section 6.1's History requirements; it reuses existing storage/status primitives and the FR-5.7 error/disclaimer conventions, with a script-style test (tests/test_api_cases_list_local.py). The Admin screen of Section 6.1 (model registry list, promote/rollback, health widgets) is scoped out for v1: its prerequisites — the model registry and role-restricted access — are deferred per decision No.7, and promotion is a manual, documented operation (decision No.15); Admin returns as future work if decision No.7 is revisited. Incidental hardening shipped with this expansion: nginx now resolves the API upstream at request time via Docker's embedded DNS (a boot-time resolve crashed the frontend container when the api container was not yet registered — startup race found 13-Sep-2026), and pytest wrappers were added to five script-style test files that pytest had never collected (16→21 tests; CI previously did not execute the API/inference/ingestion integration tests). Verified end-to-end in the compose stack 13-Sep-2026: History listing, case re-open with overlay restore, About, and SPA-fallback refresh. (Decision of 13-Sep-2026.)</w:t>
      </w:r>
    </w:p>
    <w:p>
      <w:pPr>
        <w:pStyle w:val="FirstParagraph"/>
      </w:pPr>
      <w:r>
        <w:t>Decision No.19 — 3-fold ensemble inference: considered and scoped out (FR-3.2, Section 9.2, decision No.13): Averaging softmax probabilities across the three baseline fold checkpoints (expected ~+0.01–0.02 Dice from published BraTS practice) was considered and is scoped out, because no honest evaluation of it exists under the decision-No.13 fold structure. Each fold's model trained on the other four folds of the manifest, so every candidate validation set was seen in training by at least two of the three ensemble members (fold-0 val is training data for the fold-1 and fold-2 models), and every one of the 368 cases was training data for at least two members. Any measured ensemble Dice would therefore be inflated by construction and unquantifiably so; the BraTS2020 ValidationData cohort carries no ground-truth labels and cannot substitute. Ensemble serving for genuinely new uploads (where no leakage applies) remains future work; justifying it would require a held-out test set never used in any fold's training, which the 368-case budget was deliberately not split to provide (decision No.13). No GPU quota was spent. (Decision of 13-Sep-2026.)</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