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pBdr>
          <w:bottom w:val="single" w:color="4472C4" w:sz="16" w:space="10"/>
        </w:pBdr>
        <w:jc w:val="center"/>
      </w:pPr>
      <w:r>
        <w:rPr>
          <w:rFonts w:ascii="Calibri" w:cs="Calibri" w:eastAsia="Calibri" w:hAnsi="Calibri"/>
          <w:b/>
          <w:bCs/>
          <w:color w:val="1F3864"/>
          <w:sz w:val="40"/>
          <w:szCs w:val="40"/>
        </w:rPr>
        <w:t xml:space="preserve">SOFTWARE REQUIREMENTS SPECIFICATION</w:t>
      </w:r>
    </w:p>
    <w:p>
      <w:pPr>
        <w:spacing w:after="120" w:before="360"/>
        <w:jc w:val="center"/>
      </w:pPr>
      <w:r>
        <w:rPr>
          <w:rFonts w:ascii="Calibri" w:cs="Calibri" w:eastAsia="Calibri" w:hAnsi="Calibri"/>
          <w:b/>
          <w:bCs/>
          <w:color w:val="2E5395"/>
          <w:sz w:val="32"/>
          <w:szCs w:val="32"/>
        </w:rPr>
        <w:t xml:space="preserve">Medical Imaging Diagnostic Pipeline</w:t>
      </w:r>
    </w:p>
    <w:p>
      <w:pPr>
        <w:spacing w:after="900"/>
        <w:jc w:val="center"/>
      </w:pPr>
      <w:r>
        <w:rPr>
          <w:rFonts w:ascii="Calibri" w:cs="Calibri" w:eastAsia="Calibri" w:hAnsi="Calibri"/>
          <w:i/>
          <w:iCs/>
          <w:color w:val="595959"/>
          <w:sz w:val="24"/>
          <w:szCs w:val="24"/>
        </w:rPr>
        <w:t xml:space="preserve">Automated Brain Tumor Segmentation from Multi-Modal MRI using the BraTS Dataset</w:t>
      </w:r>
    </w:p>
    <w:p>
      <w:pPr>
        <w:spacing w:after="40"/>
        <w:jc w:val="center"/>
      </w:pPr>
      <w:r>
        <w:rPr>
          <w:rFonts w:ascii="Calibri" w:cs="Calibri" w:eastAsia="Calibri" w:hAnsi="Calibri"/>
          <w:color w:val="262626"/>
          <w:sz w:val="22"/>
          <w:szCs w:val="22"/>
        </w:rPr>
        <w:t xml:space="preserve">Document Version:  1.0</w:t>
      </w:r>
    </w:p>
    <w:p>
      <w:pPr>
        <w:spacing w:after="40"/>
        <w:jc w:val="center"/>
      </w:pPr>
      <w:r>
        <w:rPr>
          <w:rFonts w:ascii="Calibri" w:cs="Calibri" w:eastAsia="Calibri" w:hAnsi="Calibri"/>
          <w:color w:val="262626"/>
          <w:sz w:val="22"/>
          <w:szCs w:val="22"/>
        </w:rPr>
        <w:t xml:space="preserve">Status:  Draft for Review</w:t>
      </w:r>
    </w:p>
    <w:p>
      <w:pPr>
        <w:spacing w:after="40"/>
        <w:jc w:val="center"/>
      </w:pPr>
      <w:r>
        <w:rPr>
          <w:rFonts w:ascii="Calibri" w:cs="Calibri" w:eastAsia="Calibri" w:hAnsi="Calibri"/>
          <w:color w:val="262626"/>
          <w:sz w:val="22"/>
          <w:szCs w:val="22"/>
        </w:rPr>
        <w:t xml:space="preserve">Date:  28 August 2026</w:t>
      </w:r>
    </w:p>
    <w:p>
      <w:pPr>
        <w:spacing w:after="1200"/>
        <w:jc w:val="center"/>
      </w:pPr>
      <w:r>
        <w:rPr>
          <w:rFonts w:ascii="Calibri" w:cs="Calibri" w:eastAsia="Calibri" w:hAnsi="Calibri"/>
          <w:color w:val="262626"/>
          <w:sz w:val="22"/>
          <w:szCs w:val="22"/>
        </w:rPr>
        <w:t xml:space="preserve">Classification:  Internal / Academic Use</w:t>
      </w:r>
    </w:p>
    <w:p>
      <w:pPr>
        <w:spacing w:before="800"/>
        <w:jc w:val="center"/>
      </w:pPr>
      <w:r>
        <w:rPr>
          <w:rFonts w:ascii="Calibri" w:cs="Calibri" w:eastAsia="Calibri" w:hAnsi="Calibri"/>
          <w:i/>
          <w:iCs/>
          <w:color w:val="595959"/>
          <w:sz w:val="18"/>
          <w:szCs w:val="18"/>
        </w:rPr>
        <w:t xml:space="preserve">Prepared in accordance with IEEE Std 830-1998 (SRS structure)</w:t>
      </w:r>
    </w:p>
    <w:p>
      <w:r>
        <w:br w:type="page"/>
      </w:r>
    </w:p>
    <w:p>
      <w:pPr>
        <w:sectPr>
          <w:headerReference w:type="default" r:id="rId7"/>
          <w:footerReference w:type="default" r:id="rId8"/>
          <w:pgSz w:w="12240" w:h="15840" w:orient="portrait"/>
          <w:pgMar w:top="1080" w:right="1260" w:bottom="1080" w:left="1260" w:header="708" w:footer="708" w:gutter="0"/>
          <w:pgNumType/>
          <w:titlePg/>
          <w:docGrid w:linePitch="360"/>
        </w:sectPr>
      </w:pPr>
    </w:p>
    <w:p>
      <w:pPr>
        <w:pStyle w:val="Heading2"/>
        <w:spacing w:after="160" w:before="320"/>
      </w:pPr>
      <w:r>
        <w:rPr>
          <w:rFonts w:ascii="Calibri" w:cs="Calibri" w:eastAsia="Calibri" w:hAnsi="Calibri"/>
          <w:b/>
          <w:bCs/>
          <w:color w:val="2E5395"/>
          <w:sz w:val="24"/>
          <w:szCs w:val="24"/>
        </w:rPr>
        <w:t xml:space="preserve">Document Control</w:t>
      </w:r>
    </w:p>
    <w:p>
      <w:pPr>
        <w:spacing w:after="160" w:line="276"/>
        <w:jc w:val="both"/>
      </w:pPr>
      <w:r>
        <w:rPr>
          <w:rFonts w:ascii="Calibri" w:cs="Calibri" w:eastAsia="Calibri" w:hAnsi="Calibri"/>
          <w:color w:val="262626"/>
          <w:sz w:val="21"/>
          <w:szCs w:val="21"/>
        </w:rPr>
        <w:t xml:space="preserve">Revision history for this Software Requirements Specification:</w:t>
      </w:r>
    </w:p>
    <w:tbl>
      <w:tblPr>
        <w:tblW w:type="dxa" w:w="9400"/>
        <w:tblBorders>
          <w:top w:val="single" w:color="BFBFBF" w:sz="4"/>
          <w:left w:val="single" w:color="BFBFBF" w:sz="4"/>
          <w:bottom w:val="single" w:color="BFBFBF" w:sz="4"/>
          <w:right w:val="single" w:color="BFBFBF" w:sz="4"/>
          <w:insideH w:val="single" w:color="D9D9D9" w:sz="4"/>
          <w:insideV w:val="single" w:color="D9D9D9" w:sz="4"/>
        </w:tblBorders>
      </w:tblPr>
      <w:tblGrid>
        <w:gridCol w:w="1600"/>
        <w:gridCol w:w="1800"/>
        <w:gridCol w:w="2600"/>
        <w:gridCol w:w="3400"/>
      </w:tblGrid>
      <w:tr>
        <w:trPr>
          <w:cantSplit/>
          <w:tblHeader/>
        </w:trPr>
        <w:tc>
          <w:tcPr>
            <w:tcW w:type="dxa" w:w="16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Version</w:t>
            </w:r>
          </w:p>
        </w:tc>
        <w:tc>
          <w:tcPr>
            <w:tcW w:type="dxa" w:w="18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Date</w:t>
            </w:r>
          </w:p>
        </w:tc>
        <w:tc>
          <w:tcPr>
            <w:tcW w:type="dxa" w:w="26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Author</w:t>
            </w:r>
          </w:p>
        </w:tc>
        <w:tc>
          <w:tcPr>
            <w:tcW w:type="dxa" w:w="34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Description of Changes</w:t>
            </w:r>
          </w:p>
        </w:tc>
      </w:tr>
      <w:tr>
        <w:trPr>
          <w:cantSplit/>
        </w:trPr>
        <w:tc>
          <w:tcPr>
            <w:tcW w:type="dxa" w:w="16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0.1</w:t>
            </w:r>
          </w:p>
        </w:tc>
        <w:tc>
          <w:tcPr>
            <w:tcW w:type="dxa" w:w="18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10-Aug-2026</w:t>
            </w:r>
          </w:p>
        </w:tc>
        <w:tc>
          <w:tcPr>
            <w:tcW w:type="dxa" w:w="26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Project Author</w:t>
            </w:r>
          </w:p>
        </w:tc>
        <w:tc>
          <w:tcPr>
            <w:tcW w:type="dxa" w:w="34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Initial draft — scope and architecture</w:t>
            </w:r>
          </w:p>
        </w:tc>
      </w:tr>
      <w:tr>
        <w:trPr>
          <w:cantSplit/>
        </w:trPr>
        <w:tc>
          <w:tcPr>
            <w:tcW w:type="dxa" w:w="16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0.5</w:t>
            </w:r>
          </w:p>
        </w:tc>
        <w:tc>
          <w:tcPr>
            <w:tcW w:type="dxa" w:w="18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20-Aug-2026</w:t>
            </w:r>
          </w:p>
        </w:tc>
        <w:tc>
          <w:tcPr>
            <w:tcW w:type="dxa" w:w="26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Project Author</w:t>
            </w:r>
          </w:p>
        </w:tc>
        <w:tc>
          <w:tcPr>
            <w:tcW w:type="dxa" w:w="34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Added functional &amp; non-functional requirements</w:t>
            </w:r>
          </w:p>
        </w:tc>
      </w:tr>
      <w:tr>
        <w:trPr>
          <w:cantSplit/>
        </w:trPr>
        <w:tc>
          <w:tcPr>
            <w:tcW w:type="dxa" w:w="16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1.0</w:t>
            </w:r>
          </w:p>
        </w:tc>
        <w:tc>
          <w:tcPr>
            <w:tcW w:type="dxa" w:w="18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28-Aug-2026</w:t>
            </w:r>
          </w:p>
        </w:tc>
        <w:tc>
          <w:tcPr>
            <w:tcW w:type="dxa" w:w="26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Project Author</w:t>
            </w:r>
          </w:p>
        </w:tc>
        <w:tc>
          <w:tcPr>
            <w:tcW w:type="dxa" w:w="34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Full baseline release for review</w:t>
            </w:r>
          </w:p>
        </w:tc>
      </w:tr>
    </w:tbl>
    <w:p>
      <w:pPr>
        <w:spacing w:before="400"/>
      </w:pPr>
    </w:p>
    <w:p>
      <w:pPr>
        <w:pStyle w:val="Heading2"/>
        <w:spacing w:after="160" w:before="320"/>
      </w:pPr>
      <w:r>
        <w:rPr>
          <w:rFonts w:ascii="Calibri" w:cs="Calibri" w:eastAsia="Calibri" w:hAnsi="Calibri"/>
          <w:b/>
          <w:bCs/>
          <w:color w:val="2E5395"/>
          <w:sz w:val="24"/>
          <w:szCs w:val="24"/>
        </w:rPr>
        <w:t xml:space="preserve">Approval</w:t>
      </w:r>
    </w:p>
    <w:tbl>
      <w:tblPr>
        <w:tblW w:type="dxa" w:w="9400"/>
        <w:tblBorders>
          <w:top w:val="single" w:color="BFBFBF" w:sz="4"/>
          <w:left w:val="single" w:color="BFBFBF" w:sz="4"/>
          <w:bottom w:val="single" w:color="BFBFBF" w:sz="4"/>
          <w:right w:val="single" w:color="BFBFBF" w:sz="4"/>
          <w:insideH w:val="single" w:color="D9D9D9" w:sz="4"/>
          <w:insideV w:val="single" w:color="D9D9D9" w:sz="4"/>
        </w:tblBorders>
      </w:tblPr>
      <w:tblGrid>
        <w:gridCol w:w="2600"/>
        <w:gridCol w:w="2400"/>
        <w:gridCol w:w="2200"/>
        <w:gridCol w:w="2200"/>
      </w:tblGrid>
      <w:tr>
        <w:trPr>
          <w:cantSplit/>
          <w:tblHeader/>
        </w:trPr>
        <w:tc>
          <w:tcPr>
            <w:tcW w:type="dxa" w:w="26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Role</w:t>
            </w:r>
          </w:p>
        </w:tc>
        <w:tc>
          <w:tcPr>
            <w:tcW w:type="dxa" w:w="24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Name</w:t>
            </w:r>
          </w:p>
        </w:tc>
        <w:tc>
          <w:tcPr>
            <w:tcW w:type="dxa" w:w="22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Signature</w:t>
            </w:r>
          </w:p>
        </w:tc>
        <w:tc>
          <w:tcPr>
            <w:tcW w:type="dxa" w:w="22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Date</w:t>
            </w:r>
          </w:p>
        </w:tc>
      </w:tr>
      <w:tr>
        <w:trPr>
          <w:cantSplit/>
        </w:trPr>
        <w:tc>
          <w:tcPr>
            <w:tcW w:type="dxa" w:w="26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Project Owner</w:t>
            </w:r>
          </w:p>
        </w:tc>
        <w:tc>
          <w:tcPr>
            <w:tcW w:type="dxa" w:w="24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
            </w:r>
          </w:p>
        </w:tc>
        <w:tc>
          <w:tcPr>
            <w:tcW w:type="dxa" w:w="22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
            </w:r>
          </w:p>
        </w:tc>
        <w:tc>
          <w:tcPr>
            <w:tcW w:type="dxa" w:w="22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
            </w:r>
          </w:p>
        </w:tc>
      </w:tr>
      <w:tr>
        <w:trPr>
          <w:cantSplit/>
        </w:trPr>
        <w:tc>
          <w:tcPr>
            <w:tcW w:type="dxa" w:w="26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Technical Reviewer</w:t>
            </w:r>
          </w:p>
        </w:tc>
        <w:tc>
          <w:tcPr>
            <w:tcW w:type="dxa" w:w="24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
            </w:r>
          </w:p>
        </w:tc>
        <w:tc>
          <w:tcPr>
            <w:tcW w:type="dxa" w:w="22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
            </w:r>
          </w:p>
        </w:tc>
        <w:tc>
          <w:tcPr>
            <w:tcW w:type="dxa" w:w="22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
            </w:r>
          </w:p>
        </w:tc>
      </w:tr>
      <w:tr>
        <w:trPr>
          <w:cantSplit/>
        </w:trPr>
        <w:tc>
          <w:tcPr>
            <w:tcW w:type="dxa" w:w="26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Domain / Clinical Advisor</w:t>
            </w:r>
          </w:p>
        </w:tc>
        <w:tc>
          <w:tcPr>
            <w:tcW w:type="dxa" w:w="24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
            </w:r>
          </w:p>
        </w:tc>
        <w:tc>
          <w:tcPr>
            <w:tcW w:type="dxa" w:w="22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
            </w:r>
          </w:p>
        </w:tc>
        <w:tc>
          <w:tcPr>
            <w:tcW w:type="dxa" w:w="22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
            </w:r>
          </w:p>
        </w:tc>
      </w:tr>
    </w:tbl>
    <w:p>
      <w:r>
        <w:br w:type="page"/>
      </w:r>
    </w:p>
    <w:p>
      <w:pPr>
        <w:pStyle w:val="Heading2"/>
        <w:spacing w:after="160" w:before="320"/>
      </w:pPr>
      <w:r>
        <w:rPr>
          <w:rFonts w:ascii="Calibri" w:cs="Calibri" w:eastAsia="Calibri" w:hAnsi="Calibri"/>
          <w:b/>
          <w:bCs/>
          <w:color w:val="2E5395"/>
          <w:sz w:val="24"/>
          <w:szCs w:val="24"/>
        </w:rPr>
        <w:t xml:space="preserve">Table of Contents</w:t>
      </w:r>
    </w:p>
    <w:p>
      <w:pPr>
        <w:tabs>
          <w:tab w:val="right" w:pos="9026" w:leader="dot"/>
        </w:tabs>
        <w:spacing w:after="140"/>
        <w:ind w:left="0"/>
      </w:pPr>
      <w:r>
        <w:rPr>
          <w:rFonts w:ascii="Calibri" w:cs="Calibri" w:eastAsia="Calibri" w:hAnsi="Calibri"/>
          <w:b/>
          <w:bCs/>
          <w:color w:val="1F3864"/>
          <w:sz w:val="21"/>
          <w:szCs w:val="21"/>
        </w:rPr>
        <w:t xml:space="preserve">1  Introduction	4</w:t>
      </w:r>
    </w:p>
    <w:p>
      <w:pPr>
        <w:tabs>
          <w:tab w:val="right" w:pos="9026" w:leader="dot"/>
        </w:tabs>
        <w:spacing w:after="60"/>
        <w:ind w:left="360"/>
      </w:pPr>
      <w:r>
        <w:rPr>
          <w:rFonts w:ascii="Calibri" w:cs="Calibri" w:eastAsia="Calibri" w:hAnsi="Calibri"/>
          <w:b w:val="false"/>
          <w:bCs w:val="false"/>
          <w:color w:val="262626"/>
          <w:sz w:val="19"/>
          <w:szCs w:val="19"/>
        </w:rPr>
        <w:t xml:space="preserve">1.1 Purpose  ·  1.2 Scope  ·  1.3 Audience  ·  1.4 Definitions  ·  1.5 References  ·  1.6 Overview	4</w:t>
      </w:r>
    </w:p>
    <w:p>
      <w:pPr>
        <w:tabs>
          <w:tab w:val="right" w:pos="9026" w:leader="dot"/>
        </w:tabs>
        <w:spacing w:after="140"/>
        <w:ind w:left="0"/>
      </w:pPr>
      <w:r>
        <w:rPr>
          <w:rFonts w:ascii="Calibri" w:cs="Calibri" w:eastAsia="Calibri" w:hAnsi="Calibri"/>
          <w:b/>
          <w:bCs/>
          <w:color w:val="1F3864"/>
          <w:sz w:val="21"/>
          <w:szCs w:val="21"/>
        </w:rPr>
        <w:t xml:space="preserve">2  Overall Description	7</w:t>
      </w:r>
    </w:p>
    <w:p>
      <w:pPr>
        <w:tabs>
          <w:tab w:val="right" w:pos="9026" w:leader="dot"/>
        </w:tabs>
        <w:spacing w:after="140"/>
        <w:ind w:left="0"/>
      </w:pPr>
      <w:r>
        <w:rPr>
          <w:rFonts w:ascii="Calibri" w:cs="Calibri" w:eastAsia="Calibri" w:hAnsi="Calibri"/>
          <w:b/>
          <w:bCs/>
          <w:color w:val="1F3864"/>
          <w:sz w:val="21"/>
          <w:szCs w:val="21"/>
        </w:rPr>
        <w:t xml:space="preserve">3  System Architecture	10</w:t>
      </w:r>
    </w:p>
    <w:p>
      <w:pPr>
        <w:tabs>
          <w:tab w:val="right" w:pos="9026" w:leader="dot"/>
        </w:tabs>
        <w:spacing w:after="140"/>
        <w:ind w:left="0"/>
      </w:pPr>
      <w:r>
        <w:rPr>
          <w:rFonts w:ascii="Calibri" w:cs="Calibri" w:eastAsia="Calibri" w:hAnsi="Calibri"/>
          <w:b/>
          <w:bCs/>
          <w:color w:val="1F3864"/>
          <w:sz w:val="21"/>
          <w:szCs w:val="21"/>
        </w:rPr>
        <w:t xml:space="preserve">4  Functional Requirements	11</w:t>
      </w:r>
    </w:p>
    <w:p>
      <w:pPr>
        <w:tabs>
          <w:tab w:val="right" w:pos="9026" w:leader="dot"/>
        </w:tabs>
        <w:spacing w:after="60"/>
        <w:ind w:left="360"/>
      </w:pPr>
      <w:r>
        <w:rPr>
          <w:rFonts w:ascii="Calibri" w:cs="Calibri" w:eastAsia="Calibri" w:hAnsi="Calibri"/>
          <w:b w:val="false"/>
          <w:bCs w:val="false"/>
          <w:color w:val="262626"/>
          <w:sz w:val="19"/>
          <w:szCs w:val="19"/>
        </w:rPr>
        <w:t xml:space="preserve">4.1–4.7  Data, Preprocessing, Training, Inference, API, Frontend, Monitoring modules	11</w:t>
      </w:r>
    </w:p>
    <w:p>
      <w:pPr>
        <w:tabs>
          <w:tab w:val="right" w:pos="9026" w:leader="dot"/>
        </w:tabs>
        <w:spacing w:after="140"/>
        <w:ind w:left="0"/>
      </w:pPr>
      <w:r>
        <w:rPr>
          <w:rFonts w:ascii="Calibri" w:cs="Calibri" w:eastAsia="Calibri" w:hAnsi="Calibri"/>
          <w:b/>
          <w:bCs/>
          <w:color w:val="1F3864"/>
          <w:sz w:val="21"/>
          <w:szCs w:val="21"/>
        </w:rPr>
        <w:t xml:space="preserve">5  Non-Functional Requirements	14</w:t>
      </w:r>
    </w:p>
    <w:p>
      <w:pPr>
        <w:tabs>
          <w:tab w:val="right" w:pos="9026" w:leader="dot"/>
        </w:tabs>
        <w:spacing w:after="140"/>
        <w:ind w:left="0"/>
      </w:pPr>
      <w:r>
        <w:rPr>
          <w:rFonts w:ascii="Calibri" w:cs="Calibri" w:eastAsia="Calibri" w:hAnsi="Calibri"/>
          <w:b/>
          <w:bCs/>
          <w:color w:val="1F3864"/>
          <w:sz w:val="21"/>
          <w:szCs w:val="21"/>
        </w:rPr>
        <w:t xml:space="preserve">6  External Interface Requirements	15</w:t>
      </w:r>
    </w:p>
    <w:p>
      <w:pPr>
        <w:tabs>
          <w:tab w:val="right" w:pos="9026" w:leader="dot"/>
        </w:tabs>
        <w:spacing w:after="140"/>
        <w:ind w:left="0"/>
      </w:pPr>
      <w:r>
        <w:rPr>
          <w:rFonts w:ascii="Calibri" w:cs="Calibri" w:eastAsia="Calibri" w:hAnsi="Calibri"/>
          <w:b/>
          <w:bCs/>
          <w:color w:val="1F3864"/>
          <w:sz w:val="21"/>
          <w:szCs w:val="21"/>
        </w:rPr>
        <w:t xml:space="preserve">7  Data Requirements	16</w:t>
      </w:r>
    </w:p>
    <w:p>
      <w:pPr>
        <w:tabs>
          <w:tab w:val="right" w:pos="9026" w:leader="dot"/>
        </w:tabs>
        <w:spacing w:after="140"/>
        <w:ind w:left="0"/>
      </w:pPr>
      <w:r>
        <w:rPr>
          <w:rFonts w:ascii="Calibri" w:cs="Calibri" w:eastAsia="Calibri" w:hAnsi="Calibri"/>
          <w:b/>
          <w:bCs/>
          <w:color w:val="1F3864"/>
          <w:sz w:val="21"/>
          <w:szCs w:val="21"/>
        </w:rPr>
        <w:t xml:space="preserve">8  Use Case Specifications	17</w:t>
      </w:r>
    </w:p>
    <w:p>
      <w:pPr>
        <w:tabs>
          <w:tab w:val="right" w:pos="9026" w:leader="dot"/>
        </w:tabs>
        <w:spacing w:after="140"/>
        <w:ind w:left="0"/>
      </w:pPr>
      <w:r>
        <w:rPr>
          <w:rFonts w:ascii="Calibri" w:cs="Calibri" w:eastAsia="Calibri" w:hAnsi="Calibri"/>
          <w:b/>
          <w:bCs/>
          <w:color w:val="1F3864"/>
          <w:sz w:val="21"/>
          <w:szCs w:val="21"/>
        </w:rPr>
        <w:t xml:space="preserve">9  Model &amp; Evaluation Requirements	19</w:t>
      </w:r>
    </w:p>
    <w:p>
      <w:pPr>
        <w:tabs>
          <w:tab w:val="right" w:pos="9026" w:leader="dot"/>
        </w:tabs>
        <w:spacing w:after="140"/>
        <w:ind w:left="0"/>
      </w:pPr>
      <w:r>
        <w:rPr>
          <w:rFonts w:ascii="Calibri" w:cs="Calibri" w:eastAsia="Calibri" w:hAnsi="Calibri"/>
          <w:b/>
          <w:bCs/>
          <w:color w:val="1F3864"/>
          <w:sz w:val="21"/>
          <w:szCs w:val="21"/>
        </w:rPr>
        <w:t xml:space="preserve">10  Deployment Architecture	20</w:t>
      </w:r>
    </w:p>
    <w:p>
      <w:pPr>
        <w:tabs>
          <w:tab w:val="right" w:pos="9026" w:leader="dot"/>
        </w:tabs>
        <w:spacing w:after="140"/>
        <w:ind w:left="0"/>
      </w:pPr>
      <w:r>
        <w:rPr>
          <w:rFonts w:ascii="Calibri" w:cs="Calibri" w:eastAsia="Calibri" w:hAnsi="Calibri"/>
          <w:b/>
          <w:bCs/>
          <w:color w:val="1F3864"/>
          <w:sz w:val="21"/>
          <w:szCs w:val="21"/>
        </w:rPr>
        <w:t xml:space="preserve">11  Testing Strategy	21</w:t>
      </w:r>
    </w:p>
    <w:p>
      <w:pPr>
        <w:tabs>
          <w:tab w:val="right" w:pos="9026" w:leader="dot"/>
        </w:tabs>
        <w:spacing w:after="140"/>
        <w:ind w:left="0"/>
      </w:pPr>
      <w:r>
        <w:rPr>
          <w:rFonts w:ascii="Calibri" w:cs="Calibri" w:eastAsia="Calibri" w:hAnsi="Calibri"/>
          <w:b/>
          <w:bCs/>
          <w:color w:val="1F3864"/>
          <w:sz w:val="21"/>
          <w:szCs w:val="21"/>
        </w:rPr>
        <w:t xml:space="preserve">12  Project Plan and Milestones	22</w:t>
      </w:r>
    </w:p>
    <w:p>
      <w:pPr>
        <w:tabs>
          <w:tab w:val="right" w:pos="9026" w:leader="dot"/>
        </w:tabs>
        <w:spacing w:after="140"/>
        <w:ind w:left="0"/>
      </w:pPr>
      <w:r>
        <w:rPr>
          <w:rFonts w:ascii="Calibri" w:cs="Calibri" w:eastAsia="Calibri" w:hAnsi="Calibri"/>
          <w:b/>
          <w:bCs/>
          <w:color w:val="1F3864"/>
          <w:sz w:val="21"/>
          <w:szCs w:val="21"/>
        </w:rPr>
        <w:t xml:space="preserve">13  Risk Analysis	23</w:t>
      </w:r>
    </w:p>
    <w:p>
      <w:pPr>
        <w:tabs>
          <w:tab w:val="right" w:pos="9026" w:leader="dot"/>
        </w:tabs>
        <w:spacing w:after="140"/>
        <w:ind w:left="0"/>
      </w:pPr>
      <w:r>
        <w:rPr>
          <w:rFonts w:ascii="Calibri" w:cs="Calibri" w:eastAsia="Calibri" w:hAnsi="Calibri"/>
          <w:b/>
          <w:bCs/>
          <w:color w:val="1F3864"/>
          <w:sz w:val="21"/>
          <w:szCs w:val="21"/>
        </w:rPr>
        <w:t xml:space="preserve">14  Ethical, Legal, and Regulatory Considerations	24</w:t>
      </w:r>
    </w:p>
    <w:p>
      <w:pPr>
        <w:tabs>
          <w:tab w:val="right" w:pos="9026" w:leader="dot"/>
        </w:tabs>
        <w:spacing w:after="140"/>
        <w:ind w:left="0"/>
      </w:pPr>
      <w:r>
        <w:rPr>
          <w:rFonts w:ascii="Calibri" w:cs="Calibri" w:eastAsia="Calibri" w:hAnsi="Calibri"/>
          <w:b/>
          <w:bCs/>
          <w:color w:val="1F3864"/>
          <w:sz w:val="21"/>
          <w:szCs w:val="21"/>
        </w:rPr>
        <w:t xml:space="preserve">15  Appendices	25</w:t>
      </w:r>
    </w:p>
    <w:p>
      <w:r>
        <w:br w:type="page"/>
      </w:r>
    </w:p>
    <w:p>
      <w:pPr>
        <w:sectPr>
          <w:headerReference w:type="default" r:id="rId9"/>
          <w:footerReference w:type="default" r:id="rId10"/>
          <w:pgSz w:w="12240" w:h="15840" w:orient="portrait"/>
          <w:pgMar w:top="1080" w:right="1260" w:bottom="1080" w:left="1260" w:header="708" w:footer="708" w:gutter="0"/>
          <w:pgNumType/>
          <w:titlePg/>
          <w:docGrid w:linePitch="360"/>
        </w:sectPr>
      </w:pPr>
    </w:p>
    <w:p>
      <w:pPr>
        <w:pStyle w:val="Heading1"/>
        <w:pBdr>
          <w:bottom w:val="single" w:color="4472C4" w:sz="6" w:space="4"/>
        </w:pBdr>
        <w:spacing w:after="240" w:before="480"/>
      </w:pPr>
      <w:r>
        <w:rPr>
          <w:rFonts w:ascii="Calibri" w:cs="Calibri" w:eastAsia="Calibri" w:hAnsi="Calibri"/>
          <w:b/>
          <w:bCs/>
          <w:color w:val="1F3864"/>
          <w:sz w:val="30"/>
          <w:szCs w:val="30"/>
        </w:rPr>
        <w:t xml:space="preserve">1  Introduction</w:t>
      </w:r>
    </w:p>
    <w:p>
      <w:pPr>
        <w:pStyle w:val="Heading2"/>
        <w:spacing w:after="160" w:before="320"/>
      </w:pPr>
      <w:r>
        <w:rPr>
          <w:rFonts w:ascii="Calibri" w:cs="Calibri" w:eastAsia="Calibri" w:hAnsi="Calibri"/>
          <w:b/>
          <w:bCs/>
          <w:color w:val="2E5395"/>
          <w:sz w:val="24"/>
          <w:szCs w:val="24"/>
        </w:rPr>
        <w:t xml:space="preserve">1.1 Purpose</w:t>
      </w:r>
    </w:p>
    <w:p>
      <w:pPr>
        <w:spacing w:after="160" w:line="276"/>
        <w:jc w:val="both"/>
      </w:pPr>
      <w:r>
        <w:rPr>
          <w:rFonts w:ascii="Calibri" w:cs="Calibri" w:eastAsia="Calibri" w:hAnsi="Calibri"/>
          <w:color w:val="262626"/>
          <w:sz w:val="21"/>
          <w:szCs w:val="21"/>
        </w:rPr>
        <w:t xml:space="preserve">This Software Requirements Specification (SRS) defines the functional, non-functional, data, interface, and deployment requirements for the Medical Imaging Diagnostic Pipeline — an end-to-end system that performs automated brain tumor segmentation from multi-modal MRI scans using the BraTS (Brain Tumor Segmentation) dataset. The document is intended to serve as the single authoritative reference for design, implementation, testing, and deployment decisions throughout the project lifecycle.</w:t>
      </w:r>
    </w:p>
    <w:p>
      <w:pPr>
        <w:spacing w:after="160" w:line="276"/>
        <w:jc w:val="both"/>
      </w:pPr>
      <w:r>
        <w:rPr>
          <w:rFonts w:ascii="Calibri" w:cs="Calibri" w:eastAsia="Calibri" w:hAnsi="Calibri"/>
          <w:color w:val="262626"/>
          <w:sz w:val="21"/>
          <w:szCs w:val="21"/>
        </w:rPr>
        <w:t xml:space="preserve">The system covers the full path from raw NIfTI MRI volumes to a deployed, containerized inference service with a web-based visualization front end, and is built to demonstrate production-grade engineering practices rather than a notebook-only prototype.</w:t>
      </w:r>
    </w:p>
    <w:p>
      <w:pPr>
        <w:pStyle w:val="Heading2"/>
        <w:spacing w:after="160" w:before="320"/>
      </w:pPr>
      <w:r>
        <w:rPr>
          <w:rFonts w:ascii="Calibri" w:cs="Calibri" w:eastAsia="Calibri" w:hAnsi="Calibri"/>
          <w:b/>
          <w:bCs/>
          <w:color w:val="2E5395"/>
          <w:sz w:val="24"/>
          <w:szCs w:val="24"/>
        </w:rPr>
        <w:t xml:space="preserve">1.2 Scope</w:t>
      </w:r>
    </w:p>
    <w:p>
      <w:pPr>
        <w:spacing w:after="160" w:line="276"/>
        <w:jc w:val="both"/>
      </w:pPr>
      <w:r>
        <w:rPr>
          <w:rFonts w:ascii="Calibri" w:cs="Calibri" w:eastAsia="Calibri" w:hAnsi="Calibri"/>
          <w:color w:val="262626"/>
          <w:sz w:val="21"/>
          <w:szCs w:val="21"/>
        </w:rPr>
        <w:t xml:space="preserve">The system, referred to throughout this document as the Pipeline, shall:</w:t>
      </w:r>
    </w:p>
    <w:p>
      <w:pPr>
        <w:pStyle w:val="ListParagraph"/>
        <w:numPr>
          <w:ilvl w:val="0"/>
          <w:numId w:val="2"/>
        </w:numPr>
        <w:spacing w:after="90"/>
      </w:pPr>
      <w:r>
        <w:rPr>
          <w:rFonts w:ascii="Calibri" w:cs="Calibri" w:eastAsia="Calibri" w:hAnsi="Calibri"/>
          <w:color w:val="262626"/>
          <w:sz w:val="21"/>
          <w:szCs w:val="21"/>
        </w:rPr>
        <w:t xml:space="preserve">Ingest and validate multi-modal MRI volumes (T1, T1ce, T2, FLAIR) in NIfTI format.</w:t>
      </w:r>
    </w:p>
    <w:p>
      <w:pPr>
        <w:pStyle w:val="ListParagraph"/>
        <w:numPr>
          <w:ilvl w:val="0"/>
          <w:numId w:val="2"/>
        </w:numPr>
        <w:spacing w:after="90"/>
      </w:pPr>
      <w:r>
        <w:rPr>
          <w:rFonts w:ascii="Calibri" w:cs="Calibri" w:eastAsia="Calibri" w:hAnsi="Calibri"/>
          <w:color w:val="262626"/>
          <w:sz w:val="21"/>
          <w:szCs w:val="21"/>
        </w:rPr>
        <w:t xml:space="preserve">Preprocess volumes through resampling, skull-stripping validation, intensity normalization, and patch extraction.</w:t>
      </w:r>
    </w:p>
    <w:p>
      <w:pPr>
        <w:pStyle w:val="ListParagraph"/>
        <w:numPr>
          <w:ilvl w:val="0"/>
          <w:numId w:val="2"/>
        </w:numPr>
        <w:spacing w:after="90"/>
      </w:pPr>
      <w:r>
        <w:rPr>
          <w:rFonts w:ascii="Calibri" w:cs="Calibri" w:eastAsia="Calibri" w:hAnsi="Calibri"/>
          <w:color w:val="262626"/>
          <w:sz w:val="21"/>
          <w:szCs w:val="21"/>
        </w:rPr>
        <w:t xml:space="preserve">Train and evaluate a 3D deep learning segmentation model (3D U-Net baseline, with an nnU-Net / Swin-UNETR extension path) to delineate tumor sub-regions: enhancing tumor (ET), tumor core (TC), and whole tumor (WT).</w:t>
      </w:r>
    </w:p>
    <w:p>
      <w:pPr>
        <w:pStyle w:val="ListParagraph"/>
        <w:numPr>
          <w:ilvl w:val="0"/>
          <w:numId w:val="2"/>
        </w:numPr>
        <w:spacing w:after="90"/>
      </w:pPr>
      <w:r>
        <w:rPr>
          <w:rFonts w:ascii="Calibri" w:cs="Calibri" w:eastAsia="Calibri" w:hAnsi="Calibri"/>
          <w:color w:val="262626"/>
          <w:sz w:val="21"/>
          <w:szCs w:val="21"/>
        </w:rPr>
        <w:t xml:space="preserve">Serve trained models through a versioned REST API for sliding-window inference on new scans.</w:t>
      </w:r>
    </w:p>
    <w:p>
      <w:pPr>
        <w:pStyle w:val="ListParagraph"/>
        <w:numPr>
          <w:ilvl w:val="0"/>
          <w:numId w:val="2"/>
        </w:numPr>
        <w:spacing w:after="90"/>
      </w:pPr>
      <w:r>
        <w:rPr>
          <w:rFonts w:ascii="Calibri" w:cs="Calibri" w:eastAsia="Calibri" w:hAnsi="Calibri"/>
          <w:color w:val="262626"/>
          <w:sz w:val="21"/>
          <w:szCs w:val="21"/>
        </w:rPr>
        <w:t xml:space="preserve">Provide a web interface for uploading scans, viewing slice-by-slice segmentation overlays, and downloading a structured report.</w:t>
      </w:r>
    </w:p>
    <w:p>
      <w:pPr>
        <w:pStyle w:val="ListParagraph"/>
        <w:numPr>
          <w:ilvl w:val="0"/>
          <w:numId w:val="2"/>
        </w:numPr>
        <w:spacing w:after="90"/>
      </w:pPr>
      <w:r>
        <w:rPr>
          <w:rFonts w:ascii="Calibri" w:cs="Calibri" w:eastAsia="Calibri" w:hAnsi="Calibri"/>
          <w:color w:val="262626"/>
          <w:sz w:val="21"/>
          <w:szCs w:val="21"/>
        </w:rPr>
        <w:t xml:space="preserve">Track experiments, version datasets and models, and expose operational monitoring (latency, throughput, input drift).</w:t>
      </w:r>
    </w:p>
    <w:p>
      <w:pPr>
        <w:pStyle w:val="ListParagraph"/>
        <w:numPr>
          <w:ilvl w:val="0"/>
          <w:numId w:val="2"/>
        </w:numPr>
        <w:spacing w:after="90"/>
      </w:pPr>
      <w:r>
        <w:rPr>
          <w:rFonts w:ascii="Calibri" w:cs="Calibri" w:eastAsia="Calibri" w:hAnsi="Calibri"/>
          <w:color w:val="262626"/>
          <w:sz w:val="21"/>
          <w:szCs w:val="21"/>
        </w:rPr>
        <w:t xml:space="preserve">Be packaged and deployed via Docker containers with a documented CI/CD pipeline.</w:t>
      </w:r>
    </w:p>
    <w:p>
      <w:pPr>
        <w:spacing w:after="160" w:line="276"/>
        <w:jc w:val="both"/>
      </w:pPr>
      <w:r>
        <w:rPr>
          <w:rFonts w:ascii="Calibri" w:cs="Calibri" w:eastAsia="Calibri" w:hAnsi="Calibri"/>
          <w:color w:val="262626"/>
          <w:sz w:val="21"/>
          <w:szCs w:val="21"/>
        </w:rPr>
        <w:t xml:space="preserve">Out of scope: real-time intraoperative imaging, integration with a hospital PACS/EHR system beyond a DICOM-import stub, and any claim of regulatory (FDA/CE) clearance. The system is explicitly a research and portfolio-grade pipeline — see Section 14, Ethical, Legal, and Regulatory Considerations.</w:t>
      </w:r>
    </w:p>
    <w:p>
      <w:pPr>
        <w:pStyle w:val="Heading2"/>
        <w:spacing w:after="160" w:before="320"/>
      </w:pPr>
      <w:r>
        <w:rPr>
          <w:rFonts w:ascii="Calibri" w:cs="Calibri" w:eastAsia="Calibri" w:hAnsi="Calibri"/>
          <w:b/>
          <w:bCs/>
          <w:color w:val="2E5395"/>
          <w:sz w:val="24"/>
          <w:szCs w:val="24"/>
        </w:rPr>
        <w:t xml:space="preserve">1.3 Intended Audience</w:t>
      </w:r>
    </w:p>
    <w:tbl>
      <w:tblPr>
        <w:tblW w:type="dxa" w:w="9400"/>
        <w:tblBorders>
          <w:top w:val="single" w:color="BFBFBF" w:sz="4"/>
          <w:left w:val="single" w:color="BFBFBF" w:sz="4"/>
          <w:bottom w:val="single" w:color="BFBFBF" w:sz="4"/>
          <w:right w:val="single" w:color="BFBFBF" w:sz="4"/>
          <w:insideH w:val="single" w:color="D9D9D9" w:sz="4"/>
          <w:insideV w:val="single" w:color="D9D9D9" w:sz="4"/>
        </w:tblBorders>
      </w:tblPr>
      <w:tblGrid>
        <w:gridCol w:w="3200"/>
        <w:gridCol w:w="6200"/>
      </w:tblGrid>
      <w:tr>
        <w:trPr>
          <w:cantSplit/>
          <w:tblHeader/>
        </w:trPr>
        <w:tc>
          <w:tcPr>
            <w:tcW w:type="dxa" w:w="32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Audience</w:t>
            </w:r>
          </w:p>
        </w:tc>
        <w:tc>
          <w:tcPr>
            <w:tcW w:type="dxa" w:w="62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Interest in this Document</w:t>
            </w:r>
          </w:p>
        </w:tc>
      </w:tr>
      <w:tr>
        <w:trPr>
          <w:cantSplit/>
        </w:trPr>
        <w:tc>
          <w:tcPr>
            <w:tcW w:type="dxa" w:w="32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ML / Software Engineer (you)</w:t>
            </w:r>
          </w:p>
        </w:tc>
        <w:tc>
          <w:tcPr>
            <w:tcW w:type="dxa" w:w="62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Primary implementer — uses this SRS as the build blueprint for every module.</w:t>
            </w:r>
          </w:p>
        </w:tc>
      </w:tr>
      <w:tr>
        <w:trPr>
          <w:cantSplit/>
        </w:trPr>
        <w:tc>
          <w:tcPr>
            <w:tcW w:type="dxa" w:w="32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Technical Reviewer / Mentor</w:t>
            </w:r>
          </w:p>
        </w:tc>
        <w:tc>
          <w:tcPr>
            <w:tcW w:type="dxa" w:w="62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Assesses architecture soundness, completeness, and engineering rigor.</w:t>
            </w:r>
          </w:p>
        </w:tc>
      </w:tr>
      <w:tr>
        <w:trPr>
          <w:cantSplit/>
        </w:trPr>
        <w:tc>
          <w:tcPr>
            <w:tcW w:type="dxa" w:w="32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Recruiters / Hiring Panels</w:t>
            </w:r>
          </w:p>
        </w:tc>
        <w:tc>
          <w:tcPr>
            <w:tcW w:type="dxa" w:w="62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Evaluates the project as a portfolio artifact demonstrating end-to-end capability.</w:t>
            </w:r>
          </w:p>
        </w:tc>
      </w:tr>
      <w:tr>
        <w:trPr>
          <w:cantSplit/>
        </w:trPr>
        <w:tc>
          <w:tcPr>
            <w:tcW w:type="dxa" w:w="32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Future Contributors</w:t>
            </w:r>
          </w:p>
        </w:tc>
        <w:tc>
          <w:tcPr>
            <w:tcW w:type="dxa" w:w="62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Onboards onto the codebase using the module boundaries defined here.</w:t>
            </w:r>
          </w:p>
        </w:tc>
      </w:tr>
    </w:tbl>
    <w:p>
      <w:pPr>
        <w:pStyle w:val="Heading2"/>
        <w:spacing w:after="160" w:before="320"/>
      </w:pPr>
      <w:r>
        <w:rPr>
          <w:rFonts w:ascii="Calibri" w:cs="Calibri" w:eastAsia="Calibri" w:hAnsi="Calibri"/>
          <w:b/>
          <w:bCs/>
          <w:color w:val="2E5395"/>
          <w:sz w:val="24"/>
          <w:szCs w:val="24"/>
        </w:rPr>
        <w:t xml:space="preserve">1.4 Definitions, Acronyms and Abbreviations</w:t>
      </w:r>
    </w:p>
    <w:tbl>
      <w:tblPr>
        <w:tblW w:type="dxa" w:w="9400"/>
        <w:tblBorders>
          <w:top w:val="single" w:color="BFBFBF" w:sz="4"/>
          <w:left w:val="single" w:color="BFBFBF" w:sz="4"/>
          <w:bottom w:val="single" w:color="BFBFBF" w:sz="4"/>
          <w:right w:val="single" w:color="BFBFBF" w:sz="4"/>
          <w:insideH w:val="single" w:color="D9D9D9" w:sz="4"/>
          <w:insideV w:val="single" w:color="D9D9D9" w:sz="4"/>
        </w:tblBorders>
      </w:tblPr>
      <w:tblGrid>
        <w:gridCol w:w="3000"/>
        <w:gridCol w:w="6400"/>
      </w:tblGrid>
      <w:tr>
        <w:trPr>
          <w:cantSplit/>
          <w:tblHeader/>
        </w:trPr>
        <w:tc>
          <w:tcPr>
            <w:tcW w:type="dxa" w:w="30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Term</w:t>
            </w:r>
          </w:p>
        </w:tc>
        <w:tc>
          <w:tcPr>
            <w:tcW w:type="dxa" w:w="64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Definition</w:t>
            </w:r>
          </w:p>
        </w:tc>
      </w:tr>
      <w:tr>
        <w:trPr>
          <w:cantSplit/>
        </w:trPr>
        <w:tc>
          <w:tcPr>
            <w:tcW w:type="dxa" w:w="30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BraTS</w:t>
            </w:r>
          </w:p>
        </w:tc>
        <w:tc>
          <w:tcPr>
            <w:tcW w:type="dxa" w:w="64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Brain Tumor Segmentation benchmark dataset and challenge, multi-institutional multi-modal MRI with expert tumor annotations.</w:t>
            </w:r>
          </w:p>
        </w:tc>
      </w:tr>
      <w:tr>
        <w:trPr>
          <w:cantSplit/>
        </w:trPr>
        <w:tc>
          <w:tcPr>
            <w:tcW w:type="dxa" w:w="30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NIfTI</w:t>
            </w:r>
          </w:p>
        </w:tc>
        <w:tc>
          <w:tcPr>
            <w:tcW w:type="dxa" w:w="64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Neuroimaging Informatics Technology Initiative — .nii/.nii.gz volumetric medical image file format.</w:t>
            </w:r>
          </w:p>
        </w:tc>
      </w:tr>
      <w:tr>
        <w:trPr>
          <w:cantSplit/>
        </w:trPr>
        <w:tc>
          <w:tcPr>
            <w:tcW w:type="dxa" w:w="30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DICOM</w:t>
            </w:r>
          </w:p>
        </w:tc>
        <w:tc>
          <w:tcPr>
            <w:tcW w:type="dxa" w:w="64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Digital Imaging and Communications in Medicine — the clinical standard format for medical images.</w:t>
            </w:r>
          </w:p>
        </w:tc>
      </w:tr>
      <w:tr>
        <w:trPr>
          <w:cantSplit/>
        </w:trPr>
        <w:tc>
          <w:tcPr>
            <w:tcW w:type="dxa" w:w="30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MRI Modality (T1, T1ce, T2, FLAIR)</w:t>
            </w:r>
          </w:p>
        </w:tc>
        <w:tc>
          <w:tcPr>
            <w:tcW w:type="dxa" w:w="64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Four MRI sequences included per BraTS case; T1ce = post-contrast T1, FLAIR = fluid-attenuated inversion recovery.</w:t>
            </w:r>
          </w:p>
        </w:tc>
      </w:tr>
      <w:tr>
        <w:trPr>
          <w:cantSplit/>
        </w:trPr>
        <w:tc>
          <w:tcPr>
            <w:tcW w:type="dxa" w:w="30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ET / TC / WT</w:t>
            </w:r>
          </w:p>
        </w:tc>
        <w:tc>
          <w:tcPr>
            <w:tcW w:type="dxa" w:w="64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Enhancing Tumor / Tumor Core / Whole Tumor — the three overlapping tumor sub-region labels scored in BraTS.</w:t>
            </w:r>
          </w:p>
        </w:tc>
      </w:tr>
      <w:tr>
        <w:trPr>
          <w:cantSplit/>
        </w:trPr>
        <w:tc>
          <w:tcPr>
            <w:tcW w:type="dxa" w:w="30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Dice Coefficient</w:t>
            </w:r>
          </w:p>
        </w:tc>
        <w:tc>
          <w:tcPr>
            <w:tcW w:type="dxa" w:w="64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Overlap-based segmentation metric; 2×|A∩B| / (|A|+|B|), range 0–1.</w:t>
            </w:r>
          </w:p>
        </w:tc>
      </w:tr>
      <w:tr>
        <w:trPr>
          <w:cantSplit/>
        </w:trPr>
        <w:tc>
          <w:tcPr>
            <w:tcW w:type="dxa" w:w="30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HD95</w:t>
            </w:r>
          </w:p>
        </w:tc>
        <w:tc>
          <w:tcPr>
            <w:tcW w:type="dxa" w:w="64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95th-percentile Hausdorff Distance — boundary-based segmentation error metric, in millimeters.</w:t>
            </w:r>
          </w:p>
        </w:tc>
      </w:tr>
      <w:tr>
        <w:trPr>
          <w:cantSplit/>
        </w:trPr>
        <w:tc>
          <w:tcPr>
            <w:tcW w:type="dxa" w:w="30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nnU-Net</w:t>
            </w:r>
          </w:p>
        </w:tc>
        <w:tc>
          <w:tcPr>
            <w:tcW w:type="dxa" w:w="64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Self-configuring U-Net framework that derives architecture and preprocessing from a dataset fingerprint.</w:t>
            </w:r>
          </w:p>
        </w:tc>
      </w:tr>
      <w:tr>
        <w:trPr>
          <w:cantSplit/>
        </w:trPr>
        <w:tc>
          <w:tcPr>
            <w:tcW w:type="dxa" w:w="30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Sliding-Window Inference</w:t>
            </w:r>
          </w:p>
        </w:tc>
        <w:tc>
          <w:tcPr>
            <w:tcW w:type="dxa" w:w="64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Technique for running a patch-trained model over a full volume by tiling overlapping patches.</w:t>
            </w:r>
          </w:p>
        </w:tc>
      </w:tr>
      <w:tr>
        <w:trPr>
          <w:cantSplit/>
        </w:trPr>
        <w:tc>
          <w:tcPr>
            <w:tcW w:type="dxa" w:w="30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ONNX</w:t>
            </w:r>
          </w:p>
        </w:tc>
        <w:tc>
          <w:tcPr>
            <w:tcW w:type="dxa" w:w="64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Open Neural Network Exchange — interoperable format for exporting trained models for inference.</w:t>
            </w:r>
          </w:p>
        </w:tc>
      </w:tr>
      <w:tr>
        <w:trPr>
          <w:cantSplit/>
        </w:trPr>
        <w:tc>
          <w:tcPr>
            <w:tcW w:type="dxa" w:w="30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API</w:t>
            </w:r>
          </w:p>
        </w:tc>
        <w:tc>
          <w:tcPr>
            <w:tcW w:type="dxa" w:w="64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Application Programming Interface.</w:t>
            </w:r>
          </w:p>
        </w:tc>
      </w:tr>
      <w:tr>
        <w:trPr>
          <w:cantSplit/>
        </w:trPr>
        <w:tc>
          <w:tcPr>
            <w:tcW w:type="dxa" w:w="30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CI/CD</w:t>
            </w:r>
          </w:p>
        </w:tc>
        <w:tc>
          <w:tcPr>
            <w:tcW w:type="dxa" w:w="64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Continuous Integration / Continuous Deployment.</w:t>
            </w:r>
          </w:p>
        </w:tc>
      </w:tr>
      <w:tr>
        <w:trPr>
          <w:cantSplit/>
        </w:trPr>
        <w:tc>
          <w:tcPr>
            <w:tcW w:type="dxa" w:w="30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PHI</w:t>
            </w:r>
          </w:p>
        </w:tc>
        <w:tc>
          <w:tcPr>
            <w:tcW w:type="dxa" w:w="64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Protected Health Information.</w:t>
            </w:r>
          </w:p>
        </w:tc>
      </w:tr>
    </w:tbl>
    <w:p>
      <w:pPr>
        <w:pStyle w:val="Heading2"/>
        <w:spacing w:after="160" w:before="320"/>
      </w:pPr>
      <w:r>
        <w:rPr>
          <w:rFonts w:ascii="Calibri" w:cs="Calibri" w:eastAsia="Calibri" w:hAnsi="Calibri"/>
          <w:b/>
          <w:bCs/>
          <w:color w:val="2E5395"/>
          <w:sz w:val="24"/>
          <w:szCs w:val="24"/>
        </w:rPr>
        <w:t xml:space="preserve">1.5 References</w:t>
      </w:r>
    </w:p>
    <w:p>
      <w:pPr>
        <w:pStyle w:val="ListParagraph"/>
        <w:numPr>
          <w:ilvl w:val="0"/>
          <w:numId w:val="3"/>
        </w:numPr>
        <w:spacing w:after="90"/>
      </w:pPr>
      <w:r>
        <w:rPr>
          <w:rFonts w:ascii="Calibri" w:cs="Calibri" w:eastAsia="Calibri" w:hAnsi="Calibri"/>
          <w:color w:val="262626"/>
          <w:sz w:val="21"/>
          <w:szCs w:val="21"/>
        </w:rPr>
        <w:t xml:space="preserve">Menze, B. et al. "The Multimodal Brain Tumor Image Segmentation Benchmark (BraTS)." IEEE Transactions on Medical Imaging, 2015.</w:t>
      </w:r>
    </w:p>
    <w:p>
      <w:pPr>
        <w:pStyle w:val="ListParagraph"/>
        <w:numPr>
          <w:ilvl w:val="0"/>
          <w:numId w:val="3"/>
        </w:numPr>
        <w:spacing w:after="90"/>
      </w:pPr>
      <w:r>
        <w:rPr>
          <w:rFonts w:ascii="Calibri" w:cs="Calibri" w:eastAsia="Calibri" w:hAnsi="Calibri"/>
          <w:color w:val="262626"/>
          <w:sz w:val="21"/>
          <w:szCs w:val="21"/>
        </w:rPr>
        <w:t xml:space="preserve">Baid, U. et al. "The RSNA-ASNR-MICCAI BraTS 2021 Benchmark on Brain Tumor Segmentation and Radiogenomic Classification." arXiv, 2021.</w:t>
      </w:r>
    </w:p>
    <w:p>
      <w:pPr>
        <w:pStyle w:val="ListParagraph"/>
        <w:numPr>
          <w:ilvl w:val="0"/>
          <w:numId w:val="3"/>
        </w:numPr>
        <w:spacing w:after="90"/>
      </w:pPr>
      <w:r>
        <w:rPr>
          <w:rFonts w:ascii="Calibri" w:cs="Calibri" w:eastAsia="Calibri" w:hAnsi="Calibri"/>
          <w:color w:val="262626"/>
          <w:sz w:val="21"/>
          <w:szCs w:val="21"/>
        </w:rPr>
        <w:t xml:space="preserve">Isensee, F. et al. "nnU-Net: a self-configuring method for deep learning-based biomedical image segmentation." Nature Methods, 2021.</w:t>
      </w:r>
    </w:p>
    <w:p>
      <w:pPr>
        <w:pStyle w:val="ListParagraph"/>
        <w:numPr>
          <w:ilvl w:val="0"/>
          <w:numId w:val="3"/>
        </w:numPr>
        <w:spacing w:after="90"/>
      </w:pPr>
      <w:r>
        <w:rPr>
          <w:rFonts w:ascii="Calibri" w:cs="Calibri" w:eastAsia="Calibri" w:hAnsi="Calibri"/>
          <w:color w:val="262626"/>
          <w:sz w:val="21"/>
          <w:szCs w:val="21"/>
        </w:rPr>
        <w:t xml:space="preserve">Ronneberger, O. et al. "U-Net: Convolutional Networks for Biomedical Image Segmentation." MICCAI, 2015.</w:t>
      </w:r>
    </w:p>
    <w:p>
      <w:pPr>
        <w:pStyle w:val="ListParagraph"/>
        <w:numPr>
          <w:ilvl w:val="0"/>
          <w:numId w:val="3"/>
        </w:numPr>
        <w:spacing w:after="90"/>
      </w:pPr>
      <w:r>
        <w:rPr>
          <w:rFonts w:ascii="Calibri" w:cs="Calibri" w:eastAsia="Calibri" w:hAnsi="Calibri"/>
          <w:color w:val="262626"/>
          <w:sz w:val="21"/>
          <w:szCs w:val="21"/>
        </w:rPr>
        <w:t xml:space="preserve">MONAI Consortium. MONAI: Medical Open Network for AI, documentation, https://monai.io</w:t>
      </w:r>
    </w:p>
    <w:p>
      <w:pPr>
        <w:pStyle w:val="ListParagraph"/>
        <w:numPr>
          <w:ilvl w:val="0"/>
          <w:numId w:val="3"/>
        </w:numPr>
        <w:spacing w:after="90"/>
      </w:pPr>
      <w:r>
        <w:rPr>
          <w:rFonts w:ascii="Calibri" w:cs="Calibri" w:eastAsia="Calibri" w:hAnsi="Calibri"/>
          <w:color w:val="262626"/>
          <w:sz w:val="21"/>
          <w:szCs w:val="21"/>
        </w:rPr>
        <w:t xml:space="preserve">IEEE Std 830-1998 — IEEE Recommended Practice for Software Requirements Specifications (structural reference for this document).</w:t>
      </w:r>
    </w:p>
    <w:p>
      <w:pPr>
        <w:spacing w:after="160" w:before="120"/>
      </w:pPr>
      <w:r>
        <w:rPr>
          <w:rFonts w:ascii="Calibri" w:cs="Calibri" w:eastAsia="Calibri" w:hAnsi="Calibri"/>
          <w:i/>
          <w:iCs/>
          <w:color w:val="595959"/>
          <w:sz w:val="18"/>
          <w:szCs w:val="18"/>
        </w:rPr>
        <w:t xml:space="preserve">Note: this document is authored directly and does not itself contain hallucinated citations, but any future citations Claude adds when assisting on this project should be independently verified, as it does not have live database or search access unless explicitly used.</w:t>
      </w:r>
    </w:p>
    <w:p>
      <w:pPr>
        <w:pStyle w:val="Heading2"/>
        <w:spacing w:after="160" w:before="320"/>
      </w:pPr>
      <w:r>
        <w:rPr>
          <w:rFonts w:ascii="Calibri" w:cs="Calibri" w:eastAsia="Calibri" w:hAnsi="Calibri"/>
          <w:b/>
          <w:bCs/>
          <w:color w:val="2E5395"/>
          <w:sz w:val="24"/>
          <w:szCs w:val="24"/>
        </w:rPr>
        <w:t xml:space="preserve">1.6 Document Overview</w:t>
      </w:r>
    </w:p>
    <w:p>
      <w:pPr>
        <w:spacing w:after="160" w:line="276"/>
        <w:jc w:val="both"/>
      </w:pPr>
      <w:r>
        <w:rPr>
          <w:rFonts w:ascii="Calibri" w:cs="Calibri" w:eastAsia="Calibri" w:hAnsi="Calibri"/>
          <w:color w:val="262626"/>
          <w:sz w:val="21"/>
          <w:szCs w:val="21"/>
        </w:rPr>
        <w:t xml:space="preserve">Section 2 gives the overall product description. Section 3 defines system architecture. Section 4 specifies functional requirements by module. Section 5 lists non-functional requirements. Section 6 covers external interfaces. Section 7 details data requirements. Section 8 provides use case specifications. Section 9 covers model and evaluation requirements. Section 10 defines deployment architecture. Section 11 is the testing strategy. Section 12 is the project plan. Section 13 is risk analysis. Section 14 addresses ethical/legal/regulatory considerations. Section 15 contains appendices.</w:t>
      </w:r>
    </w:p>
    <w:p>
      <w:r>
        <w:br w:type="page"/>
      </w:r>
    </w:p>
    <w:p>
      <w:pPr>
        <w:pStyle w:val="Heading1"/>
        <w:pBdr>
          <w:bottom w:val="single" w:color="4472C4" w:sz="6" w:space="4"/>
        </w:pBdr>
        <w:spacing w:after="240" w:before="480"/>
      </w:pPr>
      <w:r>
        <w:rPr>
          <w:rFonts w:ascii="Calibri" w:cs="Calibri" w:eastAsia="Calibri" w:hAnsi="Calibri"/>
          <w:b/>
          <w:bCs/>
          <w:color w:val="1F3864"/>
          <w:sz w:val="30"/>
          <w:szCs w:val="30"/>
        </w:rPr>
        <w:t xml:space="preserve">2  Overall Description</w:t>
      </w:r>
    </w:p>
    <w:p>
      <w:pPr>
        <w:pStyle w:val="Heading2"/>
        <w:spacing w:after="160" w:before="320"/>
      </w:pPr>
      <w:r>
        <w:rPr>
          <w:rFonts w:ascii="Calibri" w:cs="Calibri" w:eastAsia="Calibri" w:hAnsi="Calibri"/>
          <w:b/>
          <w:bCs/>
          <w:color w:val="2E5395"/>
          <w:sz w:val="24"/>
          <w:szCs w:val="24"/>
        </w:rPr>
        <w:t xml:space="preserve">2.1 Product Perspective</w:t>
      </w:r>
    </w:p>
    <w:p>
      <w:pPr>
        <w:spacing w:after="160" w:line="276"/>
        <w:jc w:val="both"/>
      </w:pPr>
      <w:r>
        <w:rPr>
          <w:rFonts w:ascii="Calibri" w:cs="Calibri" w:eastAsia="Calibri" w:hAnsi="Calibri"/>
          <w:color w:val="262626"/>
          <w:sz w:val="21"/>
          <w:szCs w:val="21"/>
        </w:rPr>
        <w:t xml:space="preserve">The Pipeline is a new, self-contained system composed of five layers: Data, Model, Serving, Application, and Operations. It is not a component of an existing product; it may optionally interface with an external PACS via a DICOM-import stub, but functions fully standalone against uploaded NIfTI files. The system is designed so each layer can be developed, tested, and deployed independently, and so the model layer can be swapped (U-Net → nnU-Net → Swin-UNETR) without changes to the serving or application layers.</w:t>
      </w:r>
    </w:p>
    <w:p>
      <w:pPr>
        <w:pStyle w:val="Heading2"/>
        <w:spacing w:after="160" w:before="320"/>
      </w:pPr>
      <w:r>
        <w:rPr>
          <w:rFonts w:ascii="Calibri" w:cs="Calibri" w:eastAsia="Calibri" w:hAnsi="Calibri"/>
          <w:b/>
          <w:bCs/>
          <w:color w:val="2E5395"/>
          <w:sz w:val="24"/>
          <w:szCs w:val="24"/>
        </w:rPr>
        <w:t xml:space="preserve">2.2 Product Functions (Summary)</w:t>
      </w:r>
    </w:p>
    <w:p>
      <w:pPr>
        <w:pStyle w:val="ListParagraph"/>
        <w:numPr>
          <w:ilvl w:val="0"/>
          <w:numId w:val="2"/>
        </w:numPr>
        <w:spacing w:after="90"/>
      </w:pPr>
      <w:r>
        <w:rPr>
          <w:rFonts w:ascii="Calibri" w:cs="Calibri" w:eastAsia="Calibri" w:hAnsi="Calibri"/>
          <w:color w:val="262626"/>
          <w:sz w:val="21"/>
          <w:szCs w:val="21"/>
        </w:rPr>
        <w:t xml:space="preserve">Volume ingestion, validation, and standardization.</w:t>
      </w:r>
    </w:p>
    <w:p>
      <w:pPr>
        <w:pStyle w:val="ListParagraph"/>
        <w:numPr>
          <w:ilvl w:val="0"/>
          <w:numId w:val="2"/>
        </w:numPr>
        <w:spacing w:after="90"/>
      </w:pPr>
      <w:r>
        <w:rPr>
          <w:rFonts w:ascii="Calibri" w:cs="Calibri" w:eastAsia="Calibri" w:hAnsi="Calibri"/>
          <w:color w:val="262626"/>
          <w:sz w:val="21"/>
          <w:szCs w:val="21"/>
        </w:rPr>
        <w:t xml:space="preserve">Preprocessing: resampling, normalization, patch/crop extraction, augmentation (training only).</w:t>
      </w:r>
    </w:p>
    <w:p>
      <w:pPr>
        <w:pStyle w:val="ListParagraph"/>
        <w:numPr>
          <w:ilvl w:val="0"/>
          <w:numId w:val="2"/>
        </w:numPr>
        <w:spacing w:after="90"/>
      </w:pPr>
      <w:r>
        <w:rPr>
          <w:rFonts w:ascii="Calibri" w:cs="Calibri" w:eastAsia="Calibri" w:hAnsi="Calibri"/>
          <w:color w:val="262626"/>
          <w:sz w:val="21"/>
          <w:szCs w:val="21"/>
        </w:rPr>
        <w:t xml:space="preserve">Model training with checkpointing, cross-validation, and experiment tracking.</w:t>
      </w:r>
    </w:p>
    <w:p>
      <w:pPr>
        <w:pStyle w:val="ListParagraph"/>
        <w:numPr>
          <w:ilvl w:val="0"/>
          <w:numId w:val="2"/>
        </w:numPr>
        <w:spacing w:after="90"/>
      </w:pPr>
      <w:r>
        <w:rPr>
          <w:rFonts w:ascii="Calibri" w:cs="Calibri" w:eastAsia="Calibri" w:hAnsi="Calibri"/>
          <w:color w:val="262626"/>
          <w:sz w:val="21"/>
          <w:szCs w:val="21"/>
        </w:rPr>
        <w:t xml:space="preserve">Full-volume inference via sliding-window aggregation.</w:t>
      </w:r>
    </w:p>
    <w:p>
      <w:pPr>
        <w:pStyle w:val="ListParagraph"/>
        <w:numPr>
          <w:ilvl w:val="0"/>
          <w:numId w:val="2"/>
        </w:numPr>
        <w:spacing w:after="90"/>
      </w:pPr>
      <w:r>
        <w:rPr>
          <w:rFonts w:ascii="Calibri" w:cs="Calibri" w:eastAsia="Calibri" w:hAnsi="Calibri"/>
          <w:color w:val="262626"/>
          <w:sz w:val="21"/>
          <w:szCs w:val="21"/>
        </w:rPr>
        <w:t xml:space="preserve">Post-processing: largest-connected-component filtering, morphological cleanup, label re-mapping.</w:t>
      </w:r>
    </w:p>
    <w:p>
      <w:pPr>
        <w:pStyle w:val="ListParagraph"/>
        <w:numPr>
          <w:ilvl w:val="0"/>
          <w:numId w:val="2"/>
        </w:numPr>
        <w:spacing w:after="90"/>
      </w:pPr>
      <w:r>
        <w:rPr>
          <w:rFonts w:ascii="Calibri" w:cs="Calibri" w:eastAsia="Calibri" w:hAnsi="Calibri"/>
          <w:color w:val="262626"/>
          <w:sz w:val="21"/>
          <w:szCs w:val="21"/>
        </w:rPr>
        <w:t xml:space="preserve">Quantitative evaluation (Dice, HD95, sensitivity/specificity) and qualitative slice review.</w:t>
      </w:r>
    </w:p>
    <w:p>
      <w:pPr>
        <w:pStyle w:val="ListParagraph"/>
        <w:numPr>
          <w:ilvl w:val="0"/>
          <w:numId w:val="2"/>
        </w:numPr>
        <w:spacing w:after="90"/>
      </w:pPr>
      <w:r>
        <w:rPr>
          <w:rFonts w:ascii="Calibri" w:cs="Calibri" w:eastAsia="Calibri" w:hAnsi="Calibri"/>
          <w:color w:val="262626"/>
          <w:sz w:val="21"/>
          <w:szCs w:val="21"/>
        </w:rPr>
        <w:t xml:space="preserve">REST API for programmatic inference and batch jobs.</w:t>
      </w:r>
    </w:p>
    <w:p>
      <w:pPr>
        <w:pStyle w:val="ListParagraph"/>
        <w:numPr>
          <w:ilvl w:val="0"/>
          <w:numId w:val="2"/>
        </w:numPr>
        <w:spacing w:after="90"/>
      </w:pPr>
      <w:r>
        <w:rPr>
          <w:rFonts w:ascii="Calibri" w:cs="Calibri" w:eastAsia="Calibri" w:hAnsi="Calibri"/>
          <w:color w:val="262626"/>
          <w:sz w:val="21"/>
          <w:szCs w:val="21"/>
        </w:rPr>
        <w:t xml:space="preserve">Web viewer for upload, slice navigation, segmentation overlay, and PDF/JSON report export.</w:t>
      </w:r>
    </w:p>
    <w:p>
      <w:pPr>
        <w:pStyle w:val="ListParagraph"/>
        <w:numPr>
          <w:ilvl w:val="0"/>
          <w:numId w:val="2"/>
        </w:numPr>
        <w:spacing w:after="90"/>
      </w:pPr>
      <w:r>
        <w:rPr>
          <w:rFonts w:ascii="Calibri" w:cs="Calibri" w:eastAsia="Calibri" w:hAnsi="Calibri"/>
          <w:color w:val="262626"/>
          <w:sz w:val="21"/>
          <w:szCs w:val="21"/>
        </w:rPr>
        <w:t xml:space="preserve">Model and dataset versioning, drift monitoring, and logging.</w:t>
      </w:r>
    </w:p>
    <w:p>
      <w:pPr>
        <w:pStyle w:val="Heading2"/>
        <w:spacing w:after="160" w:before="320"/>
      </w:pPr>
      <w:r>
        <w:rPr>
          <w:rFonts w:ascii="Calibri" w:cs="Calibri" w:eastAsia="Calibri" w:hAnsi="Calibri"/>
          <w:b/>
          <w:bCs/>
          <w:color w:val="2E5395"/>
          <w:sz w:val="24"/>
          <w:szCs w:val="24"/>
        </w:rPr>
        <w:t xml:space="preserve">2.3 User Classes and Characteristics</w:t>
      </w:r>
    </w:p>
    <w:tbl>
      <w:tblPr>
        <w:tblW w:type="dxa" w:w="9400"/>
        <w:tblBorders>
          <w:top w:val="single" w:color="BFBFBF" w:sz="4"/>
          <w:left w:val="single" w:color="BFBFBF" w:sz="4"/>
          <w:bottom w:val="single" w:color="BFBFBF" w:sz="4"/>
          <w:right w:val="single" w:color="BFBFBF" w:sz="4"/>
          <w:insideH w:val="single" w:color="D9D9D9" w:sz="4"/>
          <w:insideV w:val="single" w:color="D9D9D9" w:sz="4"/>
        </w:tblBorders>
      </w:tblPr>
      <w:tblGrid>
        <w:gridCol w:w="2800"/>
        <w:gridCol w:w="4700"/>
        <w:gridCol w:w="1900"/>
      </w:tblGrid>
      <w:tr>
        <w:trPr>
          <w:cantSplit/>
          <w:tblHeader/>
        </w:trPr>
        <w:tc>
          <w:tcPr>
            <w:tcW w:type="dxa" w:w="28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User Class</w:t>
            </w:r>
          </w:p>
        </w:tc>
        <w:tc>
          <w:tcPr>
            <w:tcW w:type="dxa" w:w="47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Description</w:t>
            </w:r>
          </w:p>
        </w:tc>
        <w:tc>
          <w:tcPr>
            <w:tcW w:type="dxa" w:w="19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Technical Level</w:t>
            </w:r>
          </w:p>
        </w:tc>
      </w:tr>
      <w:tr>
        <w:trPr>
          <w:cantSplit/>
        </w:trPr>
        <w:tc>
          <w:tcPr>
            <w:tcW w:type="dxa" w:w="28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ML Engineer / Maintainer</w:t>
            </w:r>
          </w:p>
        </w:tc>
        <w:tc>
          <w:tcPr>
            <w:tcW w:type="dxa" w:w="47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Trains, evaluates, versions and redeploys models; manages infrastructure.</w:t>
            </w:r>
          </w:p>
        </w:tc>
        <w:tc>
          <w:tcPr>
            <w:tcW w:type="dxa" w:w="1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Expert</w:t>
            </w:r>
          </w:p>
        </w:tc>
      </w:tr>
      <w:tr>
        <w:trPr>
          <w:cantSplit/>
        </w:trPr>
        <w:tc>
          <w:tcPr>
            <w:tcW w:type="dxa" w:w="28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API Consumer</w:t>
            </w:r>
          </w:p>
        </w:tc>
        <w:tc>
          <w:tcPr>
            <w:tcW w:type="dxa" w:w="47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External service or script calling the inference REST API programmatically.</w:t>
            </w:r>
          </w:p>
        </w:tc>
        <w:tc>
          <w:tcPr>
            <w:tcW w:type="dxa" w:w="1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Developer</w:t>
            </w:r>
          </w:p>
        </w:tc>
      </w:tr>
      <w:tr>
        <w:trPr>
          <w:cantSplit/>
        </w:trPr>
        <w:tc>
          <w:tcPr>
            <w:tcW w:type="dxa" w:w="28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Researcher / Reviewer</w:t>
            </w:r>
          </w:p>
        </w:tc>
        <w:tc>
          <w:tcPr>
            <w:tcW w:type="dxa" w:w="47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Uploads scans through the web viewer, inspects segmentation quality, exports reports.</w:t>
            </w:r>
          </w:p>
        </w:tc>
        <w:tc>
          <w:tcPr>
            <w:tcW w:type="dxa" w:w="1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Domain-technical, non-coder</w:t>
            </w:r>
          </w:p>
        </w:tc>
      </w:tr>
      <w:tr>
        <w:trPr>
          <w:cantSplit/>
        </w:trPr>
        <w:tc>
          <w:tcPr>
            <w:tcW w:type="dxa" w:w="28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Administrator</w:t>
            </w:r>
          </w:p>
        </w:tc>
        <w:tc>
          <w:tcPr>
            <w:tcW w:type="dxa" w:w="47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Manages users, model versions in the registry, and monitors system health.</w:t>
            </w:r>
          </w:p>
        </w:tc>
        <w:tc>
          <w:tcPr>
            <w:tcW w:type="dxa" w:w="1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Technical / DevOps</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Borders>
              <w:top w:val="single" w:color="C00000" w:sz="12"/>
              <w:left w:val="single" w:color="E0B4B4" w:sz="4"/>
              <w:bottom w:val="single" w:color="E0B4B4" w:sz="4"/>
              <w:right w:val="single" w:color="E0B4B4" w:sz="4"/>
            </w:tcBorders>
            <w:shd w:fill="FBEEEE" w:val="clear"/>
            <w:tcMar>
              <w:top w:type="dxa" w:w="140"/>
              <w:left w:type="dxa" w:w="200"/>
              <w:bottom w:type="dxa" w:w="140"/>
              <w:right w:type="dxa" w:w="200"/>
            </w:tcMar>
          </w:tcPr>
          <w:p>
            <w:pPr>
              <w:spacing w:after="60"/>
            </w:pPr>
            <w:r>
              <w:rPr>
                <w:rFonts w:ascii="Calibri" w:cs="Calibri" w:eastAsia="Calibri" w:hAnsi="Calibri"/>
                <w:b/>
                <w:bCs/>
                <w:color w:val="C00000"/>
                <w:sz w:val="20"/>
                <w:szCs w:val="20"/>
              </w:rPr>
              <w:t xml:space="preserve">Note on clinical users</w:t>
            </w:r>
          </w:p>
          <w:p>
            <w:r>
              <w:rPr>
                <w:rFonts w:ascii="Calibri" w:cs="Calibri" w:eastAsia="Calibri" w:hAnsi="Calibri"/>
                <w:color w:val="262626"/>
                <w:sz w:val="20"/>
                <w:szCs w:val="20"/>
              </w:rPr>
              <w:t xml:space="preserve">The system does not define a "clinician diagnosing a patient" user class. It is explicitly a research/portfolio tool; see Section 14 for the required non-clinical-use disclaimer that must appear in the UI and API responses.</w:t>
            </w:r>
          </w:p>
        </w:tc>
      </w:tr>
    </w:tbl>
    <w:p>
      <w:pPr>
        <w:pStyle w:val="Heading2"/>
        <w:spacing w:after="160" w:before="320"/>
      </w:pPr>
      <w:r>
        <w:rPr>
          <w:rFonts w:ascii="Calibri" w:cs="Calibri" w:eastAsia="Calibri" w:hAnsi="Calibri"/>
          <w:b/>
          <w:bCs/>
          <w:color w:val="2E5395"/>
          <w:sz w:val="24"/>
          <w:szCs w:val="24"/>
        </w:rPr>
        <w:t xml:space="preserve">2.4 Operating Environment</w:t>
      </w:r>
    </w:p>
    <w:tbl>
      <w:tblPr>
        <w:tblW w:type="dxa" w:w="9300"/>
        <w:tblBorders>
          <w:top w:val="single" w:color="BFBFBF" w:sz="4"/>
          <w:left w:val="single" w:color="BFBFBF" w:sz="4"/>
          <w:bottom w:val="single" w:color="BFBFBF" w:sz="4"/>
          <w:right w:val="single" w:color="BFBFBF" w:sz="4"/>
          <w:insideH w:val="single" w:color="D9D9D9" w:sz="4"/>
          <w:insideV w:val="single" w:color="D9D9D9" w:sz="4"/>
        </w:tblBorders>
      </w:tblPr>
      <w:tblGrid>
        <w:gridCol w:w="2400"/>
        <w:gridCol w:w="6900"/>
      </w:tblGrid>
      <w:tr>
        <w:trPr>
          <w:cantSplit/>
          <w:tblHeader/>
        </w:trPr>
        <w:tc>
          <w:tcPr>
            <w:tcW w:type="dxa" w:w="24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Layer</w:t>
            </w:r>
          </w:p>
        </w:tc>
        <w:tc>
          <w:tcPr>
            <w:tcW w:type="dxa" w:w="69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Environment</w:t>
            </w:r>
          </w:p>
        </w:tc>
      </w:tr>
      <w:tr>
        <w:trPr>
          <w:cantSplit/>
        </w:trPr>
        <w:tc>
          <w:tcPr>
            <w:tcW w:type="dxa" w:w="24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Training</w:t>
            </w:r>
          </w:p>
        </w:tc>
        <w:tc>
          <w:tcPr>
            <w:tcW w:type="dxa" w:w="6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Cloud free-tier GPU notebooks: Kaggle Notebooks (NVIDIA T4/P100, 16 GB VRAM, 30 GPU-hrs/week quota, 12-hr session limit) and/or Google Colab free tier (T4, 16 GB VRAM) as a supplement. No locally-owned GPU is assumed. Training is checkpoint-resume across multiple weekly-quota sessions rather than a single continuous run. CUDA 12.x, PyTorch 2.x, MONAI as provided by the platform image.</w:t>
            </w:r>
          </w:p>
        </w:tc>
      </w:tr>
      <w:tr>
        <w:trPr>
          <w:cantSplit/>
        </w:trPr>
        <w:tc>
          <w:tcPr>
            <w:tcW w:type="dxa" w:w="24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Inference serving</w:t>
            </w:r>
          </w:p>
        </w:tc>
        <w:tc>
          <w:tcPr>
            <w:tcW w:type="dxa" w:w="6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Docker container (CUDA-enabled base image), FastAPI + Uvicorn/Gunicorn, optionally NVIDIA Triton for multi-model serving; CPU-only fallback supported for environments without a GPU.</w:t>
            </w:r>
          </w:p>
        </w:tc>
      </w:tr>
      <w:tr>
        <w:trPr>
          <w:cantSplit/>
        </w:trPr>
        <w:tc>
          <w:tcPr>
            <w:tcW w:type="dxa" w:w="24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Frontend</w:t>
            </w:r>
          </w:p>
        </w:tc>
        <w:tc>
          <w:tcPr>
            <w:tcW w:type="dxa" w:w="6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Modern browser (Chrome, Edge, Firefox, Safari — last two major versions); served as a static SPA or Streamlit app.</w:t>
            </w:r>
          </w:p>
        </w:tc>
      </w:tr>
      <w:tr>
        <w:trPr>
          <w:cantSplit/>
        </w:trPr>
        <w:tc>
          <w:tcPr>
            <w:tcW w:type="dxa" w:w="24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Storage</w:t>
            </w:r>
          </w:p>
        </w:tc>
        <w:tc>
          <w:tcPr>
            <w:tcW w:type="dxa" w:w="6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Object storage (S3-compatible / MinIO) for raw &amp; processed volumes; PostgreSQL for metadata; DVC or MLflow model registry for artifacts.</w:t>
            </w:r>
          </w:p>
        </w:tc>
      </w:tr>
      <w:tr>
        <w:trPr>
          <w:cantSplit/>
        </w:trPr>
        <w:tc>
          <w:tcPr>
            <w:tcW w:type="dxa" w:w="24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CI/CD</w:t>
            </w:r>
          </w:p>
        </w:tc>
        <w:tc>
          <w:tcPr>
            <w:tcW w:type="dxa" w:w="6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GitHub Actions runners (Linux), Docker Buildx for multi-arch image builds.</w:t>
            </w:r>
          </w:p>
        </w:tc>
      </w:tr>
    </w:tbl>
    <w:p>
      <w:pPr>
        <w:pStyle w:val="Heading2"/>
        <w:spacing w:after="160" w:before="320"/>
      </w:pPr>
      <w:r>
        <w:rPr>
          <w:rFonts w:ascii="Calibri" w:cs="Calibri" w:eastAsia="Calibri" w:hAnsi="Calibri"/>
          <w:b/>
          <w:bCs/>
          <w:color w:val="2E5395"/>
          <w:sz w:val="24"/>
          <w:szCs w:val="24"/>
        </w:rPr>
        <w:t xml:space="preserve">2.5 Design and Implementation Constraints</w:t>
      </w:r>
    </w:p>
    <w:p>
      <w:pPr>
        <w:pStyle w:val="ListParagraph"/>
        <w:numPr>
          <w:ilvl w:val="0"/>
          <w:numId w:val="2"/>
        </w:numPr>
        <w:spacing w:after="90"/>
      </w:pPr>
      <w:r>
        <w:rPr>
          <w:rFonts w:ascii="Calibri" w:cs="Calibri" w:eastAsia="Calibri" w:hAnsi="Calibri"/>
          <w:color w:val="262626"/>
          <w:sz w:val="21"/>
          <w:szCs w:val="21"/>
        </w:rPr>
        <w:t xml:space="preserve">Must use the official BraTS data license terms; raw data must not be redistributed.</w:t>
      </w:r>
    </w:p>
    <w:p>
      <w:pPr>
        <w:pStyle w:val="ListParagraph"/>
        <w:numPr>
          <w:ilvl w:val="0"/>
          <w:numId w:val="2"/>
        </w:numPr>
        <w:spacing w:after="90"/>
      </w:pPr>
      <w:r>
        <w:rPr>
          <w:rFonts w:ascii="Calibri" w:cs="Calibri" w:eastAsia="Calibri" w:hAnsi="Calibri"/>
          <w:color w:val="262626"/>
          <w:sz w:val="21"/>
          <w:szCs w:val="21"/>
        </w:rPr>
        <w:t xml:space="preserve">Patch-based 3D training is required — full BraTS volumes (240×240×155) will not fit in most single-GPU memory budgets at full resolution with a 3D U-Net, and must fit within a 16 GB T4-class free-tier GPU specifically.</w:t>
      </w:r>
    </w:p>
    <w:p>
      <w:pPr>
        <w:pStyle w:val="ListParagraph"/>
        <w:numPr>
          <w:ilvl w:val="0"/>
          <w:numId w:val="2"/>
        </w:numPr>
        <w:spacing w:after="90"/>
      </w:pPr>
      <w:r>
        <w:rPr>
          <w:rFonts w:ascii="Calibri" w:cs="Calibri" w:eastAsia="Calibri" w:hAnsi="Calibri"/>
          <w:color w:val="262626"/>
          <w:sz w:val="21"/>
          <w:szCs w:val="21"/>
        </w:rPr>
        <w:t xml:space="preserve">Patient-level (not slice/patch-level) splitting is mandatory to prevent data leakage across train/val/test.</w:t>
      </w:r>
    </w:p>
    <w:p>
      <w:pPr>
        <w:pStyle w:val="ListParagraph"/>
        <w:numPr>
          <w:ilvl w:val="0"/>
          <w:numId w:val="2"/>
        </w:numPr>
        <w:spacing w:after="90"/>
      </w:pPr>
      <w:r>
        <w:rPr>
          <w:rFonts w:ascii="Calibri" w:cs="Calibri" w:eastAsia="Calibri" w:hAnsi="Calibri"/>
          <w:color w:val="262626"/>
          <w:sz w:val="21"/>
          <w:szCs w:val="21"/>
        </w:rPr>
        <w:t xml:space="preserve">Inference latency budget: a full volume must complete sliding-window inference in a bounded time (see Section 5, Performance).</w:t>
      </w:r>
    </w:p>
    <w:p>
      <w:pPr>
        <w:pStyle w:val="ListParagraph"/>
        <w:numPr>
          <w:ilvl w:val="0"/>
          <w:numId w:val="2"/>
        </w:numPr>
        <w:spacing w:after="90"/>
      </w:pPr>
      <w:r>
        <w:rPr>
          <w:rFonts w:ascii="Calibri" w:cs="Calibri" w:eastAsia="Calibri" w:hAnsi="Calibri"/>
          <w:color w:val="262626"/>
          <w:sz w:val="21"/>
          <w:szCs w:val="21"/>
        </w:rPr>
        <w:t xml:space="preserve">All configuration must be code-defined (Hydra/YAML) — no undocumented hard-coded hyperparameters.</w:t>
      </w:r>
    </w:p>
    <w:p>
      <w:pPr>
        <w:pStyle w:val="ListParagraph"/>
        <w:numPr>
          <w:ilvl w:val="0"/>
          <w:numId w:val="2"/>
        </w:numPr>
        <w:spacing w:after="90"/>
      </w:pPr>
      <w:r>
        <w:rPr>
          <w:rFonts w:ascii="Calibri" w:cs="Calibri" w:eastAsia="Calibri" w:hAnsi="Calibri"/>
          <w:color w:val="262626"/>
          <w:sz w:val="21"/>
          <w:szCs w:val="21"/>
        </w:rPr>
        <w:t xml:space="preserve">Container images must be reproducible from a pinned lockfile (requirements.txt / poetry.lock).</w:t>
      </w:r>
    </w:p>
    <w:p>
      <w:pPr>
        <w:pStyle w:val="ListParagraph"/>
        <w:numPr>
          <w:ilvl w:val="0"/>
          <w:numId w:val="2"/>
        </w:numPr>
        <w:spacing w:after="90"/>
      </w:pPr>
      <w:r>
        <w:rPr>
          <w:rFonts w:ascii="Calibri" w:cs="Calibri" w:eastAsia="Calibri" w:hAnsi="Calibri"/>
          <w:color w:val="262626"/>
          <w:sz w:val="21"/>
          <w:szCs w:val="21"/>
        </w:rPr>
        <w:t xml:space="preserve">Training must be structured as checkpoint-resume, since free-tier notebook sessions (Kaggle: 12 hrs; Colab: variable, shorter) can end before a full training run completes — model weights, optimizer state, and epoch/step counters must be persisted at least once per epoch.</w:t>
      </w:r>
    </w:p>
    <w:p>
      <w:pPr>
        <w:pStyle w:val="ListParagraph"/>
        <w:numPr>
          <w:ilvl w:val="0"/>
          <w:numId w:val="2"/>
        </w:numPr>
        <w:spacing w:after="90"/>
      </w:pPr>
      <w:r>
        <w:rPr>
          <w:rFonts w:ascii="Calibri" w:cs="Calibri" w:eastAsia="Calibri" w:hAnsi="Calibri"/>
          <w:color w:val="262626"/>
          <w:sz w:val="21"/>
          <w:szCs w:val="21"/>
        </w:rPr>
        <w:t xml:space="preserve">Cross-validation scope (number of folds) and epoch budget must be sized to fit within Kaggle's 30 GPU-hrs/week free quota, spread across multiple weekly sessions rather than a single continuous run.</w:t>
      </w:r>
    </w:p>
    <w:p>
      <w:pPr>
        <w:pStyle w:val="Heading2"/>
        <w:spacing w:after="160" w:before="320"/>
      </w:pPr>
      <w:r>
        <w:rPr>
          <w:rFonts w:ascii="Calibri" w:cs="Calibri" w:eastAsia="Calibri" w:hAnsi="Calibri"/>
          <w:b/>
          <w:bCs/>
          <w:color w:val="2E5395"/>
          <w:sz w:val="24"/>
          <w:szCs w:val="24"/>
        </w:rPr>
        <w:t xml:space="preserve">2.6 Assumptions and Dependencies</w:t>
      </w:r>
    </w:p>
    <w:p>
      <w:pPr>
        <w:pStyle w:val="ListParagraph"/>
        <w:numPr>
          <w:ilvl w:val="0"/>
          <w:numId w:val="2"/>
        </w:numPr>
        <w:spacing w:after="90"/>
      </w:pPr>
      <w:r>
        <w:rPr>
          <w:rFonts w:ascii="Calibri" w:cs="Calibri" w:eastAsia="Calibri" w:hAnsi="Calibri"/>
          <w:color w:val="262626"/>
          <w:sz w:val="21"/>
          <w:szCs w:val="21"/>
        </w:rPr>
        <w:t xml:space="preserve">The BraTS dataset (2020/2021 or later release) is available under its research-use license and pre-registered access is obtained where required; it is assumed to be available as a mountable Kaggle public dataset, avoiding a separate large download.</w:t>
      </w:r>
    </w:p>
    <w:p>
      <w:pPr>
        <w:pStyle w:val="ListParagraph"/>
        <w:numPr>
          <w:ilvl w:val="0"/>
          <w:numId w:val="2"/>
        </w:numPr>
        <w:spacing w:after="90"/>
      </w:pPr>
      <w:r>
        <w:rPr>
          <w:rFonts w:ascii="Calibri" w:cs="Calibri" w:eastAsia="Calibri" w:hAnsi="Calibri"/>
          <w:color w:val="262626"/>
          <w:sz w:val="21"/>
          <w:szCs w:val="21"/>
        </w:rPr>
        <w:t xml:space="preserve">No locally-owned CUDA GPU is assumed. Training relies on free-tier cloud notebook GPUs (Kaggle T4/P100, Colab T4), each with weekly/session quotas; low-latency GPU inference in production is a separate, smaller-footprint requirement met by a deployed inference container (which may itself run CPU-only, slower, if no GPU is provisioned for serving).</w:t>
      </w:r>
    </w:p>
    <w:p>
      <w:pPr>
        <w:pStyle w:val="ListParagraph"/>
        <w:numPr>
          <w:ilvl w:val="0"/>
          <w:numId w:val="2"/>
        </w:numPr>
        <w:spacing w:after="90"/>
      </w:pPr>
      <w:r>
        <w:rPr>
          <w:rFonts w:ascii="Calibri" w:cs="Calibri" w:eastAsia="Calibri" w:hAnsi="Calibri"/>
          <w:color w:val="262626"/>
          <w:sz w:val="21"/>
          <w:szCs w:val="21"/>
        </w:rPr>
        <w:t xml:space="preserve">Open-source dependencies (PyTorch, MONAI, FastAPI, nibabel, SimpleITK) remain available and license-compatible with the project's chosen license, and remain pre-installed or installable on Kaggle/Colab notebook images.</w:t>
      </w:r>
    </w:p>
    <w:p>
      <w:pPr>
        <w:pStyle w:val="ListParagraph"/>
        <w:numPr>
          <w:ilvl w:val="0"/>
          <w:numId w:val="2"/>
        </w:numPr>
        <w:spacing w:after="90"/>
      </w:pPr>
      <w:r>
        <w:rPr>
          <w:rFonts w:ascii="Calibri" w:cs="Calibri" w:eastAsia="Calibri" w:hAnsi="Calibri"/>
          <w:color w:val="262626"/>
          <w:sz w:val="21"/>
          <w:szCs w:val="21"/>
        </w:rPr>
        <w:t xml:space="preserve">Users uploading scans through the web viewer have de-identified the data themselves where required by their institution's policy.</w:t>
      </w:r>
    </w:p>
    <w:p>
      <w:pPr>
        <w:pStyle w:val="ListParagraph"/>
        <w:numPr>
          <w:ilvl w:val="0"/>
          <w:numId w:val="2"/>
        </w:numPr>
        <w:spacing w:after="90"/>
      </w:pPr>
      <w:r>
        <w:rPr>
          <w:rFonts w:ascii="Calibri" w:cs="Calibri" w:eastAsia="Calibri" w:hAnsi="Calibri"/>
          <w:color w:val="262626"/>
          <w:sz w:val="21"/>
          <w:szCs w:val="21"/>
        </w:rPr>
        <w:t xml:space="preserve">Because training compute is quota-gated rather than continuously available, reported cross-validation results may use fewer folds (e.g. 3-fold instead of 5-fold) or a training subset, and this scope reduction shall be explicitly documented alongside reported metrics rather than presented as a full 5-fold result.</w:t>
      </w:r>
    </w:p>
    <w:p>
      <w:r>
        <w:br w:type="page"/>
      </w:r>
    </w:p>
    <w:p>
      <w:pPr>
        <w:pStyle w:val="Heading1"/>
        <w:pBdr>
          <w:bottom w:val="single" w:color="4472C4" w:sz="6" w:space="4"/>
        </w:pBdr>
        <w:spacing w:after="240" w:before="480"/>
      </w:pPr>
      <w:r>
        <w:rPr>
          <w:rFonts w:ascii="Calibri" w:cs="Calibri" w:eastAsia="Calibri" w:hAnsi="Calibri"/>
          <w:b/>
          <w:bCs/>
          <w:color w:val="1F3864"/>
          <w:sz w:val="30"/>
          <w:szCs w:val="30"/>
        </w:rPr>
        <w:t xml:space="preserve">3  System Architecture</w:t>
      </w:r>
    </w:p>
    <w:p>
      <w:pPr>
        <w:pStyle w:val="Heading2"/>
        <w:spacing w:after="160" w:before="320"/>
      </w:pPr>
      <w:r>
        <w:rPr>
          <w:rFonts w:ascii="Calibri" w:cs="Calibri" w:eastAsia="Calibri" w:hAnsi="Calibri"/>
          <w:b/>
          <w:bCs/>
          <w:color w:val="2E5395"/>
          <w:sz w:val="24"/>
          <w:szCs w:val="24"/>
        </w:rPr>
        <w:t xml:space="preserve">3.1 High-Level Architecture</w:t>
      </w:r>
    </w:p>
    <w:p>
      <w:pPr>
        <w:spacing w:after="160" w:line="276"/>
        <w:jc w:val="both"/>
      </w:pPr>
      <w:r>
        <w:rPr>
          <w:rFonts w:ascii="Calibri" w:cs="Calibri" w:eastAsia="Calibri" w:hAnsi="Calibri"/>
          <w:color w:val="262626"/>
          <w:sz w:val="21"/>
          <w:szCs w:val="21"/>
        </w:rPr>
        <w:t xml:space="preserve">The Pipeline is organized into five layers. Each layer communicates through well-defined interfaces (file formats, REST calls, or message queues) so that layers can be developed and scaled independently.</w:t>
      </w:r>
    </w:p>
    <w:tbl>
      <w:tblPr>
        <w:tblW w:type="dxa" w:w="9300"/>
        <w:tblBorders>
          <w:top w:val="single" w:color="BFBFBF" w:sz="4"/>
          <w:left w:val="single" w:color="BFBFBF" w:sz="4"/>
          <w:bottom w:val="single" w:color="BFBFBF" w:sz="4"/>
          <w:right w:val="single" w:color="BFBFBF" w:sz="4"/>
          <w:insideH w:val="single" w:color="D9D9D9" w:sz="4"/>
          <w:insideV w:val="single" w:color="D9D9D9" w:sz="4"/>
        </w:tblBorders>
      </w:tblPr>
      <w:tblGrid>
        <w:gridCol w:w="2300"/>
        <w:gridCol w:w="4400"/>
        <w:gridCol w:w="2600"/>
      </w:tblGrid>
      <w:tr>
        <w:trPr>
          <w:cantSplit/>
          <w:tblHeader/>
        </w:trPr>
        <w:tc>
          <w:tcPr>
            <w:tcW w:type="dxa" w:w="23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Layer</w:t>
            </w:r>
          </w:p>
        </w:tc>
        <w:tc>
          <w:tcPr>
            <w:tcW w:type="dxa" w:w="44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Responsibility</w:t>
            </w:r>
          </w:p>
        </w:tc>
        <w:tc>
          <w:tcPr>
            <w:tcW w:type="dxa" w:w="26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Key Technologies</w:t>
            </w:r>
          </w:p>
        </w:tc>
      </w:tr>
      <w:tr>
        <w:trPr>
          <w:cantSplit/>
        </w:trPr>
        <w:tc>
          <w:tcPr>
            <w:tcW w:type="dxa" w:w="2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1. Data Layer</w:t>
            </w:r>
          </w:p>
        </w:tc>
        <w:tc>
          <w:tcPr>
            <w:tcW w:type="dxa" w:w="44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Ingest, validate, preprocess, version raw and processed MRI volumes.</w:t>
            </w:r>
          </w:p>
        </w:tc>
        <w:tc>
          <w:tcPr>
            <w:tcW w:type="dxa" w:w="26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nibabel, SimpleITK, MONAI transforms, DVC</w:t>
            </w:r>
          </w:p>
        </w:tc>
      </w:tr>
      <w:tr>
        <w:trPr>
          <w:cantSplit/>
        </w:trPr>
        <w:tc>
          <w:tcPr>
            <w:tcW w:type="dxa" w:w="2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2. Model Layer</w:t>
            </w:r>
          </w:p>
        </w:tc>
        <w:tc>
          <w:tcPr>
            <w:tcW w:type="dxa" w:w="44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Train, validate, and version segmentation models.</w:t>
            </w:r>
          </w:p>
        </w:tc>
        <w:tc>
          <w:tcPr>
            <w:tcW w:type="dxa" w:w="26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PyTorch, MONAI, nnU-Net, Weights &amp; Biases / MLflow</w:t>
            </w:r>
          </w:p>
        </w:tc>
      </w:tr>
      <w:tr>
        <w:trPr>
          <w:cantSplit/>
        </w:trPr>
        <w:tc>
          <w:tcPr>
            <w:tcW w:type="dxa" w:w="2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3. Serving Layer</w:t>
            </w:r>
          </w:p>
        </w:tc>
        <w:tc>
          <w:tcPr>
            <w:tcW w:type="dxa" w:w="44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Load a versioned model and expose inference via REST; run sliding-window inference and post-processing.</w:t>
            </w:r>
          </w:p>
        </w:tc>
        <w:tc>
          <w:tcPr>
            <w:tcW w:type="dxa" w:w="26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FastAPI, ONNX Runtime / TorchScript, Triton (optional)</w:t>
            </w:r>
          </w:p>
        </w:tc>
      </w:tr>
      <w:tr>
        <w:trPr>
          <w:cantSplit/>
        </w:trPr>
        <w:tc>
          <w:tcPr>
            <w:tcW w:type="dxa" w:w="2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4. Application Layer</w:t>
            </w:r>
          </w:p>
        </w:tc>
        <w:tc>
          <w:tcPr>
            <w:tcW w:type="dxa" w:w="44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Web UI for upload, visualization, and report export.</w:t>
            </w:r>
          </w:p>
        </w:tc>
        <w:tc>
          <w:tcPr>
            <w:tcW w:type="dxa" w:w="26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React + Cornerstone.js/OHIF, or Streamlit for an MVP</w:t>
            </w:r>
          </w:p>
        </w:tc>
      </w:tr>
      <w:tr>
        <w:trPr>
          <w:cantSplit/>
        </w:trPr>
        <w:tc>
          <w:tcPr>
            <w:tcW w:type="dxa" w:w="2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5. Operations Layer</w:t>
            </w:r>
          </w:p>
        </w:tc>
        <w:tc>
          <w:tcPr>
            <w:tcW w:type="dxa" w:w="44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CI/CD, containerization, monitoring, logging, drift detection.</w:t>
            </w:r>
          </w:p>
        </w:tc>
        <w:tc>
          <w:tcPr>
            <w:tcW w:type="dxa" w:w="26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Docker, GitHub Actions, Prometheus/Grafana</w:t>
            </w:r>
          </w:p>
        </w:tc>
      </w:tr>
    </w:tbl>
    <w:p>
      <w:pPr>
        <w:pStyle w:val="Heading2"/>
        <w:spacing w:after="160" w:before="320"/>
      </w:pPr>
      <w:r>
        <w:rPr>
          <w:rFonts w:ascii="Calibri" w:cs="Calibri" w:eastAsia="Calibri" w:hAnsi="Calibri"/>
          <w:b/>
          <w:bCs/>
          <w:color w:val="2E5395"/>
          <w:sz w:val="24"/>
          <w:szCs w:val="24"/>
        </w:rPr>
        <w:t xml:space="preserve">3.2 Data Flow</w:t>
      </w:r>
    </w:p>
    <w:p>
      <w:pPr>
        <w:pStyle w:val="ListParagraph"/>
        <w:numPr>
          <w:ilvl w:val="0"/>
          <w:numId w:val="3"/>
        </w:numPr>
        <w:spacing w:after="90"/>
      </w:pPr>
      <w:r>
        <w:rPr>
          <w:rFonts w:ascii="Calibri" w:cs="Calibri" w:eastAsia="Calibri" w:hAnsi="Calibri"/>
          <w:color w:val="262626"/>
          <w:sz w:val="21"/>
          <w:szCs w:val="21"/>
        </w:rPr>
        <w:t xml:space="preserve">A user or batch job uploads a case's four MRI modalities (or an already-preprocessed NIfTI set) via the API/UI.</w:t>
      </w:r>
    </w:p>
    <w:p>
      <w:pPr>
        <w:pStyle w:val="ListParagraph"/>
        <w:numPr>
          <w:ilvl w:val="0"/>
          <w:numId w:val="3"/>
        </w:numPr>
        <w:spacing w:after="90"/>
      </w:pPr>
      <w:r>
        <w:rPr>
          <w:rFonts w:ascii="Calibri" w:cs="Calibri" w:eastAsia="Calibri" w:hAnsi="Calibri"/>
          <w:color w:val="262626"/>
          <w:sz w:val="21"/>
          <w:szCs w:val="21"/>
        </w:rPr>
        <w:t xml:space="preserve">The Data Layer validates modality completeness, orientation, and spacing; it standardizes orientation to RAS and resamples to 1 mm³ isotropic spacing.</w:t>
      </w:r>
    </w:p>
    <w:p>
      <w:pPr>
        <w:pStyle w:val="ListParagraph"/>
        <w:numPr>
          <w:ilvl w:val="0"/>
          <w:numId w:val="3"/>
        </w:numPr>
        <w:spacing w:after="90"/>
      </w:pPr>
      <w:r>
        <w:rPr>
          <w:rFonts w:ascii="Calibri" w:cs="Calibri" w:eastAsia="Calibri" w:hAnsi="Calibri"/>
          <w:color w:val="262626"/>
          <w:sz w:val="21"/>
          <w:szCs w:val="21"/>
        </w:rPr>
        <w:t xml:space="preserve">Intensity normalization (per-modality z-score, clipped to the 0.5–99.5 percentile) is applied.</w:t>
      </w:r>
    </w:p>
    <w:p>
      <w:pPr>
        <w:pStyle w:val="ListParagraph"/>
        <w:numPr>
          <w:ilvl w:val="0"/>
          <w:numId w:val="3"/>
        </w:numPr>
        <w:spacing w:after="90"/>
      </w:pPr>
      <w:r>
        <w:rPr>
          <w:rFonts w:ascii="Calibri" w:cs="Calibri" w:eastAsia="Calibri" w:hAnsi="Calibri"/>
          <w:color w:val="262626"/>
          <w:sz w:val="21"/>
          <w:szCs w:val="21"/>
        </w:rPr>
        <w:t xml:space="preserve">The Serving Layer runs sliding-window inference (patch size 128×128×128, 50% overlap, Gaussian-weighted blending) using the currently promoted model version.</w:t>
      </w:r>
    </w:p>
    <w:p>
      <w:pPr>
        <w:pStyle w:val="ListParagraph"/>
        <w:numPr>
          <w:ilvl w:val="0"/>
          <w:numId w:val="3"/>
        </w:numPr>
        <w:spacing w:after="90"/>
      </w:pPr>
      <w:r>
        <w:rPr>
          <w:rFonts w:ascii="Calibri" w:cs="Calibri" w:eastAsia="Calibri" w:hAnsi="Calibri"/>
          <w:color w:val="262626"/>
          <w:sz w:val="21"/>
          <w:szCs w:val="21"/>
        </w:rPr>
        <w:t xml:space="preserve">Post-processing removes small disconnected components below a volume threshold and re-maps the three overlapping regions to the four BraTS output labels (background, NCR/NET, edema, enhancing tumor).</w:t>
      </w:r>
    </w:p>
    <w:p>
      <w:pPr>
        <w:pStyle w:val="ListParagraph"/>
        <w:numPr>
          <w:ilvl w:val="0"/>
          <w:numId w:val="3"/>
        </w:numPr>
        <w:spacing w:after="90"/>
      </w:pPr>
      <w:r>
        <w:rPr>
          <w:rFonts w:ascii="Calibri" w:cs="Calibri" w:eastAsia="Calibri" w:hAnsi="Calibri"/>
          <w:color w:val="262626"/>
          <w:sz w:val="21"/>
          <w:szCs w:val="21"/>
        </w:rPr>
        <w:t xml:space="preserve">Results (segmentation mask, per-region volumes, confidence summary) are returned to the caller and persisted with a run ID.</w:t>
      </w:r>
    </w:p>
    <w:p>
      <w:pPr>
        <w:pStyle w:val="ListParagraph"/>
        <w:numPr>
          <w:ilvl w:val="0"/>
          <w:numId w:val="3"/>
        </w:numPr>
        <w:spacing w:after="90"/>
      </w:pPr>
      <w:r>
        <w:rPr>
          <w:rFonts w:ascii="Calibri" w:cs="Calibri" w:eastAsia="Calibri" w:hAnsi="Calibri"/>
          <w:color w:val="262626"/>
          <w:sz w:val="21"/>
          <w:szCs w:val="21"/>
        </w:rPr>
        <w:t xml:space="preserve">The Application Layer renders slice-by-slice overlays and lets the user export a PDF/JSON report.</w:t>
      </w:r>
    </w:p>
    <w:p>
      <w:pPr>
        <w:pStyle w:val="ListParagraph"/>
        <w:numPr>
          <w:ilvl w:val="0"/>
          <w:numId w:val="3"/>
        </w:numPr>
        <w:spacing w:after="90"/>
      </w:pPr>
      <w:r>
        <w:rPr>
          <w:rFonts w:ascii="Calibri" w:cs="Calibri" w:eastAsia="Calibri" w:hAnsi="Calibri"/>
          <w:color w:val="262626"/>
          <w:sz w:val="21"/>
          <w:szCs w:val="21"/>
        </w:rPr>
        <w:t xml:space="preserve">The Operations Layer logs latency, input statistics, and model version for every inference call, feeding the drift-monitoring dashboard.</w:t>
      </w:r>
    </w:p>
    <w:p>
      <w:pPr>
        <w:pStyle w:val="Heading2"/>
        <w:spacing w:after="160" w:before="320"/>
      </w:pPr>
      <w:r>
        <w:rPr>
          <w:rFonts w:ascii="Calibri" w:cs="Calibri" w:eastAsia="Calibri" w:hAnsi="Calibri"/>
          <w:b/>
          <w:bCs/>
          <w:color w:val="2E5395"/>
          <w:sz w:val="24"/>
          <w:szCs w:val="24"/>
        </w:rPr>
        <w:t xml:space="preserve">3.3 Deployment Topology (Conceptual)</w:t>
      </w:r>
    </w:p>
    <w:p>
      <w:pPr>
        <w:spacing w:after="160" w:line="276"/>
        <w:jc w:val="both"/>
      </w:pPr>
      <w:r>
        <w:rPr>
          <w:rFonts w:ascii="Calibri" w:cs="Calibri" w:eastAsia="Calibri" w:hAnsi="Calibri"/>
          <w:color w:val="262626"/>
          <w:sz w:val="21"/>
          <w:szCs w:val="21"/>
        </w:rPr>
        <w:t xml:space="preserve">Client (browser) → Reverse proxy / API Gateway → FastAPI inference service (containerized, GPU node) → Model Registry (reads promoted model) and Object Storage (reads/writes volumes and results) → Monitoring stack (Prometheus scraping the API, Grafana dashboards, alerting on latency and drift thresholds). Training runs on a separate GPU environment (local workstation, cloud GPU instance, or a scheduled CI job) and publishes new model versions to the registry, decoupled from the always-on serving path.</w:t>
      </w:r>
    </w:p>
    <w:p>
      <w:r>
        <w:br w:type="page"/>
      </w:r>
    </w:p>
    <w:p>
      <w:pPr>
        <w:pStyle w:val="Heading1"/>
        <w:pBdr>
          <w:bottom w:val="single" w:color="4472C4" w:sz="6" w:space="4"/>
        </w:pBdr>
        <w:spacing w:after="240" w:before="480"/>
      </w:pPr>
      <w:r>
        <w:rPr>
          <w:rFonts w:ascii="Calibri" w:cs="Calibri" w:eastAsia="Calibri" w:hAnsi="Calibri"/>
          <w:b/>
          <w:bCs/>
          <w:color w:val="1F3864"/>
          <w:sz w:val="30"/>
          <w:szCs w:val="30"/>
        </w:rPr>
        <w:t xml:space="preserve">4  Functional Requirements</w:t>
      </w:r>
    </w:p>
    <w:p>
      <w:pPr>
        <w:spacing w:after="160" w:line="276"/>
        <w:jc w:val="both"/>
      </w:pPr>
      <w:r>
        <w:rPr>
          <w:rFonts w:ascii="Calibri" w:cs="Calibri" w:eastAsia="Calibri" w:hAnsi="Calibri"/>
          <w:color w:val="262626"/>
          <w:sz w:val="21"/>
          <w:szCs w:val="21"/>
        </w:rPr>
        <w:t xml:space="preserve">Requirements are grouped by module and prioritized as Must (M — required for MVP), Should (S — required for the production-grade version), or Could (C — stretch goal).</w:t>
      </w:r>
    </w:p>
    <w:p>
      <w:pPr>
        <w:pStyle w:val="Heading2"/>
        <w:spacing w:after="160" w:before="320"/>
      </w:pPr>
      <w:r>
        <w:rPr>
          <w:rFonts w:ascii="Calibri" w:cs="Calibri" w:eastAsia="Calibri" w:hAnsi="Calibri"/>
          <w:b/>
          <w:bCs/>
          <w:color w:val="2E5395"/>
          <w:sz w:val="24"/>
          <w:szCs w:val="24"/>
        </w:rPr>
        <w:t xml:space="preserve">4.1 Data Ingestion Module</w:t>
      </w:r>
    </w:p>
    <w:tbl>
      <w:tblPr>
        <w:tblW w:type="dxa" w:w="9300"/>
        <w:tblBorders>
          <w:top w:val="single" w:color="BFBFBF" w:sz="4"/>
          <w:left w:val="single" w:color="BFBFBF" w:sz="4"/>
          <w:bottom w:val="single" w:color="BFBFBF" w:sz="4"/>
          <w:right w:val="single" w:color="BFBFBF" w:sz="4"/>
          <w:insideH w:val="single" w:color="D9D9D9" w:sz="4"/>
          <w:insideV w:val="single" w:color="D9D9D9" w:sz="4"/>
        </w:tblBorders>
      </w:tblPr>
      <w:tblGrid>
        <w:gridCol w:w="1100"/>
        <w:gridCol w:w="6900"/>
        <w:gridCol w:w="1300"/>
      </w:tblGrid>
      <w:tr>
        <w:trPr>
          <w:cantSplit/>
          <w:tblHeader/>
        </w:trPr>
        <w:tc>
          <w:tcPr>
            <w:tcW w:type="dxa" w:w="11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ID</w:t>
            </w:r>
          </w:p>
        </w:tc>
        <w:tc>
          <w:tcPr>
            <w:tcW w:type="dxa" w:w="69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Requirement</w:t>
            </w:r>
          </w:p>
        </w:tc>
        <w:tc>
          <w:tcPr>
            <w:tcW w:type="dxa" w:w="13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Priority</w:t>
            </w:r>
          </w:p>
        </w:tc>
      </w:tr>
      <w:tr>
        <w:trPr>
          <w:cantSplit/>
        </w:trPr>
        <w:tc>
          <w:tcPr>
            <w:tcW w:type="dxa" w:w="1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FR-1.1</w:t>
            </w:r>
          </w:p>
        </w:tc>
        <w:tc>
          <w:tcPr>
            <w:tcW w:type="dxa" w:w="6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accept upload of NIfTI (.nii/.nii.gz) files for the four BraTS modalities: T1, T1ce, T2, FLAIR.</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w:t>
            </w:r>
          </w:p>
        </w:tc>
      </w:tr>
      <w:tr>
        <w:trPr>
          <w:cantSplit/>
        </w:trPr>
        <w:tc>
          <w:tcPr>
            <w:tcW w:type="dxa" w:w="11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FR-1.2</w:t>
            </w:r>
          </w:p>
        </w:tc>
        <w:tc>
          <w:tcPr>
            <w:tcW w:type="dxa" w:w="6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validate that all four modalities are present, co-registered (matching affine/shape), and non-corrupt before accepting a case.</w:t>
            </w:r>
          </w:p>
        </w:tc>
        <w:tc>
          <w:tcPr>
            <w:tcW w:type="dxa" w:w="1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w:t>
            </w:r>
          </w:p>
        </w:tc>
      </w:tr>
      <w:tr>
        <w:trPr>
          <w:cantSplit/>
        </w:trPr>
        <w:tc>
          <w:tcPr>
            <w:tcW w:type="dxa" w:w="1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FR-1.3</w:t>
            </w:r>
          </w:p>
        </w:tc>
        <w:tc>
          <w:tcPr>
            <w:tcW w:type="dxa" w:w="6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reject and report, with a specific error code, any upload with missing modalities, mismatched dimensions, or unreadable headers.</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w:t>
            </w:r>
          </w:p>
        </w:tc>
      </w:tr>
      <w:tr>
        <w:trPr>
          <w:cantSplit/>
        </w:trPr>
        <w:tc>
          <w:tcPr>
            <w:tcW w:type="dxa" w:w="11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FR-1.4</w:t>
            </w:r>
          </w:p>
        </w:tc>
        <w:tc>
          <w:tcPr>
            <w:tcW w:type="dxa" w:w="6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optionally accept a DICOM series and convert it to NIfTI via a documented conversion stub (dcm2niix).</w:t>
            </w:r>
          </w:p>
        </w:tc>
        <w:tc>
          <w:tcPr>
            <w:tcW w:type="dxa" w:w="1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S</w:t>
            </w:r>
          </w:p>
        </w:tc>
      </w:tr>
      <w:tr>
        <w:trPr>
          <w:cantSplit/>
        </w:trPr>
        <w:tc>
          <w:tcPr>
            <w:tcW w:type="dxa" w:w="1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FR-1.5</w:t>
            </w:r>
          </w:p>
        </w:tc>
        <w:tc>
          <w:tcPr>
            <w:tcW w:type="dxa" w:w="6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assign a unique case ID and persist the raw upload to versioned object storage before any processing begins.</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w:t>
            </w:r>
          </w:p>
        </w:tc>
      </w:tr>
    </w:tbl>
    <w:p>
      <w:pPr>
        <w:pStyle w:val="Heading2"/>
        <w:spacing w:after="160" w:before="320"/>
      </w:pPr>
      <w:r>
        <w:rPr>
          <w:rFonts w:ascii="Calibri" w:cs="Calibri" w:eastAsia="Calibri" w:hAnsi="Calibri"/>
          <w:b/>
          <w:bCs/>
          <w:color w:val="2E5395"/>
          <w:sz w:val="24"/>
          <w:szCs w:val="24"/>
        </w:rPr>
        <w:t xml:space="preserve">4.2 Preprocessing Module</w:t>
      </w:r>
    </w:p>
    <w:tbl>
      <w:tblPr>
        <w:tblW w:type="dxa" w:w="9300"/>
        <w:tblBorders>
          <w:top w:val="single" w:color="BFBFBF" w:sz="4"/>
          <w:left w:val="single" w:color="BFBFBF" w:sz="4"/>
          <w:bottom w:val="single" w:color="BFBFBF" w:sz="4"/>
          <w:right w:val="single" w:color="BFBFBF" w:sz="4"/>
          <w:insideH w:val="single" w:color="D9D9D9" w:sz="4"/>
          <w:insideV w:val="single" w:color="D9D9D9" w:sz="4"/>
        </w:tblBorders>
      </w:tblPr>
      <w:tblGrid>
        <w:gridCol w:w="1100"/>
        <w:gridCol w:w="6900"/>
        <w:gridCol w:w="1300"/>
      </w:tblGrid>
      <w:tr>
        <w:trPr>
          <w:cantSplit/>
          <w:tblHeader/>
        </w:trPr>
        <w:tc>
          <w:tcPr>
            <w:tcW w:type="dxa" w:w="11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ID</w:t>
            </w:r>
          </w:p>
        </w:tc>
        <w:tc>
          <w:tcPr>
            <w:tcW w:type="dxa" w:w="69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Requirement</w:t>
            </w:r>
          </w:p>
        </w:tc>
        <w:tc>
          <w:tcPr>
            <w:tcW w:type="dxa" w:w="13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Priority</w:t>
            </w:r>
          </w:p>
        </w:tc>
      </w:tr>
      <w:tr>
        <w:trPr>
          <w:cantSplit/>
        </w:trPr>
        <w:tc>
          <w:tcPr>
            <w:tcW w:type="dxa" w:w="1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FR-2.1</w:t>
            </w:r>
          </w:p>
        </w:tc>
        <w:tc>
          <w:tcPr>
            <w:tcW w:type="dxa" w:w="6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reorient all volumes to a standard RAS orientation.</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w:t>
            </w:r>
          </w:p>
        </w:tc>
      </w:tr>
      <w:tr>
        <w:trPr>
          <w:cantSplit/>
        </w:trPr>
        <w:tc>
          <w:tcPr>
            <w:tcW w:type="dxa" w:w="11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FR-2.2</w:t>
            </w:r>
          </w:p>
        </w:tc>
        <w:tc>
          <w:tcPr>
            <w:tcW w:type="dxa" w:w="6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resample all modalities to 1 mm³ isotropic spacing using linear interpolation for intensities and nearest-neighbor for any label map.</w:t>
            </w:r>
          </w:p>
        </w:tc>
        <w:tc>
          <w:tcPr>
            <w:tcW w:type="dxa" w:w="1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w:t>
            </w:r>
          </w:p>
        </w:tc>
      </w:tr>
      <w:tr>
        <w:trPr>
          <w:cantSplit/>
        </w:trPr>
        <w:tc>
          <w:tcPr>
            <w:tcW w:type="dxa" w:w="1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FR-2.3</w:t>
            </w:r>
          </w:p>
        </w:tc>
        <w:tc>
          <w:tcPr>
            <w:tcW w:type="dxa" w:w="6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apply per-modality z-score normalization after clipping intensities to the 0.5–99.5 percentile range.</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w:t>
            </w:r>
          </w:p>
        </w:tc>
      </w:tr>
      <w:tr>
        <w:trPr>
          <w:cantSplit/>
        </w:trPr>
        <w:tc>
          <w:tcPr>
            <w:tcW w:type="dxa" w:w="11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FR-2.4</w:t>
            </w:r>
          </w:p>
        </w:tc>
        <w:tc>
          <w:tcPr>
            <w:tcW w:type="dxa" w:w="6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During training, the system shall extract foreground-oversampled 3D patches (default 128³) with a configurable positive:negative sampling ratio.</w:t>
            </w:r>
          </w:p>
        </w:tc>
        <w:tc>
          <w:tcPr>
            <w:tcW w:type="dxa" w:w="1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w:t>
            </w:r>
          </w:p>
        </w:tc>
      </w:tr>
      <w:tr>
        <w:trPr>
          <w:cantSplit/>
        </w:trPr>
        <w:tc>
          <w:tcPr>
            <w:tcW w:type="dxa" w:w="1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FR-2.5</w:t>
            </w:r>
          </w:p>
        </w:tc>
        <w:tc>
          <w:tcPr>
            <w:tcW w:type="dxa" w:w="6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During training, the system shall apply stochastic augmentations: random flip (all 3 axes), random rotation, elastic deformation, intensity gamma jitter, and Gaussian noise.</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S</w:t>
            </w:r>
          </w:p>
        </w:tc>
      </w:tr>
      <w:tr>
        <w:trPr>
          <w:cantSplit/>
        </w:trPr>
        <w:tc>
          <w:tcPr>
            <w:tcW w:type="dxa" w:w="11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FR-2.6</w:t>
            </w:r>
          </w:p>
        </w:tc>
        <w:tc>
          <w:tcPr>
            <w:tcW w:type="dxa" w:w="6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log the exact preprocessing configuration (as a versioned config file) alongside every processed dataset artifact.</w:t>
            </w:r>
          </w:p>
        </w:tc>
        <w:tc>
          <w:tcPr>
            <w:tcW w:type="dxa" w:w="1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w:t>
            </w:r>
          </w:p>
        </w:tc>
      </w:tr>
    </w:tbl>
    <w:p>
      <w:pPr>
        <w:pStyle w:val="Heading2"/>
        <w:spacing w:after="160" w:before="320"/>
      </w:pPr>
      <w:r>
        <w:rPr>
          <w:rFonts w:ascii="Calibri" w:cs="Calibri" w:eastAsia="Calibri" w:hAnsi="Calibri"/>
          <w:b/>
          <w:bCs/>
          <w:color w:val="2E5395"/>
          <w:sz w:val="24"/>
          <w:szCs w:val="24"/>
        </w:rPr>
        <w:t xml:space="preserve">4.3 Model Training Module</w:t>
      </w:r>
    </w:p>
    <w:tbl>
      <w:tblPr>
        <w:tblW w:type="dxa" w:w="9300"/>
        <w:tblBorders>
          <w:top w:val="single" w:color="BFBFBF" w:sz="4"/>
          <w:left w:val="single" w:color="BFBFBF" w:sz="4"/>
          <w:bottom w:val="single" w:color="BFBFBF" w:sz="4"/>
          <w:right w:val="single" w:color="BFBFBF" w:sz="4"/>
          <w:insideH w:val="single" w:color="D9D9D9" w:sz="4"/>
          <w:insideV w:val="single" w:color="D9D9D9" w:sz="4"/>
        </w:tblBorders>
      </w:tblPr>
      <w:tblGrid>
        <w:gridCol w:w="1100"/>
        <w:gridCol w:w="6900"/>
        <w:gridCol w:w="1300"/>
      </w:tblGrid>
      <w:tr>
        <w:trPr>
          <w:cantSplit/>
          <w:tblHeader/>
        </w:trPr>
        <w:tc>
          <w:tcPr>
            <w:tcW w:type="dxa" w:w="11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ID</w:t>
            </w:r>
          </w:p>
        </w:tc>
        <w:tc>
          <w:tcPr>
            <w:tcW w:type="dxa" w:w="69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Requirement</w:t>
            </w:r>
          </w:p>
        </w:tc>
        <w:tc>
          <w:tcPr>
            <w:tcW w:type="dxa" w:w="13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Priority</w:t>
            </w:r>
          </w:p>
        </w:tc>
      </w:tr>
      <w:tr>
        <w:trPr>
          <w:cantSplit/>
        </w:trPr>
        <w:tc>
          <w:tcPr>
            <w:tcW w:type="dxa" w:w="1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FR-3.1</w:t>
            </w:r>
          </w:p>
        </w:tc>
        <w:tc>
          <w:tcPr>
            <w:tcW w:type="dxa" w:w="6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train a 3D U-Net baseline model on the preprocessed patches using a combined Dice + Cross-Entropy loss.</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w:t>
            </w:r>
          </w:p>
        </w:tc>
      </w:tr>
      <w:tr>
        <w:trPr>
          <w:cantSplit/>
        </w:trPr>
        <w:tc>
          <w:tcPr>
            <w:tcW w:type="dxa" w:w="11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FR-3.2</w:t>
            </w:r>
          </w:p>
        </w:tc>
        <w:tc>
          <w:tcPr>
            <w:tcW w:type="dxa" w:w="6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support 5-fold patient-level cross-validation with configurable fold assignment.</w:t>
            </w:r>
          </w:p>
        </w:tc>
        <w:tc>
          <w:tcPr>
            <w:tcW w:type="dxa" w:w="1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w:t>
            </w:r>
          </w:p>
        </w:tc>
      </w:tr>
      <w:tr>
        <w:trPr>
          <w:cantSplit/>
        </w:trPr>
        <w:tc>
          <w:tcPr>
            <w:tcW w:type="dxa" w:w="1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FR-3.3</w:t>
            </w:r>
          </w:p>
        </w:tc>
        <w:tc>
          <w:tcPr>
            <w:tcW w:type="dxa" w:w="6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checkpoint model weights on every epoch with improved validation Dice and retain the top-K checkpoints.</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w:t>
            </w:r>
          </w:p>
        </w:tc>
      </w:tr>
      <w:tr>
        <w:trPr>
          <w:cantSplit/>
        </w:trPr>
        <w:tc>
          <w:tcPr>
            <w:tcW w:type="dxa" w:w="11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FR-3.4</w:t>
            </w:r>
          </w:p>
        </w:tc>
        <w:tc>
          <w:tcPr>
            <w:tcW w:type="dxa" w:w="6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log training/validation loss, per-region Dice, and learning rate to an experiment tracker (Weights &amp; Biases or MLflow) for every run.</w:t>
            </w:r>
          </w:p>
        </w:tc>
        <w:tc>
          <w:tcPr>
            <w:tcW w:type="dxa" w:w="1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w:t>
            </w:r>
          </w:p>
        </w:tc>
      </w:tr>
      <w:tr>
        <w:trPr>
          <w:cantSplit/>
        </w:trPr>
        <w:tc>
          <w:tcPr>
            <w:tcW w:type="dxa" w:w="1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FR-3.5</w:t>
            </w:r>
          </w:p>
        </w:tc>
        <w:tc>
          <w:tcPr>
            <w:tcW w:type="dxa" w:w="6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support mixed-precision (AMP) training and configurable gradient accumulation.</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S</w:t>
            </w:r>
          </w:p>
        </w:tc>
      </w:tr>
      <w:tr>
        <w:trPr>
          <w:cantSplit/>
        </w:trPr>
        <w:tc>
          <w:tcPr>
            <w:tcW w:type="dxa" w:w="11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FR-3.6</w:t>
            </w:r>
          </w:p>
        </w:tc>
        <w:tc>
          <w:tcPr>
            <w:tcW w:type="dxa" w:w="6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provide an nnU-Net-based training path as an alternative/benchmark model, using nnU-Net's automatic configuration.</w:t>
            </w:r>
          </w:p>
        </w:tc>
        <w:tc>
          <w:tcPr>
            <w:tcW w:type="dxa" w:w="1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S</w:t>
            </w:r>
          </w:p>
        </w:tc>
      </w:tr>
      <w:tr>
        <w:trPr>
          <w:cantSplit/>
        </w:trPr>
        <w:tc>
          <w:tcPr>
            <w:tcW w:type="dxa" w:w="1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FR-3.7</w:t>
            </w:r>
          </w:p>
        </w:tc>
        <w:tc>
          <w:tcPr>
            <w:tcW w:type="dxa" w:w="6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support resuming training from any saved checkpoint without loss of optimizer state.</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S</w:t>
            </w:r>
          </w:p>
        </w:tc>
      </w:tr>
      <w:tr>
        <w:trPr>
          <w:cantSplit/>
        </w:trPr>
        <w:tc>
          <w:tcPr>
            <w:tcW w:type="dxa" w:w="11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FR-3.8</w:t>
            </w:r>
          </w:p>
        </w:tc>
        <w:tc>
          <w:tcPr>
            <w:tcW w:type="dxa" w:w="6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register a completed training run's best checkpoint, config, and metrics as a versioned model artifact in the model registry.</w:t>
            </w:r>
          </w:p>
        </w:tc>
        <w:tc>
          <w:tcPr>
            <w:tcW w:type="dxa" w:w="1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w:t>
            </w:r>
          </w:p>
        </w:tc>
      </w:tr>
    </w:tbl>
    <w:p>
      <w:pPr>
        <w:pStyle w:val="Heading2"/>
        <w:spacing w:after="160" w:before="320"/>
      </w:pPr>
      <w:r>
        <w:rPr>
          <w:rFonts w:ascii="Calibri" w:cs="Calibri" w:eastAsia="Calibri" w:hAnsi="Calibri"/>
          <w:b/>
          <w:bCs/>
          <w:color w:val="2E5395"/>
          <w:sz w:val="24"/>
          <w:szCs w:val="24"/>
        </w:rPr>
        <w:t xml:space="preserve">4.4 Inference Module</w:t>
      </w:r>
    </w:p>
    <w:tbl>
      <w:tblPr>
        <w:tblW w:type="dxa" w:w="9300"/>
        <w:tblBorders>
          <w:top w:val="single" w:color="BFBFBF" w:sz="4"/>
          <w:left w:val="single" w:color="BFBFBF" w:sz="4"/>
          <w:bottom w:val="single" w:color="BFBFBF" w:sz="4"/>
          <w:right w:val="single" w:color="BFBFBF" w:sz="4"/>
          <w:insideH w:val="single" w:color="D9D9D9" w:sz="4"/>
          <w:insideV w:val="single" w:color="D9D9D9" w:sz="4"/>
        </w:tblBorders>
      </w:tblPr>
      <w:tblGrid>
        <w:gridCol w:w="1100"/>
        <w:gridCol w:w="6900"/>
        <w:gridCol w:w="1300"/>
      </w:tblGrid>
      <w:tr>
        <w:trPr>
          <w:cantSplit/>
          <w:tblHeader/>
        </w:trPr>
        <w:tc>
          <w:tcPr>
            <w:tcW w:type="dxa" w:w="11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ID</w:t>
            </w:r>
          </w:p>
        </w:tc>
        <w:tc>
          <w:tcPr>
            <w:tcW w:type="dxa" w:w="69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Requirement</w:t>
            </w:r>
          </w:p>
        </w:tc>
        <w:tc>
          <w:tcPr>
            <w:tcW w:type="dxa" w:w="13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Priority</w:t>
            </w:r>
          </w:p>
        </w:tc>
      </w:tr>
      <w:tr>
        <w:trPr>
          <w:cantSplit/>
        </w:trPr>
        <w:tc>
          <w:tcPr>
            <w:tcW w:type="dxa" w:w="1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FR-4.1</w:t>
            </w:r>
          </w:p>
        </w:tc>
        <w:tc>
          <w:tcPr>
            <w:tcW w:type="dxa" w:w="6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run sliding-window inference over a full preprocessed volume using a configurable patch size and overlap ratio.</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w:t>
            </w:r>
          </w:p>
        </w:tc>
      </w:tr>
      <w:tr>
        <w:trPr>
          <w:cantSplit/>
        </w:trPr>
        <w:tc>
          <w:tcPr>
            <w:tcW w:type="dxa" w:w="11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FR-4.2</w:t>
            </w:r>
          </w:p>
        </w:tc>
        <w:tc>
          <w:tcPr>
            <w:tcW w:type="dxa" w:w="6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blend overlapping patch predictions using Gaussian-weighted averaging to avoid tiling artifacts.</w:t>
            </w:r>
          </w:p>
        </w:tc>
        <w:tc>
          <w:tcPr>
            <w:tcW w:type="dxa" w:w="1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w:t>
            </w:r>
          </w:p>
        </w:tc>
      </w:tr>
      <w:tr>
        <w:trPr>
          <w:cantSplit/>
        </w:trPr>
        <w:tc>
          <w:tcPr>
            <w:tcW w:type="dxa" w:w="1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FR-4.3</w:t>
            </w:r>
          </w:p>
        </w:tc>
        <w:tc>
          <w:tcPr>
            <w:tcW w:type="dxa" w:w="6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apply post-processing: removal of connected components below a configurable voxel-volume threshold, and morphological hole-filling.</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w:t>
            </w:r>
          </w:p>
        </w:tc>
      </w:tr>
      <w:tr>
        <w:trPr>
          <w:cantSplit/>
        </w:trPr>
        <w:tc>
          <w:tcPr>
            <w:tcW w:type="dxa" w:w="11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FR-4.4</w:t>
            </w:r>
          </w:p>
        </w:tc>
        <w:tc>
          <w:tcPr>
            <w:tcW w:type="dxa" w:w="6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re-map internal overlapping-region predictions to the four canonical BraTS output labels and compute per-label voxel/volume counts (mm³).</w:t>
            </w:r>
          </w:p>
        </w:tc>
        <w:tc>
          <w:tcPr>
            <w:tcW w:type="dxa" w:w="1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w:t>
            </w:r>
          </w:p>
        </w:tc>
      </w:tr>
      <w:tr>
        <w:trPr>
          <w:cantSplit/>
        </w:trPr>
        <w:tc>
          <w:tcPr>
            <w:tcW w:type="dxa" w:w="1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FR-4.5</w:t>
            </w:r>
          </w:p>
        </w:tc>
        <w:tc>
          <w:tcPr>
            <w:tcW w:type="dxa" w:w="6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return, per inference call, the segmentation mask (NIfTI), a summary JSON (volumes, confidence, model version, processing time), and optionally a rendered overlay preview image.</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w:t>
            </w:r>
          </w:p>
        </w:tc>
      </w:tr>
      <w:tr>
        <w:trPr>
          <w:cantSplit/>
        </w:trPr>
        <w:tc>
          <w:tcPr>
            <w:tcW w:type="dxa" w:w="11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FR-4.6</w:t>
            </w:r>
          </w:p>
        </w:tc>
        <w:tc>
          <w:tcPr>
            <w:tcW w:type="dxa" w:w="6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support batch inference over a directory or list of case IDs.</w:t>
            </w:r>
          </w:p>
        </w:tc>
        <w:tc>
          <w:tcPr>
            <w:tcW w:type="dxa" w:w="1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C</w:t>
            </w:r>
          </w:p>
        </w:tc>
      </w:tr>
    </w:tbl>
    <w:p>
      <w:pPr>
        <w:pStyle w:val="Heading2"/>
        <w:spacing w:after="160" w:before="320"/>
      </w:pPr>
      <w:r>
        <w:rPr>
          <w:rFonts w:ascii="Calibri" w:cs="Calibri" w:eastAsia="Calibri" w:hAnsi="Calibri"/>
          <w:b/>
          <w:bCs/>
          <w:color w:val="2E5395"/>
          <w:sz w:val="24"/>
          <w:szCs w:val="24"/>
        </w:rPr>
        <w:t xml:space="preserve">4.5 API / Backend Module</w:t>
      </w:r>
    </w:p>
    <w:tbl>
      <w:tblPr>
        <w:tblW w:type="dxa" w:w="9300"/>
        <w:tblBorders>
          <w:top w:val="single" w:color="BFBFBF" w:sz="4"/>
          <w:left w:val="single" w:color="BFBFBF" w:sz="4"/>
          <w:bottom w:val="single" w:color="BFBFBF" w:sz="4"/>
          <w:right w:val="single" w:color="BFBFBF" w:sz="4"/>
          <w:insideH w:val="single" w:color="D9D9D9" w:sz="4"/>
          <w:insideV w:val="single" w:color="D9D9D9" w:sz="4"/>
        </w:tblBorders>
      </w:tblPr>
      <w:tblGrid>
        <w:gridCol w:w="1100"/>
        <w:gridCol w:w="6900"/>
        <w:gridCol w:w="1300"/>
      </w:tblGrid>
      <w:tr>
        <w:trPr>
          <w:cantSplit/>
          <w:tblHeader/>
        </w:trPr>
        <w:tc>
          <w:tcPr>
            <w:tcW w:type="dxa" w:w="11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ID</w:t>
            </w:r>
          </w:p>
        </w:tc>
        <w:tc>
          <w:tcPr>
            <w:tcW w:type="dxa" w:w="69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Requirement</w:t>
            </w:r>
          </w:p>
        </w:tc>
        <w:tc>
          <w:tcPr>
            <w:tcW w:type="dxa" w:w="13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Priority</w:t>
            </w:r>
          </w:p>
        </w:tc>
      </w:tr>
      <w:tr>
        <w:trPr>
          <w:cantSplit/>
        </w:trPr>
        <w:tc>
          <w:tcPr>
            <w:tcW w:type="dxa" w:w="1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FR-5.1</w:t>
            </w:r>
          </w:p>
        </w:tc>
        <w:tc>
          <w:tcPr>
            <w:tcW w:type="dxa" w:w="6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expose a REST endpoint POST /v1/cases to upload a new case and receive a case ID.</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w:t>
            </w:r>
          </w:p>
        </w:tc>
      </w:tr>
      <w:tr>
        <w:trPr>
          <w:cantSplit/>
        </w:trPr>
        <w:tc>
          <w:tcPr>
            <w:tcW w:type="dxa" w:w="11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FR-5.2</w:t>
            </w:r>
          </w:p>
        </w:tc>
        <w:tc>
          <w:tcPr>
            <w:tcW w:type="dxa" w:w="6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expose POST /v1/cases/{id}/infer to trigger inference against a specified or default-promoted model version.</w:t>
            </w:r>
          </w:p>
        </w:tc>
        <w:tc>
          <w:tcPr>
            <w:tcW w:type="dxa" w:w="1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w:t>
            </w:r>
          </w:p>
        </w:tc>
      </w:tr>
      <w:tr>
        <w:trPr>
          <w:cantSplit/>
        </w:trPr>
        <w:tc>
          <w:tcPr>
            <w:tcW w:type="dxa" w:w="1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FR-5.3</w:t>
            </w:r>
          </w:p>
        </w:tc>
        <w:tc>
          <w:tcPr>
            <w:tcW w:type="dxa" w:w="6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expose GET /v1/cases/{id}/result to retrieve inference status and results.</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w:t>
            </w:r>
          </w:p>
        </w:tc>
      </w:tr>
      <w:tr>
        <w:trPr>
          <w:cantSplit/>
        </w:trPr>
        <w:tc>
          <w:tcPr>
            <w:tcW w:type="dxa" w:w="11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FR-5.4</w:t>
            </w:r>
          </w:p>
        </w:tc>
        <w:tc>
          <w:tcPr>
            <w:tcW w:type="dxa" w:w="6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expose GET /v1/models to list available model versions with their validation metrics.</w:t>
            </w:r>
          </w:p>
        </w:tc>
        <w:tc>
          <w:tcPr>
            <w:tcW w:type="dxa" w:w="1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S</w:t>
            </w:r>
          </w:p>
        </w:tc>
      </w:tr>
      <w:tr>
        <w:trPr>
          <w:cantSplit/>
        </w:trPr>
        <w:tc>
          <w:tcPr>
            <w:tcW w:type="dxa" w:w="1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FR-5.5</w:t>
            </w:r>
          </w:p>
        </w:tc>
        <w:tc>
          <w:tcPr>
            <w:tcW w:type="dxa" w:w="6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version the API (path-prefixed, e.g. /v1/) and maintain backward compatibility within a major version.</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w:t>
            </w:r>
          </w:p>
        </w:tc>
      </w:tr>
      <w:tr>
        <w:trPr>
          <w:cantSplit/>
        </w:trPr>
        <w:tc>
          <w:tcPr>
            <w:tcW w:type="dxa" w:w="11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FR-5.6</w:t>
            </w:r>
          </w:p>
        </w:tc>
        <w:tc>
          <w:tcPr>
            <w:tcW w:type="dxa" w:w="6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authenticate API requests via API key or bearer token and rate-limit per client.</w:t>
            </w:r>
          </w:p>
        </w:tc>
        <w:tc>
          <w:tcPr>
            <w:tcW w:type="dxa" w:w="1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S</w:t>
            </w:r>
          </w:p>
        </w:tc>
      </w:tr>
      <w:tr>
        <w:trPr>
          <w:cantSplit/>
        </w:trPr>
        <w:tc>
          <w:tcPr>
            <w:tcW w:type="dxa" w:w="1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FR-5.7</w:t>
            </w:r>
          </w:p>
        </w:tc>
        <w:tc>
          <w:tcPr>
            <w:tcW w:type="dxa" w:w="6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return structured error responses (error code, human-readable message, correlation ID) for all failure paths.</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w:t>
            </w:r>
          </w:p>
        </w:tc>
      </w:tr>
    </w:tbl>
    <w:p>
      <w:pPr>
        <w:pStyle w:val="Heading2"/>
        <w:spacing w:after="160" w:before="320"/>
      </w:pPr>
      <w:r>
        <w:rPr>
          <w:rFonts w:ascii="Calibri" w:cs="Calibri" w:eastAsia="Calibri" w:hAnsi="Calibri"/>
          <w:b/>
          <w:bCs/>
          <w:color w:val="2E5395"/>
          <w:sz w:val="24"/>
          <w:szCs w:val="24"/>
        </w:rPr>
        <w:t xml:space="preserve">4.6 Frontend / Visualization Module</w:t>
      </w:r>
    </w:p>
    <w:tbl>
      <w:tblPr>
        <w:tblW w:type="dxa" w:w="9300"/>
        <w:tblBorders>
          <w:top w:val="single" w:color="BFBFBF" w:sz="4"/>
          <w:left w:val="single" w:color="BFBFBF" w:sz="4"/>
          <w:bottom w:val="single" w:color="BFBFBF" w:sz="4"/>
          <w:right w:val="single" w:color="BFBFBF" w:sz="4"/>
          <w:insideH w:val="single" w:color="D9D9D9" w:sz="4"/>
          <w:insideV w:val="single" w:color="D9D9D9" w:sz="4"/>
        </w:tblBorders>
      </w:tblPr>
      <w:tblGrid>
        <w:gridCol w:w="1100"/>
        <w:gridCol w:w="6900"/>
        <w:gridCol w:w="1300"/>
      </w:tblGrid>
      <w:tr>
        <w:trPr>
          <w:cantSplit/>
          <w:tblHeader/>
        </w:trPr>
        <w:tc>
          <w:tcPr>
            <w:tcW w:type="dxa" w:w="11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ID</w:t>
            </w:r>
          </w:p>
        </w:tc>
        <w:tc>
          <w:tcPr>
            <w:tcW w:type="dxa" w:w="69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Requirement</w:t>
            </w:r>
          </w:p>
        </w:tc>
        <w:tc>
          <w:tcPr>
            <w:tcW w:type="dxa" w:w="13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Priority</w:t>
            </w:r>
          </w:p>
        </w:tc>
      </w:tr>
      <w:tr>
        <w:trPr>
          <w:cantSplit/>
        </w:trPr>
        <w:tc>
          <w:tcPr>
            <w:tcW w:type="dxa" w:w="1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FR-6.1</w:t>
            </w:r>
          </w:p>
        </w:tc>
        <w:tc>
          <w:tcPr>
            <w:tcW w:type="dxa" w:w="6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let a user drag-and-drop or select four modality files (or a case archive) for upload.</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w:t>
            </w:r>
          </w:p>
        </w:tc>
      </w:tr>
      <w:tr>
        <w:trPr>
          <w:cantSplit/>
        </w:trPr>
        <w:tc>
          <w:tcPr>
            <w:tcW w:type="dxa" w:w="11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FR-6.2</w:t>
            </w:r>
          </w:p>
        </w:tc>
        <w:tc>
          <w:tcPr>
            <w:tcW w:type="dxa" w:w="6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display upload/processing/inference progress with clear status states.</w:t>
            </w:r>
          </w:p>
        </w:tc>
        <w:tc>
          <w:tcPr>
            <w:tcW w:type="dxa" w:w="1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w:t>
            </w:r>
          </w:p>
        </w:tc>
      </w:tr>
      <w:tr>
        <w:trPr>
          <w:cantSplit/>
        </w:trPr>
        <w:tc>
          <w:tcPr>
            <w:tcW w:type="dxa" w:w="1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FR-6.3</w:t>
            </w:r>
          </w:p>
        </w:tc>
        <w:tc>
          <w:tcPr>
            <w:tcW w:type="dxa" w:w="6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render an axial/coronal/sagittal slice viewer with a scroll/slider control and a segmentation-mask overlay toggle per label.</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w:t>
            </w:r>
          </w:p>
        </w:tc>
      </w:tr>
      <w:tr>
        <w:trPr>
          <w:cantSplit/>
        </w:trPr>
        <w:tc>
          <w:tcPr>
            <w:tcW w:type="dxa" w:w="11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FR-6.4</w:t>
            </w:r>
          </w:p>
        </w:tc>
        <w:tc>
          <w:tcPr>
            <w:tcW w:type="dxa" w:w="6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display per-region volumes (ET, TC, WT in cm³) and the active model version alongside the viewer.</w:t>
            </w:r>
          </w:p>
        </w:tc>
        <w:tc>
          <w:tcPr>
            <w:tcW w:type="dxa" w:w="1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w:t>
            </w:r>
          </w:p>
        </w:tc>
      </w:tr>
      <w:tr>
        <w:trPr>
          <w:cantSplit/>
        </w:trPr>
        <w:tc>
          <w:tcPr>
            <w:tcW w:type="dxa" w:w="1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FR-6.5</w:t>
            </w:r>
          </w:p>
        </w:tc>
        <w:tc>
          <w:tcPr>
            <w:tcW w:type="dxa" w:w="6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let the user export a PDF or JSON report summarizing the case, volumes, and a slice-overlay snapshot.</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S</w:t>
            </w:r>
          </w:p>
        </w:tc>
      </w:tr>
      <w:tr>
        <w:trPr>
          <w:cantSplit/>
        </w:trPr>
        <w:tc>
          <w:tcPr>
            <w:tcW w:type="dxa" w:w="11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FR-6.6</w:t>
            </w:r>
          </w:p>
        </w:tc>
        <w:tc>
          <w:tcPr>
            <w:tcW w:type="dxa" w:w="6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display the non-clinical-use disclaimer (Section 14) on every results view.</w:t>
            </w:r>
          </w:p>
        </w:tc>
        <w:tc>
          <w:tcPr>
            <w:tcW w:type="dxa" w:w="1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w:t>
            </w:r>
          </w:p>
        </w:tc>
      </w:tr>
    </w:tbl>
    <w:p>
      <w:pPr>
        <w:pStyle w:val="Heading2"/>
        <w:spacing w:after="160" w:before="320"/>
      </w:pPr>
      <w:r>
        <w:rPr>
          <w:rFonts w:ascii="Calibri" w:cs="Calibri" w:eastAsia="Calibri" w:hAnsi="Calibri"/>
          <w:b/>
          <w:bCs/>
          <w:color w:val="2E5395"/>
          <w:sz w:val="24"/>
          <w:szCs w:val="24"/>
        </w:rPr>
        <w:t xml:space="preserve">4.7 Monitoring, Logging &amp; Governance Module</w:t>
      </w:r>
    </w:p>
    <w:tbl>
      <w:tblPr>
        <w:tblW w:type="dxa" w:w="9300"/>
        <w:tblBorders>
          <w:top w:val="single" w:color="BFBFBF" w:sz="4"/>
          <w:left w:val="single" w:color="BFBFBF" w:sz="4"/>
          <w:bottom w:val="single" w:color="BFBFBF" w:sz="4"/>
          <w:right w:val="single" w:color="BFBFBF" w:sz="4"/>
          <w:insideH w:val="single" w:color="D9D9D9" w:sz="4"/>
          <w:insideV w:val="single" w:color="D9D9D9" w:sz="4"/>
        </w:tblBorders>
      </w:tblPr>
      <w:tblGrid>
        <w:gridCol w:w="1100"/>
        <w:gridCol w:w="6900"/>
        <w:gridCol w:w="1300"/>
      </w:tblGrid>
      <w:tr>
        <w:trPr>
          <w:cantSplit/>
          <w:tblHeader/>
        </w:trPr>
        <w:tc>
          <w:tcPr>
            <w:tcW w:type="dxa" w:w="11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ID</w:t>
            </w:r>
          </w:p>
        </w:tc>
        <w:tc>
          <w:tcPr>
            <w:tcW w:type="dxa" w:w="69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Requirement</w:t>
            </w:r>
          </w:p>
        </w:tc>
        <w:tc>
          <w:tcPr>
            <w:tcW w:type="dxa" w:w="13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Priority</w:t>
            </w:r>
          </w:p>
        </w:tc>
      </w:tr>
      <w:tr>
        <w:trPr>
          <w:cantSplit/>
        </w:trPr>
        <w:tc>
          <w:tcPr>
            <w:tcW w:type="dxa" w:w="1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FR-7.1</w:t>
            </w:r>
          </w:p>
        </w:tc>
        <w:tc>
          <w:tcPr>
            <w:tcW w:type="dxa" w:w="6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log every inference request's latency, input volume shape/spacing, and model version used.</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w:t>
            </w:r>
          </w:p>
        </w:tc>
      </w:tr>
      <w:tr>
        <w:trPr>
          <w:cantSplit/>
        </w:trPr>
        <w:tc>
          <w:tcPr>
            <w:tcW w:type="dxa" w:w="11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FR-7.2</w:t>
            </w:r>
          </w:p>
        </w:tc>
        <w:tc>
          <w:tcPr>
            <w:tcW w:type="dxa" w:w="6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compute and expose summary input-intensity statistics per request to support drift detection against the training distribution.</w:t>
            </w:r>
          </w:p>
        </w:tc>
        <w:tc>
          <w:tcPr>
            <w:tcW w:type="dxa" w:w="1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S</w:t>
            </w:r>
          </w:p>
        </w:tc>
      </w:tr>
      <w:tr>
        <w:trPr>
          <w:cantSplit/>
        </w:trPr>
        <w:tc>
          <w:tcPr>
            <w:tcW w:type="dxa" w:w="1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FR-7.3</w:t>
            </w:r>
          </w:p>
        </w:tc>
        <w:tc>
          <w:tcPr>
            <w:tcW w:type="dxa" w:w="6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alert (via dashboard threshold or webhook) when p95 inference latency or input-drift score exceeds a configured threshold.</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S</w:t>
            </w:r>
          </w:p>
        </w:tc>
      </w:tr>
      <w:tr>
        <w:trPr>
          <w:cantSplit/>
        </w:trPr>
        <w:tc>
          <w:tcPr>
            <w:tcW w:type="dxa" w:w="11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FR-7.4</w:t>
            </w:r>
          </w:p>
        </w:tc>
        <w:tc>
          <w:tcPr>
            <w:tcW w:type="dxa" w:w="6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maintain an immutable audit log of model promotions (which version became the default, when, and by whom).</w:t>
            </w:r>
          </w:p>
        </w:tc>
        <w:tc>
          <w:tcPr>
            <w:tcW w:type="dxa" w:w="1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S</w:t>
            </w:r>
          </w:p>
        </w:tc>
      </w:tr>
    </w:tbl>
    <w:p>
      <w:r>
        <w:br w:type="page"/>
      </w:r>
    </w:p>
    <w:p>
      <w:pPr>
        <w:pStyle w:val="Heading1"/>
        <w:pBdr>
          <w:bottom w:val="single" w:color="4472C4" w:sz="6" w:space="4"/>
        </w:pBdr>
        <w:spacing w:after="240" w:before="480"/>
      </w:pPr>
      <w:r>
        <w:rPr>
          <w:rFonts w:ascii="Calibri" w:cs="Calibri" w:eastAsia="Calibri" w:hAnsi="Calibri"/>
          <w:b/>
          <w:bCs/>
          <w:color w:val="1F3864"/>
          <w:sz w:val="30"/>
          <w:szCs w:val="30"/>
        </w:rPr>
        <w:t xml:space="preserve">5  Non-Functional Requirements</w:t>
      </w:r>
    </w:p>
    <w:tbl>
      <w:tblPr>
        <w:tblW w:type="dxa" w:w="9300"/>
        <w:tblBorders>
          <w:top w:val="single" w:color="BFBFBF" w:sz="4"/>
          <w:left w:val="single" w:color="BFBFBF" w:sz="4"/>
          <w:bottom w:val="single" w:color="BFBFBF" w:sz="4"/>
          <w:right w:val="single" w:color="BFBFBF" w:sz="4"/>
          <w:insideH w:val="single" w:color="D9D9D9" w:sz="4"/>
          <w:insideV w:val="single" w:color="D9D9D9" w:sz="4"/>
        </w:tblBorders>
      </w:tblPr>
      <w:tblGrid>
        <w:gridCol w:w="2400"/>
        <w:gridCol w:w="6900"/>
      </w:tblGrid>
      <w:tr>
        <w:trPr>
          <w:cantSplit/>
          <w:tblHeader/>
        </w:trPr>
        <w:tc>
          <w:tcPr>
            <w:tcW w:type="dxa" w:w="24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Category</w:t>
            </w:r>
          </w:p>
        </w:tc>
        <w:tc>
          <w:tcPr>
            <w:tcW w:type="dxa" w:w="69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Requirement</w:t>
            </w:r>
          </w:p>
        </w:tc>
      </w:tr>
      <w:tr>
        <w:trPr>
          <w:cantSplit/>
        </w:trPr>
        <w:tc>
          <w:tcPr>
            <w:tcW w:type="dxa" w:w="24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Performance</w:t>
            </w:r>
          </w:p>
        </w:tc>
        <w:tc>
          <w:tcPr>
            <w:tcW w:type="dxa" w:w="6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Full-volume sliding-window inference shall complete in ≤ 30 seconds on a single mid-range GPU (e.g. RTX 3090/4080 class) and ≤ 4 minutes on CPU-only fallback, for a standard 240×240×155 BraTS volume.</w:t>
            </w:r>
          </w:p>
        </w:tc>
      </w:tr>
      <w:tr>
        <w:trPr>
          <w:cantSplit/>
        </w:trPr>
        <w:tc>
          <w:tcPr>
            <w:tcW w:type="dxa" w:w="24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Scalability</w:t>
            </w:r>
          </w:p>
        </w:tc>
        <w:tc>
          <w:tcPr>
            <w:tcW w:type="dxa" w:w="6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serving layer shall be horizontally scalable (stateless API workers behind a load balancer) to handle concurrent inference requests; target ≥ 20 concurrent requests with graceful queuing beyond capacity.</w:t>
            </w:r>
          </w:p>
        </w:tc>
      </w:tr>
      <w:tr>
        <w:trPr>
          <w:cantSplit/>
        </w:trPr>
        <w:tc>
          <w:tcPr>
            <w:tcW w:type="dxa" w:w="24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Reliability / Availability</w:t>
            </w:r>
          </w:p>
        </w:tc>
        <w:tc>
          <w:tcPr>
            <w:tcW w:type="dxa" w:w="6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inference API shall target 99% uptime in a deployed environment; failed inference jobs shall be retried once automatically before surfacing an error.</w:t>
            </w:r>
          </w:p>
        </w:tc>
      </w:tr>
      <w:tr>
        <w:trPr>
          <w:cantSplit/>
        </w:trPr>
        <w:tc>
          <w:tcPr>
            <w:tcW w:type="dxa" w:w="24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Accuracy (model quality gate)</w:t>
            </w:r>
          </w:p>
        </w:tc>
        <w:tc>
          <w:tcPr>
            <w:tcW w:type="dxa" w:w="6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A model shall not be promoted to production unless it achieves mean Dice ≥ 0.85 (WT), ≥ 0.80 (TC), ≥ 0.75 (ET) on the held-out validation folds, consistent with published BraTS baselines.</w:t>
            </w:r>
          </w:p>
        </w:tc>
      </w:tr>
      <w:tr>
        <w:trPr>
          <w:cantSplit/>
        </w:trPr>
        <w:tc>
          <w:tcPr>
            <w:tcW w:type="dxa" w:w="24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Security</w:t>
            </w:r>
          </w:p>
        </w:tc>
        <w:tc>
          <w:tcPr>
            <w:tcW w:type="dxa" w:w="6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All API traffic shall use TLS; uploaded volumes and results shall be encrypted at rest; access to the model registry and raw data shall be role-restricted.</w:t>
            </w:r>
          </w:p>
        </w:tc>
      </w:tr>
      <w:tr>
        <w:trPr>
          <w:cantSplit/>
        </w:trPr>
        <w:tc>
          <w:tcPr>
            <w:tcW w:type="dxa" w:w="24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Privacy</w:t>
            </w:r>
          </w:p>
        </w:tc>
        <w:tc>
          <w:tcPr>
            <w:tcW w:type="dxa" w:w="6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system shall not persist any identifying metadata from uploaded scans beyond what is required for processing, and shall support case deletion on request.</w:t>
            </w:r>
          </w:p>
        </w:tc>
      </w:tr>
      <w:tr>
        <w:trPr>
          <w:cantSplit/>
        </w:trPr>
        <w:tc>
          <w:tcPr>
            <w:tcW w:type="dxa" w:w="24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Usability</w:t>
            </w:r>
          </w:p>
        </w:tc>
        <w:tc>
          <w:tcPr>
            <w:tcW w:type="dxa" w:w="6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A first-time user shall be able to upload a case and view a segmentation overlay without consulting documentation, within 5 interactions.</w:t>
            </w:r>
          </w:p>
        </w:tc>
      </w:tr>
      <w:tr>
        <w:trPr>
          <w:cantSplit/>
        </w:trPr>
        <w:tc>
          <w:tcPr>
            <w:tcW w:type="dxa" w:w="24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Maintainability</w:t>
            </w:r>
          </w:p>
        </w:tc>
        <w:tc>
          <w:tcPr>
            <w:tcW w:type="dxa" w:w="6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Each module (Data, Model, Serving, Application, Operations) shall be independently testable and independently deployable, with ≥ 70% unit-test coverage on preprocessing and post-processing code.</w:t>
            </w:r>
          </w:p>
        </w:tc>
      </w:tr>
      <w:tr>
        <w:trPr>
          <w:cantSplit/>
        </w:trPr>
        <w:tc>
          <w:tcPr>
            <w:tcW w:type="dxa" w:w="24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Portability</w:t>
            </w:r>
          </w:p>
        </w:tc>
        <w:tc>
          <w:tcPr>
            <w:tcW w:type="dxa" w:w="6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The full stack shall run identically via `docker compose up` on any Linux/macOS/Windows host with Docker and (optionally) NVIDIA Container Toolkit installed.</w:t>
            </w:r>
          </w:p>
        </w:tc>
      </w:tr>
      <w:tr>
        <w:trPr>
          <w:cantSplit/>
        </w:trPr>
        <w:tc>
          <w:tcPr>
            <w:tcW w:type="dxa" w:w="24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Reproducibility</w:t>
            </w:r>
          </w:p>
        </w:tc>
        <w:tc>
          <w:tcPr>
            <w:tcW w:type="dxa" w:w="6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Every training run shall be fully reproducible from its logged config, code commit hash, and data version; re-running shall reproduce reported metrics within stochastic tolerance.</w:t>
            </w:r>
          </w:p>
        </w:tc>
      </w:tr>
      <w:tr>
        <w:trPr>
          <w:cantSplit/>
        </w:trPr>
        <w:tc>
          <w:tcPr>
            <w:tcW w:type="dxa" w:w="24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Auditability</w:t>
            </w:r>
          </w:p>
        </w:tc>
        <w:tc>
          <w:tcPr>
            <w:tcW w:type="dxa" w:w="6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Every inference result shall be traceable to the exact model version, config, and code commit that produced it.</w:t>
            </w:r>
          </w:p>
        </w:tc>
      </w:tr>
    </w:tbl>
    <w:p>
      <w:r>
        <w:br w:type="page"/>
      </w:r>
    </w:p>
    <w:p>
      <w:pPr>
        <w:pStyle w:val="Heading1"/>
        <w:pBdr>
          <w:bottom w:val="single" w:color="4472C4" w:sz="6" w:space="4"/>
        </w:pBdr>
        <w:spacing w:after="240" w:before="480"/>
      </w:pPr>
      <w:r>
        <w:rPr>
          <w:rFonts w:ascii="Calibri" w:cs="Calibri" w:eastAsia="Calibri" w:hAnsi="Calibri"/>
          <w:b/>
          <w:bCs/>
          <w:color w:val="1F3864"/>
          <w:sz w:val="30"/>
          <w:szCs w:val="30"/>
        </w:rPr>
        <w:t xml:space="preserve">6  External Interface Requirements</w:t>
      </w:r>
    </w:p>
    <w:p>
      <w:pPr>
        <w:pStyle w:val="Heading2"/>
        <w:spacing w:after="160" w:before="320"/>
      </w:pPr>
      <w:r>
        <w:rPr>
          <w:rFonts w:ascii="Calibri" w:cs="Calibri" w:eastAsia="Calibri" w:hAnsi="Calibri"/>
          <w:b/>
          <w:bCs/>
          <w:color w:val="2E5395"/>
          <w:sz w:val="24"/>
          <w:szCs w:val="24"/>
        </w:rPr>
        <w:t xml:space="preserve">6.1 User Interfaces</w:t>
      </w:r>
    </w:p>
    <w:p>
      <w:pPr>
        <w:pStyle w:val="ListParagraph"/>
        <w:numPr>
          <w:ilvl w:val="0"/>
          <w:numId w:val="2"/>
        </w:numPr>
        <w:spacing w:after="90"/>
      </w:pPr>
      <w:r>
        <w:rPr>
          <w:rFonts w:ascii="Calibri" w:cs="Calibri" w:eastAsia="Calibri" w:hAnsi="Calibri"/>
          <w:color w:val="262626"/>
          <w:sz w:val="21"/>
          <w:szCs w:val="21"/>
        </w:rPr>
        <w:t xml:space="preserve">Upload screen: modality file pickers (or single archive upload), validation feedback, and a "Run Inference" action.</w:t>
      </w:r>
    </w:p>
    <w:p>
      <w:pPr>
        <w:pStyle w:val="ListParagraph"/>
        <w:numPr>
          <w:ilvl w:val="0"/>
          <w:numId w:val="2"/>
        </w:numPr>
        <w:spacing w:after="90"/>
      </w:pPr>
      <w:r>
        <w:rPr>
          <w:rFonts w:ascii="Calibri" w:cs="Calibri" w:eastAsia="Calibri" w:hAnsi="Calibri"/>
          <w:color w:val="262626"/>
          <w:sz w:val="21"/>
          <w:szCs w:val="21"/>
        </w:rPr>
        <w:t xml:space="preserve">Viewer screen: multi-planar slice viewer, overlay opacity/label toggles, per-region volume panel, model-version badge, and a persistent non-clinical-use banner.</w:t>
      </w:r>
    </w:p>
    <w:p>
      <w:pPr>
        <w:pStyle w:val="ListParagraph"/>
        <w:numPr>
          <w:ilvl w:val="0"/>
          <w:numId w:val="2"/>
        </w:numPr>
        <w:spacing w:after="90"/>
      </w:pPr>
      <w:r>
        <w:rPr>
          <w:rFonts w:ascii="Calibri" w:cs="Calibri" w:eastAsia="Calibri" w:hAnsi="Calibri"/>
          <w:color w:val="262626"/>
          <w:sz w:val="21"/>
          <w:szCs w:val="21"/>
        </w:rPr>
        <w:t xml:space="preserve">History screen: list of previously processed cases with status, timestamp, and quick re-open.</w:t>
      </w:r>
    </w:p>
    <w:p>
      <w:pPr>
        <w:pStyle w:val="ListParagraph"/>
        <w:numPr>
          <w:ilvl w:val="0"/>
          <w:numId w:val="2"/>
        </w:numPr>
        <w:spacing w:after="90"/>
      </w:pPr>
      <w:r>
        <w:rPr>
          <w:rFonts w:ascii="Calibri" w:cs="Calibri" w:eastAsia="Calibri" w:hAnsi="Calibri"/>
          <w:color w:val="262626"/>
          <w:sz w:val="21"/>
          <w:szCs w:val="21"/>
        </w:rPr>
        <w:t xml:space="preserve">Admin screen (restricted): model registry list, promote/rollback controls, and system health widgets.</w:t>
      </w:r>
    </w:p>
    <w:p>
      <w:pPr>
        <w:pStyle w:val="Heading2"/>
        <w:spacing w:after="160" w:before="320"/>
      </w:pPr>
      <w:r>
        <w:rPr>
          <w:rFonts w:ascii="Calibri" w:cs="Calibri" w:eastAsia="Calibri" w:hAnsi="Calibri"/>
          <w:b/>
          <w:bCs/>
          <w:color w:val="2E5395"/>
          <w:sz w:val="24"/>
          <w:szCs w:val="24"/>
        </w:rPr>
        <w:t xml:space="preserve">6.2 Hardware Interfaces</w:t>
      </w:r>
    </w:p>
    <w:p>
      <w:pPr>
        <w:pStyle w:val="ListParagraph"/>
        <w:numPr>
          <w:ilvl w:val="0"/>
          <w:numId w:val="2"/>
        </w:numPr>
        <w:spacing w:after="90"/>
      </w:pPr>
      <w:r>
        <w:rPr>
          <w:rFonts w:ascii="Calibri" w:cs="Calibri" w:eastAsia="Calibri" w:hAnsi="Calibri"/>
          <w:color w:val="262626"/>
          <w:sz w:val="21"/>
          <w:szCs w:val="21"/>
        </w:rPr>
        <w:t xml:space="preserve">NVIDIA GPU (CUDA 12.x compatible) for training and accelerated inference; system shall detect absence of a GPU and fall back to CPU inference automatically.</w:t>
      </w:r>
    </w:p>
    <w:p>
      <w:pPr>
        <w:pStyle w:val="ListParagraph"/>
        <w:numPr>
          <w:ilvl w:val="0"/>
          <w:numId w:val="2"/>
        </w:numPr>
        <w:spacing w:after="90"/>
      </w:pPr>
      <w:r>
        <w:rPr>
          <w:rFonts w:ascii="Calibri" w:cs="Calibri" w:eastAsia="Calibri" w:hAnsi="Calibri"/>
          <w:color w:val="262626"/>
          <w:sz w:val="21"/>
          <w:szCs w:val="21"/>
        </w:rPr>
        <w:t xml:space="preserve">No direct interface to imaging hardware (scanners) — the system consumes already-acquired NIfTI/DICOM files.</w:t>
      </w:r>
    </w:p>
    <w:p>
      <w:pPr>
        <w:pStyle w:val="Heading2"/>
        <w:spacing w:after="160" w:before="320"/>
      </w:pPr>
      <w:r>
        <w:rPr>
          <w:rFonts w:ascii="Calibri" w:cs="Calibri" w:eastAsia="Calibri" w:hAnsi="Calibri"/>
          <w:b/>
          <w:bCs/>
          <w:color w:val="2E5395"/>
          <w:sz w:val="24"/>
          <w:szCs w:val="24"/>
        </w:rPr>
        <w:t xml:space="preserve">6.3 Software Interfaces</w:t>
      </w:r>
    </w:p>
    <w:tbl>
      <w:tblPr>
        <w:tblW w:type="dxa" w:w="9300"/>
        <w:tblBorders>
          <w:top w:val="single" w:color="BFBFBF" w:sz="4"/>
          <w:left w:val="single" w:color="BFBFBF" w:sz="4"/>
          <w:bottom w:val="single" w:color="BFBFBF" w:sz="4"/>
          <w:right w:val="single" w:color="BFBFBF" w:sz="4"/>
          <w:insideH w:val="single" w:color="D9D9D9" w:sz="4"/>
          <w:insideV w:val="single" w:color="D9D9D9" w:sz="4"/>
        </w:tblBorders>
      </w:tblPr>
      <w:tblGrid>
        <w:gridCol w:w="3000"/>
        <w:gridCol w:w="6300"/>
      </w:tblGrid>
      <w:tr>
        <w:trPr>
          <w:cantSplit/>
          <w:tblHeader/>
        </w:trPr>
        <w:tc>
          <w:tcPr>
            <w:tcW w:type="dxa" w:w="30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Interface</w:t>
            </w:r>
          </w:p>
        </w:tc>
        <w:tc>
          <w:tcPr>
            <w:tcW w:type="dxa" w:w="63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Purpose</w:t>
            </w:r>
          </w:p>
        </w:tc>
      </w:tr>
      <w:tr>
        <w:trPr>
          <w:cantSplit/>
        </w:trPr>
        <w:tc>
          <w:tcPr>
            <w:tcW w:type="dxa" w:w="30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PyTorch / MONAI</w:t>
            </w:r>
          </w:p>
        </w:tc>
        <w:tc>
          <w:tcPr>
            <w:tcW w:type="dxa" w:w="6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Model definition, training loop, and medical-imaging-specific transforms.</w:t>
            </w:r>
          </w:p>
        </w:tc>
      </w:tr>
      <w:tr>
        <w:trPr>
          <w:cantSplit/>
        </w:trPr>
        <w:tc>
          <w:tcPr>
            <w:tcW w:type="dxa" w:w="30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nibabel / SimpleITK</w:t>
            </w:r>
          </w:p>
        </w:tc>
        <w:tc>
          <w:tcPr>
            <w:tcW w:type="dxa" w:w="6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NIfTI I/O, resampling, orientation handling.</w:t>
            </w:r>
          </w:p>
        </w:tc>
      </w:tr>
      <w:tr>
        <w:trPr>
          <w:cantSplit/>
        </w:trPr>
        <w:tc>
          <w:tcPr>
            <w:tcW w:type="dxa" w:w="30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dcm2niix (optional)</w:t>
            </w:r>
          </w:p>
        </w:tc>
        <w:tc>
          <w:tcPr>
            <w:tcW w:type="dxa" w:w="6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DICOM-to-NIfTI conversion for the DICOM-import stub.</w:t>
            </w:r>
          </w:p>
        </w:tc>
      </w:tr>
      <w:tr>
        <w:trPr>
          <w:cantSplit/>
        </w:trPr>
        <w:tc>
          <w:tcPr>
            <w:tcW w:type="dxa" w:w="30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FastAPI</w:t>
            </w:r>
          </w:p>
        </w:tc>
        <w:tc>
          <w:tcPr>
            <w:tcW w:type="dxa" w:w="6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REST API framework for the serving layer.</w:t>
            </w:r>
          </w:p>
        </w:tc>
      </w:tr>
      <w:tr>
        <w:trPr>
          <w:cantSplit/>
        </w:trPr>
        <w:tc>
          <w:tcPr>
            <w:tcW w:type="dxa" w:w="30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ONNX Runtime / TorchScript</w:t>
            </w:r>
          </w:p>
        </w:tc>
        <w:tc>
          <w:tcPr>
            <w:tcW w:type="dxa" w:w="6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Optimized model export and inference runtime.</w:t>
            </w:r>
          </w:p>
        </w:tc>
      </w:tr>
      <w:tr>
        <w:trPr>
          <w:cantSplit/>
        </w:trPr>
        <w:tc>
          <w:tcPr>
            <w:tcW w:type="dxa" w:w="30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PostgreSQL</w:t>
            </w:r>
          </w:p>
        </w:tc>
        <w:tc>
          <w:tcPr>
            <w:tcW w:type="dxa" w:w="6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Metadata store: cases, users, model registry index, audit log.</w:t>
            </w:r>
          </w:p>
        </w:tc>
      </w:tr>
      <w:tr>
        <w:trPr>
          <w:cantSplit/>
        </w:trPr>
        <w:tc>
          <w:tcPr>
            <w:tcW w:type="dxa" w:w="30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S3-compatible object storage (MinIO)</w:t>
            </w:r>
          </w:p>
        </w:tc>
        <w:tc>
          <w:tcPr>
            <w:tcW w:type="dxa" w:w="6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Storage of raw/processed volumes, masks, and reports.</w:t>
            </w:r>
          </w:p>
        </w:tc>
      </w:tr>
      <w:tr>
        <w:trPr>
          <w:cantSplit/>
        </w:trPr>
        <w:tc>
          <w:tcPr>
            <w:tcW w:type="dxa" w:w="30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MLflow or Weights &amp; Biases</w:t>
            </w:r>
          </w:p>
        </w:tc>
        <w:tc>
          <w:tcPr>
            <w:tcW w:type="dxa" w:w="6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Experiment tracking and model registry.</w:t>
            </w:r>
          </w:p>
        </w:tc>
      </w:tr>
      <w:tr>
        <w:trPr>
          <w:cantSplit/>
        </w:trPr>
        <w:tc>
          <w:tcPr>
            <w:tcW w:type="dxa" w:w="30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Prometheus + Grafana</w:t>
            </w:r>
          </w:p>
        </w:tc>
        <w:tc>
          <w:tcPr>
            <w:tcW w:type="dxa" w:w="6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Metrics collection and monitoring dashboards.</w:t>
            </w:r>
          </w:p>
        </w:tc>
      </w:tr>
      <w:tr>
        <w:trPr>
          <w:cantSplit/>
        </w:trPr>
        <w:tc>
          <w:tcPr>
            <w:tcW w:type="dxa" w:w="30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Docker / Docker Compose</w:t>
            </w:r>
          </w:p>
        </w:tc>
        <w:tc>
          <w:tcPr>
            <w:tcW w:type="dxa" w:w="6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Containerization and local/production orchestration.</w:t>
            </w:r>
          </w:p>
        </w:tc>
      </w:tr>
      <w:tr>
        <w:trPr>
          <w:cantSplit/>
        </w:trPr>
        <w:tc>
          <w:tcPr>
            <w:tcW w:type="dxa" w:w="30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GitHub Actions</w:t>
            </w:r>
          </w:p>
        </w:tc>
        <w:tc>
          <w:tcPr>
            <w:tcW w:type="dxa" w:w="6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CI: linting, unit tests, image build; CD: push to registry, optional auto-deploy.</w:t>
            </w:r>
          </w:p>
        </w:tc>
      </w:tr>
    </w:tbl>
    <w:p>
      <w:pPr>
        <w:pStyle w:val="Heading2"/>
        <w:spacing w:after="160" w:before="320"/>
      </w:pPr>
      <w:r>
        <w:rPr>
          <w:rFonts w:ascii="Calibri" w:cs="Calibri" w:eastAsia="Calibri" w:hAnsi="Calibri"/>
          <w:b/>
          <w:bCs/>
          <w:color w:val="2E5395"/>
          <w:sz w:val="24"/>
          <w:szCs w:val="24"/>
        </w:rPr>
        <w:t xml:space="preserve">6.4 Communication Interfaces</w:t>
      </w:r>
    </w:p>
    <w:p>
      <w:pPr>
        <w:pStyle w:val="ListParagraph"/>
        <w:numPr>
          <w:ilvl w:val="0"/>
          <w:numId w:val="2"/>
        </w:numPr>
        <w:spacing w:after="90"/>
      </w:pPr>
      <w:r>
        <w:rPr>
          <w:rFonts w:ascii="Calibri" w:cs="Calibri" w:eastAsia="Calibri" w:hAnsi="Calibri"/>
          <w:color w:val="262626"/>
          <w:sz w:val="21"/>
          <w:szCs w:val="21"/>
        </w:rPr>
        <w:t xml:space="preserve">HTTPS/REST (JSON payloads) between frontend, backend, and any external API consumers.</w:t>
      </w:r>
    </w:p>
    <w:p>
      <w:pPr>
        <w:pStyle w:val="ListParagraph"/>
        <w:numPr>
          <w:ilvl w:val="0"/>
          <w:numId w:val="2"/>
        </w:numPr>
        <w:spacing w:after="90"/>
      </w:pPr>
      <w:r>
        <w:rPr>
          <w:rFonts w:ascii="Calibri" w:cs="Calibri" w:eastAsia="Calibri" w:hAnsi="Calibri"/>
          <w:color w:val="262626"/>
          <w:sz w:val="21"/>
          <w:szCs w:val="21"/>
        </w:rPr>
        <w:t xml:space="preserve">Internal service-to-storage communication over the S3 API (HTTPS).</w:t>
      </w:r>
    </w:p>
    <w:p>
      <w:pPr>
        <w:pStyle w:val="ListParagraph"/>
        <w:numPr>
          <w:ilvl w:val="0"/>
          <w:numId w:val="2"/>
        </w:numPr>
        <w:spacing w:after="90"/>
      </w:pPr>
      <w:r>
        <w:rPr>
          <w:rFonts w:ascii="Calibri" w:cs="Calibri" w:eastAsia="Calibri" w:hAnsi="Calibri"/>
          <w:color w:val="262626"/>
          <w:sz w:val="21"/>
          <w:szCs w:val="21"/>
        </w:rPr>
        <w:t xml:space="preserve">Optional webhook (HTTPS POST) for monitoring alerts.</w:t>
      </w:r>
    </w:p>
    <w:p>
      <w:r>
        <w:br w:type="page"/>
      </w:r>
    </w:p>
    <w:p>
      <w:pPr>
        <w:pStyle w:val="Heading1"/>
        <w:pBdr>
          <w:bottom w:val="single" w:color="4472C4" w:sz="6" w:space="4"/>
        </w:pBdr>
        <w:spacing w:after="240" w:before="480"/>
      </w:pPr>
      <w:r>
        <w:rPr>
          <w:rFonts w:ascii="Calibri" w:cs="Calibri" w:eastAsia="Calibri" w:hAnsi="Calibri"/>
          <w:b/>
          <w:bCs/>
          <w:color w:val="1F3864"/>
          <w:sz w:val="30"/>
          <w:szCs w:val="30"/>
        </w:rPr>
        <w:t xml:space="preserve">7  Data Requirements</w:t>
      </w:r>
    </w:p>
    <w:p>
      <w:pPr>
        <w:pStyle w:val="Heading2"/>
        <w:spacing w:after="160" w:before="320"/>
      </w:pPr>
      <w:r>
        <w:rPr>
          <w:rFonts w:ascii="Calibri" w:cs="Calibri" w:eastAsia="Calibri" w:hAnsi="Calibri"/>
          <w:b/>
          <w:bCs/>
          <w:color w:val="2E5395"/>
          <w:sz w:val="24"/>
          <w:szCs w:val="24"/>
        </w:rPr>
        <w:t xml:space="preserve">7.1 Dataset: BraTS</w:t>
      </w:r>
    </w:p>
    <w:p>
      <w:pPr>
        <w:spacing w:after="160" w:line="276"/>
        <w:jc w:val="both"/>
      </w:pPr>
      <w:r>
        <w:rPr>
          <w:rFonts w:ascii="Calibri" w:cs="Calibri" w:eastAsia="Calibri" w:hAnsi="Calibri"/>
          <w:color w:val="262626"/>
          <w:sz w:val="21"/>
          <w:szCs w:val="21"/>
        </w:rPr>
        <w:t xml:space="preserve">The system is designed around the BraTS benchmark dataset (2020/2021 or later), which provides pre-operative multi-institutional multi-modal MRI scans with expert-annotated tumor sub-region labels.</w:t>
      </w:r>
    </w:p>
    <w:tbl>
      <w:tblPr>
        <w:tblW w:type="dxa" w:w="9300"/>
        <w:tblBorders>
          <w:top w:val="single" w:color="BFBFBF" w:sz="4"/>
          <w:left w:val="single" w:color="BFBFBF" w:sz="4"/>
          <w:bottom w:val="single" w:color="BFBFBF" w:sz="4"/>
          <w:right w:val="single" w:color="BFBFBF" w:sz="4"/>
          <w:insideH w:val="single" w:color="D9D9D9" w:sz="4"/>
          <w:insideV w:val="single" w:color="D9D9D9" w:sz="4"/>
        </w:tblBorders>
      </w:tblPr>
      <w:tblGrid>
        <w:gridCol w:w="1800"/>
        <w:gridCol w:w="4900"/>
        <w:gridCol w:w="2600"/>
      </w:tblGrid>
      <w:tr>
        <w:trPr>
          <w:cantSplit/>
          <w:tblHeader/>
        </w:trPr>
        <w:tc>
          <w:tcPr>
            <w:tcW w:type="dxa" w:w="18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Modality</w:t>
            </w:r>
          </w:p>
        </w:tc>
        <w:tc>
          <w:tcPr>
            <w:tcW w:type="dxa" w:w="49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Description</w:t>
            </w:r>
          </w:p>
        </w:tc>
        <w:tc>
          <w:tcPr>
            <w:tcW w:type="dxa" w:w="26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Role</w:t>
            </w:r>
          </w:p>
        </w:tc>
      </w:tr>
      <w:tr>
        <w:trPr>
          <w:cantSplit/>
        </w:trPr>
        <w:tc>
          <w:tcPr>
            <w:tcW w:type="dxa" w:w="18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T1</w:t>
            </w:r>
          </w:p>
        </w:tc>
        <w:tc>
          <w:tcPr>
            <w:tcW w:type="dxa" w:w="4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Native T1-weighted MRI.</w:t>
            </w:r>
          </w:p>
        </w:tc>
        <w:tc>
          <w:tcPr>
            <w:tcW w:type="dxa" w:w="26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Anatomical reference</w:t>
            </w:r>
          </w:p>
        </w:tc>
      </w:tr>
      <w:tr>
        <w:trPr>
          <w:cantSplit/>
        </w:trPr>
        <w:tc>
          <w:tcPr>
            <w:tcW w:type="dxa" w:w="18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T1ce</w:t>
            </w:r>
          </w:p>
        </w:tc>
        <w:tc>
          <w:tcPr>
            <w:tcW w:type="dxa" w:w="4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Post-contrast (gadolinium) T1-weighted MRI.</w:t>
            </w:r>
          </w:p>
        </w:tc>
        <w:tc>
          <w:tcPr>
            <w:tcW w:type="dxa" w:w="26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Highlights enhancing tumor</w:t>
            </w:r>
          </w:p>
        </w:tc>
      </w:tr>
      <w:tr>
        <w:trPr>
          <w:cantSplit/>
        </w:trPr>
        <w:tc>
          <w:tcPr>
            <w:tcW w:type="dxa" w:w="18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T2</w:t>
            </w:r>
          </w:p>
        </w:tc>
        <w:tc>
          <w:tcPr>
            <w:tcW w:type="dxa" w:w="4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T2-weighted MRI.</w:t>
            </w:r>
          </w:p>
        </w:tc>
        <w:tc>
          <w:tcPr>
            <w:tcW w:type="dxa" w:w="26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Highlights edema/tumor extent</w:t>
            </w:r>
          </w:p>
        </w:tc>
      </w:tr>
      <w:tr>
        <w:trPr>
          <w:cantSplit/>
        </w:trPr>
        <w:tc>
          <w:tcPr>
            <w:tcW w:type="dxa" w:w="18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FLAIR</w:t>
            </w:r>
          </w:p>
        </w:tc>
        <w:tc>
          <w:tcPr>
            <w:tcW w:type="dxa" w:w="4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Fluid-attenuated inversion recovery.</w:t>
            </w:r>
          </w:p>
        </w:tc>
        <w:tc>
          <w:tcPr>
            <w:tcW w:type="dxa" w:w="26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Highlights peritumoral edema</w:t>
            </w:r>
          </w:p>
        </w:tc>
      </w:tr>
      <w:tr>
        <w:trPr>
          <w:cantSplit/>
        </w:trPr>
        <w:tc>
          <w:tcPr>
            <w:tcW w:type="dxa" w:w="18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Segmentation label</w:t>
            </w:r>
          </w:p>
        </w:tc>
        <w:tc>
          <w:tcPr>
            <w:tcW w:type="dxa" w:w="4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Voxel-wise expert annotation: 0 = background, 1 = NCR/NET, 2 = edema, 4 = enhancing tumor.</w:t>
            </w:r>
          </w:p>
        </w:tc>
        <w:tc>
          <w:tcPr>
            <w:tcW w:type="dxa" w:w="26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Training/evaluation ground truth</w:t>
            </w:r>
          </w:p>
        </w:tc>
      </w:tr>
    </w:tbl>
    <w:p>
      <w:pPr>
        <w:pStyle w:val="Heading3"/>
        <w:spacing w:after="120" w:before="220"/>
      </w:pPr>
      <w:r>
        <w:rPr>
          <w:rFonts w:ascii="Calibri" w:cs="Calibri" w:eastAsia="Calibri" w:hAnsi="Calibri"/>
          <w:b/>
          <w:bCs/>
          <w:color w:val="4472C4"/>
          <w:sz w:val="21"/>
          <w:szCs w:val="21"/>
        </w:rPr>
        <w:t xml:space="preserve">Derived evaluation regions</w:t>
      </w:r>
    </w:p>
    <w:p>
      <w:pPr>
        <w:pStyle w:val="ListParagraph"/>
        <w:numPr>
          <w:ilvl w:val="0"/>
          <w:numId w:val="2"/>
        </w:numPr>
        <w:spacing w:after="90"/>
      </w:pPr>
      <w:r>
        <w:rPr>
          <w:rFonts w:ascii="Calibri" w:cs="Calibri" w:eastAsia="Calibri" w:hAnsi="Calibri"/>
          <w:color w:val="262626"/>
          <w:sz w:val="21"/>
          <w:szCs w:val="21"/>
        </w:rPr>
        <w:t xml:space="preserve">Whole Tumor (WT) = labels {1, 2, 4}</w:t>
      </w:r>
    </w:p>
    <w:p>
      <w:pPr>
        <w:pStyle w:val="ListParagraph"/>
        <w:numPr>
          <w:ilvl w:val="0"/>
          <w:numId w:val="2"/>
        </w:numPr>
        <w:spacing w:after="90"/>
      </w:pPr>
      <w:r>
        <w:rPr>
          <w:rFonts w:ascii="Calibri" w:cs="Calibri" w:eastAsia="Calibri" w:hAnsi="Calibri"/>
          <w:color w:val="262626"/>
          <w:sz w:val="21"/>
          <w:szCs w:val="21"/>
        </w:rPr>
        <w:t xml:space="preserve">Tumor Core (TC) = labels {1, 4}</w:t>
      </w:r>
    </w:p>
    <w:p>
      <w:pPr>
        <w:pStyle w:val="ListParagraph"/>
        <w:numPr>
          <w:ilvl w:val="0"/>
          <w:numId w:val="2"/>
        </w:numPr>
        <w:spacing w:after="90"/>
      </w:pPr>
      <w:r>
        <w:rPr>
          <w:rFonts w:ascii="Calibri" w:cs="Calibri" w:eastAsia="Calibri" w:hAnsi="Calibri"/>
          <w:color w:val="262626"/>
          <w:sz w:val="21"/>
          <w:szCs w:val="21"/>
        </w:rPr>
        <w:t xml:space="preserve">Enhancing Tumor (ET) = label {4}</w:t>
      </w:r>
    </w:p>
    <w:p>
      <w:pPr>
        <w:pStyle w:val="Heading2"/>
        <w:spacing w:after="160" w:before="320"/>
      </w:pPr>
      <w:r>
        <w:rPr>
          <w:rFonts w:ascii="Calibri" w:cs="Calibri" w:eastAsia="Calibri" w:hAnsi="Calibri"/>
          <w:b/>
          <w:bCs/>
          <w:color w:val="2E5395"/>
          <w:sz w:val="24"/>
          <w:szCs w:val="24"/>
        </w:rPr>
        <w:t xml:space="preserve">7.2 Data Volume &amp; Storage</w:t>
      </w:r>
    </w:p>
    <w:tbl>
      <w:tblPr>
        <w:tblW w:type="dxa" w:w="9300"/>
        <w:tblBorders>
          <w:top w:val="single" w:color="BFBFBF" w:sz="4"/>
          <w:left w:val="single" w:color="BFBFBF" w:sz="4"/>
          <w:bottom w:val="single" w:color="BFBFBF" w:sz="4"/>
          <w:right w:val="single" w:color="BFBFBF" w:sz="4"/>
          <w:insideH w:val="single" w:color="D9D9D9" w:sz="4"/>
          <w:insideV w:val="single" w:color="D9D9D9" w:sz="4"/>
        </w:tblBorders>
      </w:tblPr>
      <w:tblGrid>
        <w:gridCol w:w="5800"/>
        <w:gridCol w:w="3500"/>
      </w:tblGrid>
      <w:tr>
        <w:trPr>
          <w:cantSplit/>
          <w:tblHeader/>
        </w:trPr>
        <w:tc>
          <w:tcPr>
            <w:tcW w:type="dxa" w:w="58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Item</w:t>
            </w:r>
          </w:p>
        </w:tc>
        <w:tc>
          <w:tcPr>
            <w:tcW w:type="dxa" w:w="35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Approximate Size</w:t>
            </w:r>
          </w:p>
        </w:tc>
      </w:tr>
      <w:tr>
        <w:trPr>
          <w:cantSplit/>
        </w:trPr>
        <w:tc>
          <w:tcPr>
            <w:tcW w:type="dxa" w:w="58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Single case (4 modalities + label, NIfTI, uncompressed)</w:t>
            </w:r>
          </w:p>
        </w:tc>
        <w:tc>
          <w:tcPr>
            <w:tcW w:type="dxa" w:w="35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~150–180 MB</w:t>
            </w:r>
          </w:p>
        </w:tc>
      </w:tr>
      <w:tr>
        <w:trPr>
          <w:cantSplit/>
        </w:trPr>
        <w:tc>
          <w:tcPr>
            <w:tcW w:type="dxa" w:w="58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Full BraTS training cohort (~1,250 cases, 2021 release)</w:t>
            </w:r>
          </w:p>
        </w:tc>
        <w:tc>
          <w:tcPr>
            <w:tcW w:type="dxa" w:w="35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~180–220 GB</w:t>
            </w:r>
          </w:p>
        </w:tc>
      </w:tr>
      <w:tr>
        <w:trPr>
          <w:cantSplit/>
        </w:trPr>
        <w:tc>
          <w:tcPr>
            <w:tcW w:type="dxa" w:w="58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Preprocessed/cached tensors (per case, resampled)</w:t>
            </w:r>
          </w:p>
        </w:tc>
        <w:tc>
          <w:tcPr>
            <w:tcW w:type="dxa" w:w="35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~120–150 MB</w:t>
            </w:r>
          </w:p>
        </w:tc>
      </w:tr>
      <w:tr>
        <w:trPr>
          <w:cantSplit/>
        </w:trPr>
        <w:tc>
          <w:tcPr>
            <w:tcW w:type="dxa" w:w="58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Per-run model checkpoints (3D U-Net, fp32)</w:t>
            </w:r>
          </w:p>
        </w:tc>
        <w:tc>
          <w:tcPr>
            <w:tcW w:type="dxa" w:w="35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~150–400 MB</w:t>
            </w:r>
          </w:p>
        </w:tc>
      </w:tr>
    </w:tbl>
    <w:p>
      <w:pPr>
        <w:pStyle w:val="Heading2"/>
        <w:spacing w:after="160" w:before="320"/>
      </w:pPr>
      <w:r>
        <w:rPr>
          <w:rFonts w:ascii="Calibri" w:cs="Calibri" w:eastAsia="Calibri" w:hAnsi="Calibri"/>
          <w:b/>
          <w:bCs/>
          <w:color w:val="2E5395"/>
          <w:sz w:val="24"/>
          <w:szCs w:val="24"/>
        </w:rPr>
        <w:t xml:space="preserve">7.3 Data Governance</w:t>
      </w:r>
    </w:p>
    <w:p>
      <w:pPr>
        <w:pStyle w:val="ListParagraph"/>
        <w:numPr>
          <w:ilvl w:val="0"/>
          <w:numId w:val="2"/>
        </w:numPr>
        <w:spacing w:after="90"/>
      </w:pPr>
      <w:r>
        <w:rPr>
          <w:rFonts w:ascii="Calibri" w:cs="Calibri" w:eastAsia="Calibri" w:hAnsi="Calibri"/>
          <w:color w:val="262626"/>
          <w:sz w:val="21"/>
          <w:szCs w:val="21"/>
        </w:rPr>
        <w:t xml:space="preserve">Raw BraTS data is used strictly under its research-use license; it is not redistributed as part of the project repository or Docker images.</w:t>
      </w:r>
    </w:p>
    <w:p>
      <w:pPr>
        <w:pStyle w:val="ListParagraph"/>
        <w:numPr>
          <w:ilvl w:val="0"/>
          <w:numId w:val="2"/>
        </w:numPr>
        <w:spacing w:after="90"/>
      </w:pPr>
      <w:r>
        <w:rPr>
          <w:rFonts w:ascii="Calibri" w:cs="Calibri" w:eastAsia="Calibri" w:hAnsi="Calibri"/>
          <w:color w:val="262626"/>
          <w:sz w:val="21"/>
          <w:szCs w:val="21"/>
        </w:rPr>
        <w:t xml:space="preserve">Dataset splits (train/val/test) are versioned as a manifest file (case IDs + fold assignment), never as a duplicated copy of the data.</w:t>
      </w:r>
    </w:p>
    <w:p>
      <w:pPr>
        <w:pStyle w:val="ListParagraph"/>
        <w:numPr>
          <w:ilvl w:val="0"/>
          <w:numId w:val="2"/>
        </w:numPr>
        <w:spacing w:after="90"/>
      </w:pPr>
      <w:r>
        <w:rPr>
          <w:rFonts w:ascii="Calibri" w:cs="Calibri" w:eastAsia="Calibri" w:hAnsi="Calibri"/>
          <w:color w:val="262626"/>
          <w:sz w:val="21"/>
          <w:szCs w:val="21"/>
        </w:rPr>
        <w:t xml:space="preserve">Data and model artifacts are versioned with DVC or the experiment tracker's model registry, so any reported metric is reproducible against a specific data+model version pair.</w:t>
      </w:r>
    </w:p>
    <w:p>
      <w:pPr>
        <w:pStyle w:val="ListParagraph"/>
        <w:numPr>
          <w:ilvl w:val="0"/>
          <w:numId w:val="2"/>
        </w:numPr>
        <w:spacing w:after="90"/>
      </w:pPr>
      <w:r>
        <w:rPr>
          <w:rFonts w:ascii="Calibri" w:cs="Calibri" w:eastAsia="Calibri" w:hAnsi="Calibri"/>
          <w:color w:val="262626"/>
          <w:sz w:val="21"/>
          <w:szCs w:val="21"/>
        </w:rPr>
        <w:t xml:space="preserve">User-uploaded scans (outside the benchmark dataset) are stored encrypted at rest and deletable on request; no PHI is required or retained beyond the processing session unless the user explicitly opts into persistent history.</w:t>
      </w:r>
    </w:p>
    <w:p>
      <w:r>
        <w:br w:type="page"/>
      </w:r>
    </w:p>
    <w:p>
      <w:pPr>
        <w:pStyle w:val="Heading1"/>
        <w:pBdr>
          <w:bottom w:val="single" w:color="4472C4" w:sz="6" w:space="4"/>
        </w:pBdr>
        <w:spacing w:after="240" w:before="480"/>
      </w:pPr>
      <w:r>
        <w:rPr>
          <w:rFonts w:ascii="Calibri" w:cs="Calibri" w:eastAsia="Calibri" w:hAnsi="Calibri"/>
          <w:b/>
          <w:bCs/>
          <w:color w:val="1F3864"/>
          <w:sz w:val="30"/>
          <w:szCs w:val="30"/>
        </w:rPr>
        <w:t xml:space="preserve">8  Use Case Specifications</w:t>
      </w:r>
    </w:p>
    <w:p>
      <w:pPr>
        <w:pStyle w:val="Heading2"/>
        <w:spacing w:after="160" w:before="320"/>
      </w:pPr>
      <w:r>
        <w:rPr>
          <w:rFonts w:ascii="Calibri" w:cs="Calibri" w:eastAsia="Calibri" w:hAnsi="Calibri"/>
          <w:b/>
          <w:bCs/>
          <w:color w:val="2E5395"/>
          <w:sz w:val="24"/>
          <w:szCs w:val="24"/>
        </w:rPr>
        <w:t xml:space="preserve">UC-01: Upload and Validate a Case</w:t>
      </w:r>
    </w:p>
    <w:tbl>
      <w:tblPr>
        <w:tblW w:type="dxa" w:w="9300"/>
        <w:tblBorders>
          <w:top w:val="single" w:color="BFBFBF" w:sz="4"/>
          <w:left w:val="single" w:color="BFBFBF" w:sz="4"/>
          <w:bottom w:val="single" w:color="BFBFBF" w:sz="4"/>
          <w:right w:val="single" w:color="BFBFBF" w:sz="4"/>
          <w:insideH w:val="single" w:color="D9D9D9" w:sz="4"/>
          <w:insideV w:val="single" w:color="D9D9D9" w:sz="4"/>
        </w:tblBorders>
      </w:tblPr>
      <w:tblGrid>
        <w:gridCol w:w="2200"/>
        <w:gridCol w:w="7100"/>
      </w:tblGrid>
      <w:tr>
        <w:trPr>
          <w:cantSplit/>
          <w:tblHeader/>
        </w:trPr>
        <w:tc>
          <w:tcPr>
            <w:tcW w:type="dxa" w:w="22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Field</w:t>
            </w:r>
          </w:p>
        </w:tc>
        <w:tc>
          <w:tcPr>
            <w:tcW w:type="dxa" w:w="71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Detail</w:t>
            </w:r>
          </w:p>
        </w:tc>
      </w:tr>
      <w:tr>
        <w:trPr>
          <w:cantSplit/>
        </w:trPr>
        <w:tc>
          <w:tcPr>
            <w:tcW w:type="dxa" w:w="22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Actor</w:t>
            </w:r>
          </w:p>
        </w:tc>
        <w:tc>
          <w:tcPr>
            <w:tcW w:type="dxa" w:w="7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Researcher / API Consumer</w:t>
            </w:r>
          </w:p>
        </w:tc>
      </w:tr>
      <w:tr>
        <w:trPr>
          <w:cantSplit/>
        </w:trPr>
        <w:tc>
          <w:tcPr>
            <w:tcW w:type="dxa" w:w="22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Precondition</w:t>
            </w:r>
          </w:p>
        </w:tc>
        <w:tc>
          <w:tcPr>
            <w:tcW w:type="dxa" w:w="71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User has four co-registered MRI modality files (or a DICOM series).</w:t>
            </w:r>
          </w:p>
        </w:tc>
      </w:tr>
      <w:tr>
        <w:trPr>
          <w:cantSplit/>
        </w:trPr>
        <w:tc>
          <w:tcPr>
            <w:tcW w:type="dxa" w:w="22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Main Flow</w:t>
            </w:r>
          </w:p>
        </w:tc>
        <w:tc>
          <w:tcPr>
            <w:tcW w:type="dxa" w:w="7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1) User uploads files.  2) System validates modality completeness and geometry.  3) System assigns case ID and stores raw data.  4) System confirms success and returns case ID.</w:t>
            </w:r>
          </w:p>
        </w:tc>
      </w:tr>
      <w:tr>
        <w:trPr>
          <w:cantSplit/>
        </w:trPr>
        <w:tc>
          <w:tcPr>
            <w:tcW w:type="dxa" w:w="22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Alternate Flow</w:t>
            </w:r>
          </w:p>
        </w:tc>
        <w:tc>
          <w:tcPr>
            <w:tcW w:type="dxa" w:w="71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If validation fails, system returns a specific error (missing modality / geometry mismatch / corrupt file) without creating a case.</w:t>
            </w:r>
          </w:p>
        </w:tc>
      </w:tr>
      <w:tr>
        <w:trPr>
          <w:cantSplit/>
        </w:trPr>
        <w:tc>
          <w:tcPr>
            <w:tcW w:type="dxa" w:w="22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Postcondition</w:t>
            </w:r>
          </w:p>
        </w:tc>
        <w:tc>
          <w:tcPr>
            <w:tcW w:type="dxa" w:w="7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A validated, versioned raw case exists in storage, ready for preprocessing.</w:t>
            </w:r>
          </w:p>
        </w:tc>
      </w:tr>
    </w:tbl>
    <w:p>
      <w:pPr>
        <w:pStyle w:val="Heading2"/>
        <w:spacing w:after="160" w:before="320"/>
      </w:pPr>
      <w:r>
        <w:rPr>
          <w:rFonts w:ascii="Calibri" w:cs="Calibri" w:eastAsia="Calibri" w:hAnsi="Calibri"/>
          <w:b/>
          <w:bCs/>
          <w:color w:val="2E5395"/>
          <w:sz w:val="24"/>
          <w:szCs w:val="24"/>
        </w:rPr>
        <w:t xml:space="preserve">UC-02: Run Segmentation Inference</w:t>
      </w:r>
    </w:p>
    <w:tbl>
      <w:tblPr>
        <w:tblW w:type="dxa" w:w="9300"/>
        <w:tblBorders>
          <w:top w:val="single" w:color="BFBFBF" w:sz="4"/>
          <w:left w:val="single" w:color="BFBFBF" w:sz="4"/>
          <w:bottom w:val="single" w:color="BFBFBF" w:sz="4"/>
          <w:right w:val="single" w:color="BFBFBF" w:sz="4"/>
          <w:insideH w:val="single" w:color="D9D9D9" w:sz="4"/>
          <w:insideV w:val="single" w:color="D9D9D9" w:sz="4"/>
        </w:tblBorders>
      </w:tblPr>
      <w:tblGrid>
        <w:gridCol w:w="2200"/>
        <w:gridCol w:w="7100"/>
      </w:tblGrid>
      <w:tr>
        <w:trPr>
          <w:cantSplit/>
          <w:tblHeader/>
        </w:trPr>
        <w:tc>
          <w:tcPr>
            <w:tcW w:type="dxa" w:w="22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Field</w:t>
            </w:r>
          </w:p>
        </w:tc>
        <w:tc>
          <w:tcPr>
            <w:tcW w:type="dxa" w:w="71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Detail</w:t>
            </w:r>
          </w:p>
        </w:tc>
      </w:tr>
      <w:tr>
        <w:trPr>
          <w:cantSplit/>
        </w:trPr>
        <w:tc>
          <w:tcPr>
            <w:tcW w:type="dxa" w:w="22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Actor</w:t>
            </w:r>
          </w:p>
        </w:tc>
        <w:tc>
          <w:tcPr>
            <w:tcW w:type="dxa" w:w="7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Researcher / API Consumer</w:t>
            </w:r>
          </w:p>
        </w:tc>
      </w:tr>
      <w:tr>
        <w:trPr>
          <w:cantSplit/>
        </w:trPr>
        <w:tc>
          <w:tcPr>
            <w:tcW w:type="dxa" w:w="22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Precondition</w:t>
            </w:r>
          </w:p>
        </w:tc>
        <w:tc>
          <w:tcPr>
            <w:tcW w:type="dxa" w:w="71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A valid case exists (from UC-01); at least one model is promoted to "active".</w:t>
            </w:r>
          </w:p>
        </w:tc>
      </w:tr>
      <w:tr>
        <w:trPr>
          <w:cantSplit/>
        </w:trPr>
        <w:tc>
          <w:tcPr>
            <w:tcW w:type="dxa" w:w="22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Main Flow</w:t>
            </w:r>
          </w:p>
        </w:tc>
        <w:tc>
          <w:tcPr>
            <w:tcW w:type="dxa" w:w="7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1) User/API triggers inference.  2) System preprocesses the case.  3) System runs sliding-window inference with the active model.  4) System post-processes and stores the mask + summary.  5) Result is returned/displayed.</w:t>
            </w:r>
          </w:p>
        </w:tc>
      </w:tr>
      <w:tr>
        <w:trPr>
          <w:cantSplit/>
        </w:trPr>
        <w:tc>
          <w:tcPr>
            <w:tcW w:type="dxa" w:w="22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Alternate Flow</w:t>
            </w:r>
          </w:p>
        </w:tc>
        <w:tc>
          <w:tcPr>
            <w:tcW w:type="dxa" w:w="71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If preprocessing or inference fails, the case status is set to "failed" with a correlation ID for debugging; the caller is notified with a structured error.</w:t>
            </w:r>
          </w:p>
        </w:tc>
      </w:tr>
      <w:tr>
        <w:trPr>
          <w:cantSplit/>
        </w:trPr>
        <w:tc>
          <w:tcPr>
            <w:tcW w:type="dxa" w:w="22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Postcondition</w:t>
            </w:r>
          </w:p>
        </w:tc>
        <w:tc>
          <w:tcPr>
            <w:tcW w:type="dxa" w:w="7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A segmentation mask, per-region volumes, and a traceable model-version record exist for the case.</w:t>
            </w:r>
          </w:p>
        </w:tc>
      </w:tr>
    </w:tbl>
    <w:p>
      <w:pPr>
        <w:pStyle w:val="Heading2"/>
        <w:spacing w:after="160" w:before="320"/>
      </w:pPr>
      <w:r>
        <w:rPr>
          <w:rFonts w:ascii="Calibri" w:cs="Calibri" w:eastAsia="Calibri" w:hAnsi="Calibri"/>
          <w:b/>
          <w:bCs/>
          <w:color w:val="2E5395"/>
          <w:sz w:val="24"/>
          <w:szCs w:val="24"/>
        </w:rPr>
        <w:t xml:space="preserve">UC-03: Review Segmentation Results</w:t>
      </w:r>
    </w:p>
    <w:tbl>
      <w:tblPr>
        <w:tblW w:type="dxa" w:w="9300"/>
        <w:tblBorders>
          <w:top w:val="single" w:color="BFBFBF" w:sz="4"/>
          <w:left w:val="single" w:color="BFBFBF" w:sz="4"/>
          <w:bottom w:val="single" w:color="BFBFBF" w:sz="4"/>
          <w:right w:val="single" w:color="BFBFBF" w:sz="4"/>
          <w:insideH w:val="single" w:color="D9D9D9" w:sz="4"/>
          <w:insideV w:val="single" w:color="D9D9D9" w:sz="4"/>
        </w:tblBorders>
      </w:tblPr>
      <w:tblGrid>
        <w:gridCol w:w="2200"/>
        <w:gridCol w:w="7100"/>
      </w:tblGrid>
      <w:tr>
        <w:trPr>
          <w:cantSplit/>
          <w:tblHeader/>
        </w:trPr>
        <w:tc>
          <w:tcPr>
            <w:tcW w:type="dxa" w:w="22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Field</w:t>
            </w:r>
          </w:p>
        </w:tc>
        <w:tc>
          <w:tcPr>
            <w:tcW w:type="dxa" w:w="71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Detail</w:t>
            </w:r>
          </w:p>
        </w:tc>
      </w:tr>
      <w:tr>
        <w:trPr>
          <w:cantSplit/>
        </w:trPr>
        <w:tc>
          <w:tcPr>
            <w:tcW w:type="dxa" w:w="22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Actor</w:t>
            </w:r>
          </w:p>
        </w:tc>
        <w:tc>
          <w:tcPr>
            <w:tcW w:type="dxa" w:w="7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Researcher</w:t>
            </w:r>
          </w:p>
        </w:tc>
      </w:tr>
      <w:tr>
        <w:trPr>
          <w:cantSplit/>
        </w:trPr>
        <w:tc>
          <w:tcPr>
            <w:tcW w:type="dxa" w:w="22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Precondition</w:t>
            </w:r>
          </w:p>
        </w:tc>
        <w:tc>
          <w:tcPr>
            <w:tcW w:type="dxa" w:w="71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Inference has completed for a case (UC-02).</w:t>
            </w:r>
          </w:p>
        </w:tc>
      </w:tr>
      <w:tr>
        <w:trPr>
          <w:cantSplit/>
        </w:trPr>
        <w:tc>
          <w:tcPr>
            <w:tcW w:type="dxa" w:w="22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Main Flow</w:t>
            </w:r>
          </w:p>
        </w:tc>
        <w:tc>
          <w:tcPr>
            <w:tcW w:type="dxa" w:w="7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1) User opens the viewer.  2) System renders slices with overlay toggles.  3) User scrolls through planes and toggles labels.  4) User optionally exports a report.</w:t>
            </w:r>
          </w:p>
        </w:tc>
      </w:tr>
      <w:tr>
        <w:trPr>
          <w:cantSplit/>
        </w:trPr>
        <w:tc>
          <w:tcPr>
            <w:tcW w:type="dxa" w:w="22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Postcondition</w:t>
            </w:r>
          </w:p>
        </w:tc>
        <w:tc>
          <w:tcPr>
            <w:tcW w:type="dxa" w:w="71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User has reviewed the segmentation and optionally has a downloaded report.</w:t>
            </w:r>
          </w:p>
        </w:tc>
      </w:tr>
    </w:tbl>
    <w:p>
      <w:pPr>
        <w:pStyle w:val="Heading2"/>
        <w:spacing w:after="160" w:before="320"/>
      </w:pPr>
      <w:r>
        <w:rPr>
          <w:rFonts w:ascii="Calibri" w:cs="Calibri" w:eastAsia="Calibri" w:hAnsi="Calibri"/>
          <w:b/>
          <w:bCs/>
          <w:color w:val="2E5395"/>
          <w:sz w:val="24"/>
          <w:szCs w:val="24"/>
        </w:rPr>
        <w:t xml:space="preserve">UC-04: Train and Promote a New Model</w:t>
      </w:r>
    </w:p>
    <w:tbl>
      <w:tblPr>
        <w:tblW w:type="dxa" w:w="9300"/>
        <w:tblBorders>
          <w:top w:val="single" w:color="BFBFBF" w:sz="4"/>
          <w:left w:val="single" w:color="BFBFBF" w:sz="4"/>
          <w:bottom w:val="single" w:color="BFBFBF" w:sz="4"/>
          <w:right w:val="single" w:color="BFBFBF" w:sz="4"/>
          <w:insideH w:val="single" w:color="D9D9D9" w:sz="4"/>
          <w:insideV w:val="single" w:color="D9D9D9" w:sz="4"/>
        </w:tblBorders>
      </w:tblPr>
      <w:tblGrid>
        <w:gridCol w:w="2200"/>
        <w:gridCol w:w="7100"/>
      </w:tblGrid>
      <w:tr>
        <w:trPr>
          <w:cantSplit/>
          <w:tblHeader/>
        </w:trPr>
        <w:tc>
          <w:tcPr>
            <w:tcW w:type="dxa" w:w="22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Field</w:t>
            </w:r>
          </w:p>
        </w:tc>
        <w:tc>
          <w:tcPr>
            <w:tcW w:type="dxa" w:w="71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Detail</w:t>
            </w:r>
          </w:p>
        </w:tc>
      </w:tr>
      <w:tr>
        <w:trPr>
          <w:cantSplit/>
        </w:trPr>
        <w:tc>
          <w:tcPr>
            <w:tcW w:type="dxa" w:w="22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Actor</w:t>
            </w:r>
          </w:p>
        </w:tc>
        <w:tc>
          <w:tcPr>
            <w:tcW w:type="dxa" w:w="7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ML Engineer</w:t>
            </w:r>
          </w:p>
        </w:tc>
      </w:tr>
      <w:tr>
        <w:trPr>
          <w:cantSplit/>
        </w:trPr>
        <w:tc>
          <w:tcPr>
            <w:tcW w:type="dxa" w:w="22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Precondition</w:t>
            </w:r>
          </w:p>
        </w:tc>
        <w:tc>
          <w:tcPr>
            <w:tcW w:type="dxa" w:w="71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A versioned, preprocessed training dataset and fold manifest exist.</w:t>
            </w:r>
          </w:p>
        </w:tc>
      </w:tr>
      <w:tr>
        <w:trPr>
          <w:cantSplit/>
        </w:trPr>
        <w:tc>
          <w:tcPr>
            <w:tcW w:type="dxa" w:w="22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Main Flow</w:t>
            </w:r>
          </w:p>
        </w:tc>
        <w:tc>
          <w:tcPr>
            <w:tcW w:type="dxa" w:w="7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1) Engineer launches a training run with a config.  2) System trains, checkpoints, and logs metrics per fold.  3) Engineer reviews cross-validated Dice/HD95 against the quality gate (Section 5).  4) If the gate is met, engineer promotes the model version to "active" in the registry.</w:t>
            </w:r>
          </w:p>
        </w:tc>
      </w:tr>
      <w:tr>
        <w:trPr>
          <w:cantSplit/>
        </w:trPr>
        <w:tc>
          <w:tcPr>
            <w:tcW w:type="dxa" w:w="22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Alternate Flow</w:t>
            </w:r>
          </w:p>
        </w:tc>
        <w:tc>
          <w:tcPr>
            <w:tcW w:type="dxa" w:w="71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If the quality gate is not met, the model is retained in the registry as "archived" but not promoted.</w:t>
            </w:r>
          </w:p>
        </w:tc>
      </w:tr>
      <w:tr>
        <w:trPr>
          <w:cantSplit/>
        </w:trPr>
        <w:tc>
          <w:tcPr>
            <w:tcW w:type="dxa" w:w="22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Postcondition</w:t>
            </w:r>
          </w:p>
        </w:tc>
        <w:tc>
          <w:tcPr>
            <w:tcW w:type="dxa" w:w="71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A new model version is available, and — if promoted — becomes the default for future inference calls, with the promotion recorded in the audit log.</w:t>
            </w:r>
          </w:p>
        </w:tc>
      </w:tr>
    </w:tbl>
    <w:p>
      <w:r>
        <w:br w:type="page"/>
      </w:r>
    </w:p>
    <w:p>
      <w:pPr>
        <w:pStyle w:val="Heading1"/>
        <w:pBdr>
          <w:bottom w:val="single" w:color="4472C4" w:sz="6" w:space="4"/>
        </w:pBdr>
        <w:spacing w:after="240" w:before="480"/>
      </w:pPr>
      <w:r>
        <w:rPr>
          <w:rFonts w:ascii="Calibri" w:cs="Calibri" w:eastAsia="Calibri" w:hAnsi="Calibri"/>
          <w:b/>
          <w:bCs/>
          <w:color w:val="1F3864"/>
          <w:sz w:val="30"/>
          <w:szCs w:val="30"/>
        </w:rPr>
        <w:t xml:space="preserve">9  Model &amp; Evaluation Requirements</w:t>
      </w:r>
    </w:p>
    <w:p>
      <w:pPr>
        <w:pStyle w:val="Heading2"/>
        <w:spacing w:after="160" w:before="320"/>
      </w:pPr>
      <w:r>
        <w:rPr>
          <w:rFonts w:ascii="Calibri" w:cs="Calibri" w:eastAsia="Calibri" w:hAnsi="Calibri"/>
          <w:b/>
          <w:bCs/>
          <w:color w:val="2E5395"/>
          <w:sz w:val="24"/>
          <w:szCs w:val="24"/>
        </w:rPr>
        <w:t xml:space="preserve">9.1 Candidate Architectures</w:t>
      </w:r>
    </w:p>
    <w:tbl>
      <w:tblPr>
        <w:tblW w:type="dxa" w:w="9300"/>
        <w:tblBorders>
          <w:top w:val="single" w:color="BFBFBF" w:sz="4"/>
          <w:left w:val="single" w:color="BFBFBF" w:sz="4"/>
          <w:bottom w:val="single" w:color="BFBFBF" w:sz="4"/>
          <w:right w:val="single" w:color="BFBFBF" w:sz="4"/>
          <w:insideH w:val="single" w:color="D9D9D9" w:sz="4"/>
          <w:insideV w:val="single" w:color="D9D9D9" w:sz="4"/>
        </w:tblBorders>
      </w:tblPr>
      <w:tblGrid>
        <w:gridCol w:w="2600"/>
        <w:gridCol w:w="2200"/>
        <w:gridCol w:w="4500"/>
      </w:tblGrid>
      <w:tr>
        <w:trPr>
          <w:cantSplit/>
          <w:tblHeader/>
        </w:trPr>
        <w:tc>
          <w:tcPr>
            <w:tcW w:type="dxa" w:w="26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Model</w:t>
            </w:r>
          </w:p>
        </w:tc>
        <w:tc>
          <w:tcPr>
            <w:tcW w:type="dxa" w:w="22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Role</w:t>
            </w:r>
          </w:p>
        </w:tc>
        <w:tc>
          <w:tcPr>
            <w:tcW w:type="dxa" w:w="45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Rationale</w:t>
            </w:r>
          </w:p>
        </w:tc>
      </w:tr>
      <w:tr>
        <w:trPr>
          <w:cantSplit/>
        </w:trPr>
        <w:tc>
          <w:tcPr>
            <w:tcW w:type="dxa" w:w="26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3D U-Net (from scratch, via MONAI)</w:t>
            </w:r>
          </w:p>
        </w:tc>
        <w:tc>
          <w:tcPr>
            <w:tcW w:type="dxa" w:w="22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Baseline</w:t>
            </w:r>
          </w:p>
        </w:tc>
        <w:tc>
          <w:tcPr>
            <w:tcW w:type="dxa" w:w="45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Well-understood, demonstrates fundamentals; fast to iterate.</w:t>
            </w:r>
          </w:p>
        </w:tc>
      </w:tr>
      <w:tr>
        <w:trPr>
          <w:cantSplit/>
        </w:trPr>
        <w:tc>
          <w:tcPr>
            <w:tcW w:type="dxa" w:w="26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nnU-Net</w:t>
            </w:r>
          </w:p>
        </w:tc>
        <w:tc>
          <w:tcPr>
            <w:tcW w:type="dxa" w:w="22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Primary benchmark model</w:t>
            </w:r>
          </w:p>
        </w:tc>
        <w:tc>
          <w:tcPr>
            <w:tcW w:type="dxa" w:w="45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Self-configuring, state-of-the-art on BraTS-style tasks; strong credibility signal when used correctly, not just run out-of-the-box.</w:t>
            </w:r>
          </w:p>
        </w:tc>
      </w:tr>
      <w:tr>
        <w:trPr>
          <w:cantSplit/>
        </w:trPr>
        <w:tc>
          <w:tcPr>
            <w:tcW w:type="dxa" w:w="26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Swin-UNETR (optional)</w:t>
            </w:r>
          </w:p>
        </w:tc>
        <w:tc>
          <w:tcPr>
            <w:tcW w:type="dxa" w:w="22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Stretch / novelty model</w:t>
            </w:r>
          </w:p>
        </w:tc>
        <w:tc>
          <w:tcPr>
            <w:tcW w:type="dxa" w:w="45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Transformer-based encoder; used to demonstrate architecture comparison and justify design trade-offs.</w:t>
            </w:r>
          </w:p>
        </w:tc>
      </w:tr>
    </w:tbl>
    <w:p>
      <w:pPr>
        <w:pStyle w:val="Heading2"/>
        <w:spacing w:after="160" w:before="320"/>
      </w:pPr>
      <w:r>
        <w:rPr>
          <w:rFonts w:ascii="Calibri" w:cs="Calibri" w:eastAsia="Calibri" w:hAnsi="Calibri"/>
          <w:b/>
          <w:bCs/>
          <w:color w:val="2E5395"/>
          <w:sz w:val="24"/>
          <w:szCs w:val="24"/>
        </w:rPr>
        <w:t xml:space="preserve">9.2 Training Configuration</w:t>
      </w:r>
    </w:p>
    <w:p>
      <w:pPr>
        <w:pStyle w:val="ListParagraph"/>
        <w:numPr>
          <w:ilvl w:val="0"/>
          <w:numId w:val="2"/>
        </w:numPr>
        <w:spacing w:after="90"/>
      </w:pPr>
      <w:r>
        <w:rPr>
          <w:rFonts w:ascii="Calibri" w:cs="Calibri" w:eastAsia="Calibri" w:hAnsi="Calibri"/>
          <w:color w:val="262626"/>
          <w:sz w:val="21"/>
          <w:szCs w:val="21"/>
        </w:rPr>
        <w:t xml:space="preserve">Loss function: Dice loss + Cross-Entropy (weighted composite, default 1:1).</w:t>
      </w:r>
    </w:p>
    <w:p>
      <w:pPr>
        <w:pStyle w:val="ListParagraph"/>
        <w:numPr>
          <w:ilvl w:val="0"/>
          <w:numId w:val="2"/>
        </w:numPr>
        <w:spacing w:after="90"/>
      </w:pPr>
      <w:r>
        <w:rPr>
          <w:rFonts w:ascii="Calibri" w:cs="Calibri" w:eastAsia="Calibri" w:hAnsi="Calibri"/>
          <w:color w:val="262626"/>
          <w:sz w:val="21"/>
          <w:szCs w:val="21"/>
        </w:rPr>
        <w:t xml:space="preserve">Optimizer: AdamW with cosine-annealing or polynomial learning-rate decay.</w:t>
      </w:r>
    </w:p>
    <w:p>
      <w:pPr>
        <w:pStyle w:val="ListParagraph"/>
        <w:numPr>
          <w:ilvl w:val="0"/>
          <w:numId w:val="2"/>
        </w:numPr>
        <w:spacing w:after="90"/>
      </w:pPr>
      <w:r>
        <w:rPr>
          <w:rFonts w:ascii="Calibri" w:cs="Calibri" w:eastAsia="Calibri" w:hAnsi="Calibri"/>
          <w:color w:val="262626"/>
          <w:sz w:val="21"/>
          <w:szCs w:val="21"/>
        </w:rPr>
        <w:t xml:space="preserve">Patch size: 128×128×128 (configurable); batch size determined by available VRAM.</w:t>
      </w:r>
    </w:p>
    <w:p>
      <w:pPr>
        <w:pStyle w:val="ListParagraph"/>
        <w:numPr>
          <w:ilvl w:val="0"/>
          <w:numId w:val="2"/>
        </w:numPr>
        <w:spacing w:after="90"/>
      </w:pPr>
      <w:r>
        <w:rPr>
          <w:rFonts w:ascii="Calibri" w:cs="Calibri" w:eastAsia="Calibri" w:hAnsi="Calibri"/>
          <w:color w:val="262626"/>
          <w:sz w:val="21"/>
          <w:szCs w:val="21"/>
        </w:rPr>
        <w:t xml:space="preserve">Sliding-window inference: 50% patch overlap, Gaussian importance weighting.</w:t>
      </w:r>
    </w:p>
    <w:p>
      <w:pPr>
        <w:pStyle w:val="ListParagraph"/>
        <w:numPr>
          <w:ilvl w:val="0"/>
          <w:numId w:val="2"/>
        </w:numPr>
        <w:spacing w:after="90"/>
      </w:pPr>
      <w:r>
        <w:rPr>
          <w:rFonts w:ascii="Calibri" w:cs="Calibri" w:eastAsia="Calibri" w:hAnsi="Calibri"/>
          <w:color w:val="262626"/>
          <w:sz w:val="21"/>
          <w:szCs w:val="21"/>
        </w:rPr>
        <w:t xml:space="preserve">Cross-validation: 5-fold, patient-level split, stratified where feasible by tumor grade/site.</w:t>
      </w:r>
    </w:p>
    <w:p>
      <w:pPr>
        <w:pStyle w:val="ListParagraph"/>
        <w:numPr>
          <w:ilvl w:val="0"/>
          <w:numId w:val="2"/>
        </w:numPr>
        <w:spacing w:after="90"/>
      </w:pPr>
      <w:r>
        <w:rPr>
          <w:rFonts w:ascii="Calibri" w:cs="Calibri" w:eastAsia="Calibri" w:hAnsi="Calibri"/>
          <w:color w:val="262626"/>
          <w:sz w:val="21"/>
          <w:szCs w:val="21"/>
        </w:rPr>
        <w:t xml:space="preserve">Early stopping on validation Dice plateau (configurable patience).</w:t>
      </w:r>
    </w:p>
    <w:p>
      <w:pPr>
        <w:pStyle w:val="Heading2"/>
        <w:spacing w:after="160" w:before="320"/>
      </w:pPr>
      <w:r>
        <w:rPr>
          <w:rFonts w:ascii="Calibri" w:cs="Calibri" w:eastAsia="Calibri" w:hAnsi="Calibri"/>
          <w:b/>
          <w:bCs/>
          <w:color w:val="2E5395"/>
          <w:sz w:val="24"/>
          <w:szCs w:val="24"/>
        </w:rPr>
        <w:t xml:space="preserve">9.3 Evaluation Metrics</w:t>
      </w:r>
    </w:p>
    <w:tbl>
      <w:tblPr>
        <w:tblW w:type="dxa" w:w="9300"/>
        <w:tblBorders>
          <w:top w:val="single" w:color="BFBFBF" w:sz="4"/>
          <w:left w:val="single" w:color="BFBFBF" w:sz="4"/>
          <w:bottom w:val="single" w:color="BFBFBF" w:sz="4"/>
          <w:right w:val="single" w:color="BFBFBF" w:sz="4"/>
          <w:insideH w:val="single" w:color="D9D9D9" w:sz="4"/>
          <w:insideV w:val="single" w:color="D9D9D9" w:sz="4"/>
        </w:tblBorders>
      </w:tblPr>
      <w:tblGrid>
        <w:gridCol w:w="2600"/>
        <w:gridCol w:w="4900"/>
        <w:gridCol w:w="1800"/>
      </w:tblGrid>
      <w:tr>
        <w:trPr>
          <w:cantSplit/>
          <w:tblHeader/>
        </w:trPr>
        <w:tc>
          <w:tcPr>
            <w:tcW w:type="dxa" w:w="26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Metric</w:t>
            </w:r>
          </w:p>
        </w:tc>
        <w:tc>
          <w:tcPr>
            <w:tcW w:type="dxa" w:w="49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Definition</w:t>
            </w:r>
          </w:p>
        </w:tc>
        <w:tc>
          <w:tcPr>
            <w:tcW w:type="dxa" w:w="18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Reported Per</w:t>
            </w:r>
          </w:p>
        </w:tc>
      </w:tr>
      <w:tr>
        <w:trPr>
          <w:cantSplit/>
        </w:trPr>
        <w:tc>
          <w:tcPr>
            <w:tcW w:type="dxa" w:w="26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Dice Similarity Coefficient</w:t>
            </w:r>
          </w:p>
        </w:tc>
        <w:tc>
          <w:tcPr>
            <w:tcW w:type="dxa" w:w="4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2×|Prediction ∩ Ground Truth| / (|Prediction| + |Ground Truth|)</w:t>
            </w:r>
          </w:p>
        </w:tc>
        <w:tc>
          <w:tcPr>
            <w:tcW w:type="dxa" w:w="18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ET, TC, WT, per fold, and mean ± std</w:t>
            </w:r>
          </w:p>
        </w:tc>
      </w:tr>
      <w:tr>
        <w:trPr>
          <w:cantSplit/>
        </w:trPr>
        <w:tc>
          <w:tcPr>
            <w:tcW w:type="dxa" w:w="26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HD95</w:t>
            </w:r>
          </w:p>
        </w:tc>
        <w:tc>
          <w:tcPr>
            <w:tcW w:type="dxa" w:w="4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95th-percentile Hausdorff distance in mm — penalizes boundary outliers more robustly than max Hausdorff.</w:t>
            </w:r>
          </w:p>
        </w:tc>
        <w:tc>
          <w:tcPr>
            <w:tcW w:type="dxa" w:w="18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ET, TC, WT</w:t>
            </w:r>
          </w:p>
        </w:tc>
      </w:tr>
      <w:tr>
        <w:trPr>
          <w:cantSplit/>
        </w:trPr>
        <w:tc>
          <w:tcPr>
            <w:tcW w:type="dxa" w:w="26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Sensitivity / Specificity</w:t>
            </w:r>
          </w:p>
        </w:tc>
        <w:tc>
          <w:tcPr>
            <w:tcW w:type="dxa" w:w="4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Voxel-wise true positive / true negative rates.</w:t>
            </w:r>
          </w:p>
        </w:tc>
        <w:tc>
          <w:tcPr>
            <w:tcW w:type="dxa" w:w="18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ET, TC, WT</w:t>
            </w:r>
          </w:p>
        </w:tc>
      </w:tr>
      <w:tr>
        <w:trPr>
          <w:cantSplit/>
        </w:trPr>
        <w:tc>
          <w:tcPr>
            <w:tcW w:type="dxa" w:w="26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Inference latency</w:t>
            </w:r>
          </w:p>
        </w:tc>
        <w:tc>
          <w:tcPr>
            <w:tcW w:type="dxa" w:w="4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Wall-clock time for full-volume sliding-window inference.</w:t>
            </w:r>
          </w:p>
        </w:tc>
        <w:tc>
          <w:tcPr>
            <w:tcW w:type="dxa" w:w="18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Per hardware profile (GPU/CPU)</w:t>
            </w:r>
          </w:p>
        </w:tc>
      </w:tr>
    </w:tbl>
    <w:p>
      <w:pPr>
        <w:pStyle w:val="Heading2"/>
        <w:spacing w:after="160" w:before="320"/>
      </w:pPr>
      <w:r>
        <w:rPr>
          <w:rFonts w:ascii="Calibri" w:cs="Calibri" w:eastAsia="Calibri" w:hAnsi="Calibri"/>
          <w:b/>
          <w:bCs/>
          <w:color w:val="2E5395"/>
          <w:sz w:val="24"/>
          <w:szCs w:val="24"/>
        </w:rPr>
        <w:t xml:space="preserve">9.4 Model Quality Gate for Promotion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Borders>
              <w:top w:val="single" w:color="2E5395" w:sz="12"/>
              <w:left w:val="single" w:color="E0B4B4" w:sz="4"/>
              <w:bottom w:val="single" w:color="E0B4B4" w:sz="4"/>
              <w:right w:val="single" w:color="E0B4B4" w:sz="4"/>
            </w:tcBorders>
            <w:shd w:fill="FBEEEE" w:val="clear"/>
            <w:tcMar>
              <w:top w:type="dxa" w:w="140"/>
              <w:left w:type="dxa" w:w="200"/>
              <w:bottom w:type="dxa" w:w="140"/>
              <w:right w:type="dxa" w:w="200"/>
            </w:tcMar>
          </w:tcPr>
          <w:p>
            <w:pPr>
              <w:spacing w:after="60"/>
            </w:pPr>
            <w:r>
              <w:rPr>
                <w:rFonts w:ascii="Calibri" w:cs="Calibri" w:eastAsia="Calibri" w:hAnsi="Calibri"/>
                <w:b/>
                <w:bCs/>
                <w:color w:val="2E5395"/>
                <w:sz w:val="20"/>
                <w:szCs w:val="20"/>
              </w:rPr>
              <w:t xml:space="preserve">Promotion gate</w:t>
            </w:r>
          </w:p>
          <w:p>
            <w:r>
              <w:rPr>
                <w:rFonts w:ascii="Calibri" w:cs="Calibri" w:eastAsia="Calibri" w:hAnsi="Calibri"/>
                <w:color w:val="262626"/>
                <w:sz w:val="20"/>
                <w:szCs w:val="20"/>
              </w:rPr>
              <w:t xml:space="preserve">A model version may only be promoted to "active" in the registry if it meets the accuracy thresholds defined in Section 5 (Non-Functional Requirements) on held-out cross-validation folds, and passes the qualitative failure-case review described in Section 11.</w:t>
            </w:r>
          </w:p>
        </w:tc>
      </w:tr>
    </w:tbl>
    <w:p>
      <w:r>
        <w:br w:type="page"/>
      </w:r>
    </w:p>
    <w:p>
      <w:pPr>
        <w:pStyle w:val="Heading1"/>
        <w:pBdr>
          <w:bottom w:val="single" w:color="4472C4" w:sz="6" w:space="4"/>
        </w:pBdr>
        <w:spacing w:after="240" w:before="480"/>
      </w:pPr>
      <w:r>
        <w:rPr>
          <w:rFonts w:ascii="Calibri" w:cs="Calibri" w:eastAsia="Calibri" w:hAnsi="Calibri"/>
          <w:b/>
          <w:bCs/>
          <w:color w:val="1F3864"/>
          <w:sz w:val="30"/>
          <w:szCs w:val="30"/>
        </w:rPr>
        <w:t xml:space="preserve">10  Deployment Architecture</w:t>
      </w:r>
    </w:p>
    <w:p>
      <w:pPr>
        <w:pStyle w:val="Heading2"/>
        <w:spacing w:after="160" w:before="320"/>
      </w:pPr>
      <w:r>
        <w:rPr>
          <w:rFonts w:ascii="Calibri" w:cs="Calibri" w:eastAsia="Calibri" w:hAnsi="Calibri"/>
          <w:b/>
          <w:bCs/>
          <w:color w:val="2E5395"/>
          <w:sz w:val="24"/>
          <w:szCs w:val="24"/>
        </w:rPr>
        <w:t xml:space="preserve">10.1 Containerization</w:t>
      </w:r>
    </w:p>
    <w:p>
      <w:pPr>
        <w:pStyle w:val="ListParagraph"/>
        <w:numPr>
          <w:ilvl w:val="0"/>
          <w:numId w:val="2"/>
        </w:numPr>
        <w:spacing w:after="90"/>
      </w:pPr>
      <w:r>
        <w:rPr>
          <w:rFonts w:ascii="Calibri" w:cs="Calibri" w:eastAsia="Calibri" w:hAnsi="Calibri"/>
          <w:color w:val="262626"/>
          <w:sz w:val="21"/>
          <w:szCs w:val="21"/>
        </w:rPr>
        <w:t xml:space="preserve">Separate Docker images for: training environment, inference API service, and frontend.</w:t>
      </w:r>
    </w:p>
    <w:p>
      <w:pPr>
        <w:pStyle w:val="ListParagraph"/>
        <w:numPr>
          <w:ilvl w:val="0"/>
          <w:numId w:val="2"/>
        </w:numPr>
        <w:spacing w:after="90"/>
      </w:pPr>
      <w:r>
        <w:rPr>
          <w:rFonts w:ascii="Calibri" w:cs="Calibri" w:eastAsia="Calibri" w:hAnsi="Calibri"/>
          <w:color w:val="262626"/>
          <w:sz w:val="21"/>
          <w:szCs w:val="21"/>
        </w:rPr>
        <w:t xml:space="preserve">Inference image built on an NVIDIA CUDA runtime base; multi-stage build to keep final image lean.</w:t>
      </w:r>
    </w:p>
    <w:p>
      <w:pPr>
        <w:pStyle w:val="ListParagraph"/>
        <w:numPr>
          <w:ilvl w:val="0"/>
          <w:numId w:val="2"/>
        </w:numPr>
        <w:spacing w:after="90"/>
      </w:pPr>
      <w:r>
        <w:rPr>
          <w:rFonts w:ascii="Calibri" w:cs="Calibri" w:eastAsia="Calibri" w:hAnsi="Calibri"/>
          <w:color w:val="262626"/>
          <w:sz w:val="21"/>
          <w:szCs w:val="21"/>
        </w:rPr>
        <w:t xml:space="preserve">`docker-compose.yml` orchestrates: API service, frontend, PostgreSQL, MinIO, and (optionally) Prometheus/Grafana for local/all-in-one deployment.</w:t>
      </w:r>
    </w:p>
    <w:p>
      <w:pPr>
        <w:pStyle w:val="Heading2"/>
        <w:spacing w:after="160" w:before="320"/>
      </w:pPr>
      <w:r>
        <w:rPr>
          <w:rFonts w:ascii="Calibri" w:cs="Calibri" w:eastAsia="Calibri" w:hAnsi="Calibri"/>
          <w:b/>
          <w:bCs/>
          <w:color w:val="2E5395"/>
          <w:sz w:val="24"/>
          <w:szCs w:val="24"/>
        </w:rPr>
        <w:t xml:space="preserve">10.2 Model Export &amp; Serving</w:t>
      </w:r>
    </w:p>
    <w:p>
      <w:pPr>
        <w:pStyle w:val="ListParagraph"/>
        <w:numPr>
          <w:ilvl w:val="0"/>
          <w:numId w:val="2"/>
        </w:numPr>
        <w:spacing w:after="90"/>
      </w:pPr>
      <w:r>
        <w:rPr>
          <w:rFonts w:ascii="Calibri" w:cs="Calibri" w:eastAsia="Calibri" w:hAnsi="Calibri"/>
          <w:color w:val="262626"/>
          <w:sz w:val="21"/>
          <w:szCs w:val="21"/>
        </w:rPr>
        <w:t xml:space="preserve">Trained PyTorch checkpoints exported to TorchScript and/or ONNX for inference-time portability and speed.</w:t>
      </w:r>
    </w:p>
    <w:p>
      <w:pPr>
        <w:pStyle w:val="ListParagraph"/>
        <w:numPr>
          <w:ilvl w:val="0"/>
          <w:numId w:val="2"/>
        </w:numPr>
        <w:spacing w:after="90"/>
      </w:pPr>
      <w:r>
        <w:rPr>
          <w:rFonts w:ascii="Calibri" w:cs="Calibri" w:eastAsia="Calibri" w:hAnsi="Calibri"/>
          <w:color w:val="262626"/>
          <w:sz w:val="21"/>
          <w:szCs w:val="21"/>
        </w:rPr>
        <w:t xml:space="preserve">FastAPI service loads the currently "active" model from the registry at startup and on a hot-reload signal when a new version is promoted.</w:t>
      </w:r>
    </w:p>
    <w:p>
      <w:pPr>
        <w:pStyle w:val="ListParagraph"/>
        <w:numPr>
          <w:ilvl w:val="0"/>
          <w:numId w:val="2"/>
        </w:numPr>
        <w:spacing w:after="90"/>
      </w:pPr>
      <w:r>
        <w:rPr>
          <w:rFonts w:ascii="Calibri" w:cs="Calibri" w:eastAsia="Calibri" w:hAnsi="Calibri"/>
          <w:color w:val="262626"/>
          <w:sz w:val="21"/>
          <w:szCs w:val="21"/>
        </w:rPr>
        <w:t xml:space="preserve">Optional: NVIDIA Triton Inference Server for multi-model, multi-version concurrent serving at higher scale.</w:t>
      </w:r>
    </w:p>
    <w:p>
      <w:pPr>
        <w:pStyle w:val="Heading2"/>
        <w:spacing w:after="160" w:before="320"/>
      </w:pPr>
      <w:r>
        <w:rPr>
          <w:rFonts w:ascii="Calibri" w:cs="Calibri" w:eastAsia="Calibri" w:hAnsi="Calibri"/>
          <w:b/>
          <w:bCs/>
          <w:color w:val="2E5395"/>
          <w:sz w:val="24"/>
          <w:szCs w:val="24"/>
        </w:rPr>
        <w:t xml:space="preserve">10.3 CI/CD Pipeline</w:t>
      </w:r>
    </w:p>
    <w:p>
      <w:pPr>
        <w:pStyle w:val="ListParagraph"/>
        <w:numPr>
          <w:ilvl w:val="0"/>
          <w:numId w:val="3"/>
        </w:numPr>
        <w:spacing w:after="90"/>
      </w:pPr>
      <w:r>
        <w:rPr>
          <w:rFonts w:ascii="Calibri" w:cs="Calibri" w:eastAsia="Calibri" w:hAnsi="Calibri"/>
          <w:color w:val="262626"/>
          <w:sz w:val="21"/>
          <w:szCs w:val="21"/>
        </w:rPr>
        <w:t xml:space="preserve">On pull request: lint (ruff/flake8), type-check, run unit tests (preprocessing, post-processing, API contract tests).</w:t>
      </w:r>
    </w:p>
    <w:p>
      <w:pPr>
        <w:pStyle w:val="ListParagraph"/>
        <w:numPr>
          <w:ilvl w:val="0"/>
          <w:numId w:val="3"/>
        </w:numPr>
        <w:spacing w:after="90"/>
      </w:pPr>
      <w:r>
        <w:rPr>
          <w:rFonts w:ascii="Calibri" w:cs="Calibri" w:eastAsia="Calibri" w:hAnsi="Calibri"/>
          <w:color w:val="262626"/>
          <w:sz w:val="21"/>
          <w:szCs w:val="21"/>
        </w:rPr>
        <w:t xml:space="preserve">On merge to main: build Docker images, run a model smoke test (tiny synthetic volume through the full inference path), push images to the container registry.</w:t>
      </w:r>
    </w:p>
    <w:p>
      <w:pPr>
        <w:pStyle w:val="ListParagraph"/>
        <w:numPr>
          <w:ilvl w:val="0"/>
          <w:numId w:val="3"/>
        </w:numPr>
        <w:spacing w:after="90"/>
      </w:pPr>
      <w:r>
        <w:rPr>
          <w:rFonts w:ascii="Calibri" w:cs="Calibri" w:eastAsia="Calibri" w:hAnsi="Calibri"/>
          <w:color w:val="262626"/>
          <w:sz w:val="21"/>
          <w:szCs w:val="21"/>
        </w:rPr>
        <w:t xml:space="preserve">Manual/approval-gated step: deploy the new API image to staging; run integration tests against staging.</w:t>
      </w:r>
    </w:p>
    <w:p>
      <w:pPr>
        <w:pStyle w:val="ListParagraph"/>
        <w:numPr>
          <w:ilvl w:val="0"/>
          <w:numId w:val="3"/>
        </w:numPr>
        <w:spacing w:after="90"/>
      </w:pPr>
      <w:r>
        <w:rPr>
          <w:rFonts w:ascii="Calibri" w:cs="Calibri" w:eastAsia="Calibri" w:hAnsi="Calibri"/>
          <w:color w:val="262626"/>
          <w:sz w:val="21"/>
          <w:szCs w:val="21"/>
        </w:rPr>
        <w:t xml:space="preserve">Manual promotion: deploy to production and update the active model pointer, with rollback documented as a one-command action.</w:t>
      </w:r>
    </w:p>
    <w:p>
      <w:pPr>
        <w:pStyle w:val="Heading2"/>
        <w:spacing w:after="160" w:before="320"/>
      </w:pPr>
      <w:r>
        <w:rPr>
          <w:rFonts w:ascii="Calibri" w:cs="Calibri" w:eastAsia="Calibri" w:hAnsi="Calibri"/>
          <w:b/>
          <w:bCs/>
          <w:color w:val="2E5395"/>
          <w:sz w:val="24"/>
          <w:szCs w:val="24"/>
        </w:rPr>
        <w:t xml:space="preserve">10.4 Monitoring &amp; Observability</w:t>
      </w:r>
    </w:p>
    <w:p>
      <w:pPr>
        <w:pStyle w:val="ListParagraph"/>
        <w:numPr>
          <w:ilvl w:val="0"/>
          <w:numId w:val="2"/>
        </w:numPr>
        <w:spacing w:after="90"/>
      </w:pPr>
      <w:r>
        <w:rPr>
          <w:rFonts w:ascii="Calibri" w:cs="Calibri" w:eastAsia="Calibri" w:hAnsi="Calibri"/>
          <w:color w:val="262626"/>
          <w:sz w:val="21"/>
          <w:szCs w:val="21"/>
        </w:rPr>
        <w:t xml:space="preserve">Prometheus scrapes API latency, request counts, error rates, and GPU utilization.</w:t>
      </w:r>
    </w:p>
    <w:p>
      <w:pPr>
        <w:pStyle w:val="ListParagraph"/>
        <w:numPr>
          <w:ilvl w:val="0"/>
          <w:numId w:val="2"/>
        </w:numPr>
        <w:spacing w:after="90"/>
      </w:pPr>
      <w:r>
        <w:rPr>
          <w:rFonts w:ascii="Calibri" w:cs="Calibri" w:eastAsia="Calibri" w:hAnsi="Calibri"/>
          <w:color w:val="262626"/>
          <w:sz w:val="21"/>
          <w:szCs w:val="21"/>
        </w:rPr>
        <w:t xml:space="preserve">Grafana dashboard: latency percentiles, throughput, input-drift score trend, model version in use.</w:t>
      </w:r>
    </w:p>
    <w:p>
      <w:pPr>
        <w:pStyle w:val="ListParagraph"/>
        <w:numPr>
          <w:ilvl w:val="0"/>
          <w:numId w:val="2"/>
        </w:numPr>
        <w:spacing w:after="90"/>
      </w:pPr>
      <w:r>
        <w:rPr>
          <w:rFonts w:ascii="Calibri" w:cs="Calibri" w:eastAsia="Calibri" w:hAnsi="Calibri"/>
          <w:color w:val="262626"/>
          <w:sz w:val="21"/>
          <w:szCs w:val="21"/>
        </w:rPr>
        <w:t xml:space="preserve">Structured JSON logs (request ID, case ID, model version, timing) shipped to a log aggregator.</w:t>
      </w:r>
    </w:p>
    <w:p>
      <w:pPr>
        <w:pStyle w:val="ListParagraph"/>
        <w:numPr>
          <w:ilvl w:val="0"/>
          <w:numId w:val="2"/>
        </w:numPr>
        <w:spacing w:after="90"/>
      </w:pPr>
      <w:r>
        <w:rPr>
          <w:rFonts w:ascii="Calibri" w:cs="Calibri" w:eastAsia="Calibri" w:hAnsi="Calibri"/>
          <w:color w:val="262626"/>
          <w:sz w:val="21"/>
          <w:szCs w:val="21"/>
        </w:rPr>
        <w:t xml:space="preserve">Alerting thresholds configured for p95 latency breach, elevated error rate, and drift-score breach.</w:t>
      </w:r>
    </w:p>
    <w:p>
      <w:r>
        <w:br w:type="page"/>
      </w:r>
    </w:p>
    <w:p>
      <w:pPr>
        <w:pStyle w:val="Heading1"/>
        <w:pBdr>
          <w:bottom w:val="single" w:color="4472C4" w:sz="6" w:space="4"/>
        </w:pBdr>
        <w:spacing w:after="240" w:before="480"/>
      </w:pPr>
      <w:r>
        <w:rPr>
          <w:rFonts w:ascii="Calibri" w:cs="Calibri" w:eastAsia="Calibri" w:hAnsi="Calibri"/>
          <w:b/>
          <w:bCs/>
          <w:color w:val="1F3864"/>
          <w:sz w:val="30"/>
          <w:szCs w:val="30"/>
        </w:rPr>
        <w:t xml:space="preserve">11  Testing Strategy</w:t>
      </w:r>
    </w:p>
    <w:tbl>
      <w:tblPr>
        <w:tblW w:type="dxa" w:w="9300"/>
        <w:tblBorders>
          <w:top w:val="single" w:color="BFBFBF" w:sz="4"/>
          <w:left w:val="single" w:color="BFBFBF" w:sz="4"/>
          <w:bottom w:val="single" w:color="BFBFBF" w:sz="4"/>
          <w:right w:val="single" w:color="BFBFBF" w:sz="4"/>
          <w:insideH w:val="single" w:color="D9D9D9" w:sz="4"/>
          <w:insideV w:val="single" w:color="D9D9D9" w:sz="4"/>
        </w:tblBorders>
      </w:tblPr>
      <w:tblGrid>
        <w:gridCol w:w="2200"/>
        <w:gridCol w:w="3400"/>
        <w:gridCol w:w="3700"/>
      </w:tblGrid>
      <w:tr>
        <w:trPr>
          <w:cantSplit/>
          <w:tblHeader/>
        </w:trPr>
        <w:tc>
          <w:tcPr>
            <w:tcW w:type="dxa" w:w="22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Test Level</w:t>
            </w:r>
          </w:p>
        </w:tc>
        <w:tc>
          <w:tcPr>
            <w:tcW w:type="dxa" w:w="34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Scope</w:t>
            </w:r>
          </w:p>
        </w:tc>
        <w:tc>
          <w:tcPr>
            <w:tcW w:type="dxa" w:w="37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Example</w:t>
            </w:r>
          </w:p>
        </w:tc>
      </w:tr>
      <w:tr>
        <w:trPr>
          <w:cantSplit/>
        </w:trPr>
        <w:tc>
          <w:tcPr>
            <w:tcW w:type="dxa" w:w="22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Unit tests</w:t>
            </w:r>
          </w:p>
        </w:tc>
        <w:tc>
          <w:tcPr>
            <w:tcW w:type="dxa" w:w="34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Preprocessing functions, post-processing functions, metric calculations, API request/response schemas.</w:t>
            </w:r>
          </w:p>
        </w:tc>
        <w:tc>
          <w:tcPr>
            <w:tcW w:type="dxa" w:w="37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Test that resampling preserves label integrity via nearest-neighbor interpolation.</w:t>
            </w:r>
          </w:p>
        </w:tc>
      </w:tr>
      <w:tr>
        <w:trPr>
          <w:cantSplit/>
        </w:trPr>
        <w:tc>
          <w:tcPr>
            <w:tcW w:type="dxa" w:w="22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Integration tests</w:t>
            </w:r>
          </w:p>
        </w:tc>
        <w:tc>
          <w:tcPr>
            <w:tcW w:type="dxa" w:w="34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Full preprocessing → inference → post-processing chain on a small synthetic or sample volume.</w:t>
            </w:r>
          </w:p>
        </w:tc>
        <w:tc>
          <w:tcPr>
            <w:tcW w:type="dxa" w:w="37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Upload a sample case through the API and assert a valid mask is returned.</w:t>
            </w:r>
          </w:p>
        </w:tc>
      </w:tr>
      <w:tr>
        <w:trPr>
          <w:cantSplit/>
        </w:trPr>
        <w:tc>
          <w:tcPr>
            <w:tcW w:type="dxa" w:w="22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Model validation</w:t>
            </w:r>
          </w:p>
        </w:tc>
        <w:tc>
          <w:tcPr>
            <w:tcW w:type="dxa" w:w="34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Cross-validated Dice/HD95 against the quality gate; failure-case slice review by the engineer.</w:t>
            </w:r>
          </w:p>
        </w:tc>
        <w:tc>
          <w:tcPr>
            <w:tcW w:type="dxa" w:w="37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5-fold CV report compared against BraTS published baselines.</w:t>
            </w:r>
          </w:p>
        </w:tc>
      </w:tr>
      <w:tr>
        <w:trPr>
          <w:cantSplit/>
        </w:trPr>
        <w:tc>
          <w:tcPr>
            <w:tcW w:type="dxa" w:w="22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Load / performance tests</w:t>
            </w:r>
          </w:p>
        </w:tc>
        <w:tc>
          <w:tcPr>
            <w:tcW w:type="dxa" w:w="34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Concurrent request handling, latency under load.</w:t>
            </w:r>
          </w:p>
        </w:tc>
        <w:tc>
          <w:tcPr>
            <w:tcW w:type="dxa" w:w="37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20 concurrent inference requests; assert p95 latency within budget.</w:t>
            </w:r>
          </w:p>
        </w:tc>
      </w:tr>
      <w:tr>
        <w:trPr>
          <w:cantSplit/>
        </w:trPr>
        <w:tc>
          <w:tcPr>
            <w:tcW w:type="dxa" w:w="22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Security tests</w:t>
            </w:r>
          </w:p>
        </w:tc>
        <w:tc>
          <w:tcPr>
            <w:tcW w:type="dxa" w:w="34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Auth enforcement, input-size limits, malformed-file handling.</w:t>
            </w:r>
          </w:p>
        </w:tc>
        <w:tc>
          <w:tcPr>
            <w:tcW w:type="dxa" w:w="37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Attempt upload without an API key; assert 401 response.</w:t>
            </w:r>
          </w:p>
        </w:tc>
      </w:tr>
      <w:tr>
        <w:trPr>
          <w:cantSplit/>
        </w:trPr>
        <w:tc>
          <w:tcPr>
            <w:tcW w:type="dxa" w:w="22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User acceptance testing (UAT)</w:t>
            </w:r>
          </w:p>
        </w:tc>
        <w:tc>
          <w:tcPr>
            <w:tcW w:type="dxa" w:w="34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End-to-end manual walkthrough of upload → view → export against the use cases in Section 8.</w:t>
            </w:r>
          </w:p>
        </w:tc>
        <w:tc>
          <w:tcPr>
            <w:tcW w:type="dxa" w:w="37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A reviewer completes UC-01 through UC-04 without confusion.</w:t>
            </w:r>
          </w:p>
        </w:tc>
      </w:tr>
    </w:tbl>
    <w:p>
      <w:pPr>
        <w:spacing w:after="160" w:line="276"/>
        <w:jc w:val="both"/>
      </w:pPr>
      <w:r>
        <w:rPr>
          <w:rFonts w:ascii="Calibri" w:cs="Calibri" w:eastAsia="Calibri" w:hAnsi="Calibri"/>
          <w:color w:val="262626"/>
          <w:sz w:val="21"/>
          <w:szCs w:val="21"/>
        </w:rPr>
        <w:t xml:space="preserve">A regression test suite shall run automatically on every CI build. Model-quality regression (a promoted model performing worse than the previously active one on the standard validation set) shall block promotion automatically where feasible, and shall be manually reviewed otherwise.</w:t>
      </w:r>
    </w:p>
    <w:p>
      <w:r>
        <w:br w:type="page"/>
      </w:r>
    </w:p>
    <w:p>
      <w:pPr>
        <w:pStyle w:val="Heading1"/>
        <w:pBdr>
          <w:bottom w:val="single" w:color="4472C4" w:sz="6" w:space="4"/>
        </w:pBdr>
        <w:spacing w:after="240" w:before="480"/>
      </w:pPr>
      <w:r>
        <w:rPr>
          <w:rFonts w:ascii="Calibri" w:cs="Calibri" w:eastAsia="Calibri" w:hAnsi="Calibri"/>
          <w:b/>
          <w:bCs/>
          <w:color w:val="1F3864"/>
          <w:sz w:val="30"/>
          <w:szCs w:val="30"/>
        </w:rPr>
        <w:t xml:space="preserve">12  Project Plan and Milestones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Borders>
              <w:top w:val="single" w:color="2E5395" w:sz="12"/>
              <w:left w:val="single" w:color="E0B4B4" w:sz="4"/>
              <w:bottom w:val="single" w:color="E0B4B4" w:sz="4"/>
              <w:right w:val="single" w:color="E0B4B4" w:sz="4"/>
            </w:tcBorders>
            <w:shd w:fill="FBEEEE" w:val="clear"/>
            <w:tcMar>
              <w:top w:type="dxa" w:w="140"/>
              <w:left w:type="dxa" w:w="200"/>
              <w:bottom w:type="dxa" w:w="140"/>
              <w:right w:type="dxa" w:w="200"/>
            </w:tcMar>
          </w:tcPr>
          <w:p>
            <w:pPr>
              <w:spacing w:after="60"/>
            </w:pPr>
            <w:r>
              <w:rPr>
                <w:rFonts w:ascii="Calibri" w:cs="Calibri" w:eastAsia="Calibri" w:hAnsi="Calibri"/>
                <w:b/>
                <w:bCs/>
                <w:color w:val="2E5395"/>
                <w:sz w:val="20"/>
                <w:szCs w:val="20"/>
              </w:rPr>
              <w:t xml:space="preserve">Schedule basis</w:t>
            </w:r>
          </w:p>
          <w:p>
            <w:r>
              <w:rPr>
                <w:rFonts w:ascii="Calibri" w:cs="Calibri" w:eastAsia="Calibri" w:hAnsi="Calibri"/>
                <w:color w:val="262626"/>
                <w:sz w:val="20"/>
                <w:szCs w:val="20"/>
              </w:rPr>
              <w:t xml:space="preserve">Phases 2–3 below assume training on free-tier cloud GPU notebooks (Kaggle: 30 GPU-hrs/week, 12-hr session cap; Colab free tier as supplement) rather than a continuously-available local GPU. Durations are therefore expressed as calendar weeks gated by weekly quota resets, not continuous compute-days — training work is checkpoint-resume across multiple sessions.</w:t>
            </w:r>
          </w:p>
        </w:tc>
      </w:tr>
    </w:tbl>
    <w:tbl>
      <w:tblPr>
        <w:tblW w:type="dxa" w:w="9700"/>
        <w:tblBorders>
          <w:top w:val="single" w:color="BFBFBF" w:sz="4"/>
          <w:left w:val="single" w:color="BFBFBF" w:sz="4"/>
          <w:bottom w:val="single" w:color="BFBFBF" w:sz="4"/>
          <w:right w:val="single" w:color="BFBFBF" w:sz="4"/>
          <w:insideH w:val="single" w:color="D9D9D9" w:sz="4"/>
          <w:insideV w:val="single" w:color="D9D9D9" w:sz="4"/>
        </w:tblBorders>
      </w:tblPr>
      <w:tblGrid>
        <w:gridCol w:w="2600"/>
        <w:gridCol w:w="5600"/>
        <w:gridCol w:w="1500"/>
      </w:tblGrid>
      <w:tr>
        <w:trPr>
          <w:cantSplit/>
          <w:tblHeader/>
        </w:trPr>
        <w:tc>
          <w:tcPr>
            <w:tcW w:type="dxa" w:w="26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Phase</w:t>
            </w:r>
          </w:p>
        </w:tc>
        <w:tc>
          <w:tcPr>
            <w:tcW w:type="dxa" w:w="56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Deliverables</w:t>
            </w:r>
          </w:p>
        </w:tc>
        <w:tc>
          <w:tcPr>
            <w:tcW w:type="dxa" w:w="15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Approx. Duration</w:t>
            </w:r>
          </w:p>
        </w:tc>
      </w:tr>
      <w:tr>
        <w:trPr>
          <w:cantSplit/>
        </w:trPr>
        <w:tc>
          <w:tcPr>
            <w:tcW w:type="dxa" w:w="26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1. Setup &amp; Data</w:t>
            </w:r>
          </w:p>
        </w:tc>
        <w:tc>
          <w:tcPr>
            <w:tcW w:type="dxa" w:w="56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Repo scaffolding, BraTS access (Kaggle-hosted dataset preferred), data audit, preprocessing pipeline, patient-level split manifest.</w:t>
            </w:r>
          </w:p>
        </w:tc>
        <w:tc>
          <w:tcPr>
            <w:tcW w:type="dxa" w:w="15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Week 1–2</w:t>
            </w:r>
          </w:p>
        </w:tc>
      </w:tr>
      <w:tr>
        <w:trPr>
          <w:cantSplit/>
        </w:trPr>
        <w:tc>
          <w:tcPr>
            <w:tcW w:type="dxa" w:w="26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2. Baseline Model</w:t>
            </w:r>
          </w:p>
        </w:tc>
        <w:tc>
          <w:tcPr>
            <w:tcW w:type="dxa" w:w="56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3D U-Net training loop (96³ patches, AMP, checkpoint-resume), MONAI integration, cross-validated Dice on Kaggle/Colab free-tier GPU, experiment tracking wired up.</w:t>
            </w:r>
          </w:p>
        </w:tc>
        <w:tc>
          <w:tcPr>
            <w:tcW w:type="dxa" w:w="15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Week 3–5</w:t>
            </w:r>
          </w:p>
        </w:tc>
      </w:tr>
      <w:tr>
        <w:trPr>
          <w:cantSplit/>
        </w:trPr>
        <w:tc>
          <w:tcPr>
            <w:tcW w:type="dxa" w:w="26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3. Model Improvement</w:t>
            </w:r>
          </w:p>
        </w:tc>
        <w:tc>
          <w:tcPr>
            <w:tcW w:type="dxa" w:w="56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nnU-Net benchmark run (epoch-capped to fit quota), hyperparameter tuning, error analysis on failure cases, quality-gate pass.</w:t>
            </w:r>
          </w:p>
        </w:tc>
        <w:tc>
          <w:tcPr>
            <w:tcW w:type="dxa" w:w="15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Week 6–8</w:t>
            </w:r>
          </w:p>
        </w:tc>
      </w:tr>
      <w:tr>
        <w:trPr>
          <w:cantSplit/>
        </w:trPr>
        <w:tc>
          <w:tcPr>
            <w:tcW w:type="dxa" w:w="26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4. Serving Layer</w:t>
            </w:r>
          </w:p>
        </w:tc>
        <w:tc>
          <w:tcPr>
            <w:tcW w:type="dxa" w:w="56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Model export (ONNX/TorchScript), FastAPI inference service, sliding-window + post-processing in production code path.</w:t>
            </w:r>
          </w:p>
        </w:tc>
        <w:tc>
          <w:tcPr>
            <w:tcW w:type="dxa" w:w="15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Week 9</w:t>
            </w:r>
          </w:p>
        </w:tc>
      </w:tr>
      <w:tr>
        <w:trPr>
          <w:cantSplit/>
        </w:trPr>
        <w:tc>
          <w:tcPr>
            <w:tcW w:type="dxa" w:w="26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5. Frontend</w:t>
            </w:r>
          </w:p>
        </w:tc>
        <w:tc>
          <w:tcPr>
            <w:tcW w:type="dxa" w:w="56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Upload UI, slice viewer with overlay, report export.</w:t>
            </w:r>
          </w:p>
        </w:tc>
        <w:tc>
          <w:tcPr>
            <w:tcW w:type="dxa" w:w="15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Week 10</w:t>
            </w:r>
          </w:p>
        </w:tc>
      </w:tr>
      <w:tr>
        <w:trPr>
          <w:cantSplit/>
        </w:trPr>
        <w:tc>
          <w:tcPr>
            <w:tcW w:type="dxa" w:w="26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6. Deployment &amp; Ops</w:t>
            </w:r>
          </w:p>
        </w:tc>
        <w:tc>
          <w:tcPr>
            <w:tcW w:type="dxa" w:w="56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Dockerization, docker-compose stack, CI/CD pipeline, monitoring dashboard.</w:t>
            </w:r>
          </w:p>
        </w:tc>
        <w:tc>
          <w:tcPr>
            <w:tcW w:type="dxa" w:w="15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Week 11</w:t>
            </w:r>
          </w:p>
        </w:tc>
      </w:tr>
      <w:tr>
        <w:trPr>
          <w:cantSplit/>
        </w:trPr>
        <w:tc>
          <w:tcPr>
            <w:tcW w:type="dxa" w:w="26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7. Testing &amp; Hardening</w:t>
            </w:r>
          </w:p>
        </w:tc>
        <w:tc>
          <w:tcPr>
            <w:tcW w:type="dxa" w:w="56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Full test suite, load test, security pass, documentation, UAT walkthrough.</w:t>
            </w:r>
          </w:p>
        </w:tc>
        <w:tc>
          <w:tcPr>
            <w:tcW w:type="dxa" w:w="15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Week 12</w:t>
            </w:r>
          </w:p>
        </w:tc>
      </w:tr>
      <w:tr>
        <w:trPr>
          <w:cantSplit/>
        </w:trPr>
        <w:tc>
          <w:tcPr>
            <w:tcW w:type="dxa" w:w="26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8. Polish &amp; Presentation</w:t>
            </w:r>
          </w:p>
        </w:tc>
        <w:tc>
          <w:tcPr>
            <w:tcW w:type="dxa" w:w="56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README, architecture diagrams, demo video/write-up, portfolio packaging.</w:t>
            </w:r>
          </w:p>
        </w:tc>
        <w:tc>
          <w:tcPr>
            <w:tcW w:type="dxa" w:w="15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Week 13</w:t>
            </w:r>
          </w:p>
        </w:tc>
      </w:tr>
    </w:tbl>
    <w:p>
      <w:pPr>
        <w:spacing w:after="160" w:line="276"/>
        <w:jc w:val="both"/>
      </w:pPr>
      <w:r>
        <w:rPr>
          <w:rFonts w:ascii="Calibri" w:cs="Calibri" w:eastAsia="Calibri" w:hAnsi="Calibri"/>
          <w:color w:val="262626"/>
          <w:sz w:val="21"/>
          <w:szCs w:val="21"/>
        </w:rPr>
        <w:t xml:space="preserve">Compared to a locally-owned GPU workflow, Phases 2–3 (model training) stretch from roughly two weeks to five, since progress is gated by weekly GPU-hour quota rather than continuous access. Total project duration extends from ~11 to ~13 weeks accordingly; Phases 4 onward are unaffected since they do not require GPU training time.</w:t>
      </w:r>
    </w:p>
    <w:p>
      <w:r>
        <w:br w:type="page"/>
      </w:r>
    </w:p>
    <w:p>
      <w:pPr>
        <w:pStyle w:val="Heading1"/>
        <w:pBdr>
          <w:bottom w:val="single" w:color="4472C4" w:sz="6" w:space="4"/>
        </w:pBdr>
        <w:spacing w:after="240" w:before="480"/>
      </w:pPr>
      <w:r>
        <w:rPr>
          <w:rFonts w:ascii="Calibri" w:cs="Calibri" w:eastAsia="Calibri" w:hAnsi="Calibri"/>
          <w:b/>
          <w:bCs/>
          <w:color w:val="1F3864"/>
          <w:sz w:val="30"/>
          <w:szCs w:val="30"/>
        </w:rPr>
        <w:t xml:space="preserve">13  Risk Analysis</w:t>
      </w:r>
    </w:p>
    <w:tbl>
      <w:tblPr>
        <w:tblW w:type="dxa" w:w="9100"/>
        <w:tblBorders>
          <w:top w:val="single" w:color="BFBFBF" w:sz="4"/>
          <w:left w:val="single" w:color="BFBFBF" w:sz="4"/>
          <w:bottom w:val="single" w:color="BFBFBF" w:sz="4"/>
          <w:right w:val="single" w:color="BFBFBF" w:sz="4"/>
          <w:insideH w:val="single" w:color="D9D9D9" w:sz="4"/>
          <w:insideV w:val="single" w:color="D9D9D9" w:sz="4"/>
        </w:tblBorders>
      </w:tblPr>
      <w:tblGrid>
        <w:gridCol w:w="2600"/>
        <w:gridCol w:w="1300"/>
        <w:gridCol w:w="1300"/>
        <w:gridCol w:w="3900"/>
      </w:tblGrid>
      <w:tr>
        <w:trPr>
          <w:cantSplit/>
          <w:tblHeader/>
        </w:trPr>
        <w:tc>
          <w:tcPr>
            <w:tcW w:type="dxa" w:w="26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Risk</w:t>
            </w:r>
          </w:p>
        </w:tc>
        <w:tc>
          <w:tcPr>
            <w:tcW w:type="dxa" w:w="13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Likelihood</w:t>
            </w:r>
          </w:p>
        </w:tc>
        <w:tc>
          <w:tcPr>
            <w:tcW w:type="dxa" w:w="13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Impact</w:t>
            </w:r>
          </w:p>
        </w:tc>
        <w:tc>
          <w:tcPr>
            <w:tcW w:type="dxa" w:w="3900"/>
            <w:shd w:fill="1F3864" w:val="clear"/>
            <w:tcMar>
              <w:top w:type="dxa" w:w="80"/>
              <w:left w:type="dxa" w:w="110"/>
              <w:bottom w:type="dxa" w:w="80"/>
              <w:right w:type="dxa" w:w="110"/>
            </w:tcMar>
            <w:vAlign w:val="center"/>
          </w:tcPr>
          <w:p>
            <w:pPr>
              <w:jc w:val="left"/>
            </w:pPr>
            <w:r>
              <w:rPr>
                <w:rFonts w:ascii="Calibri" w:cs="Calibri" w:eastAsia="Calibri" w:hAnsi="Calibri"/>
                <w:b/>
                <w:bCs/>
                <w:i w:val="false"/>
                <w:iCs w:val="false"/>
                <w:color w:val="FFFFFF"/>
                <w:sz w:val="19"/>
                <w:szCs w:val="19"/>
              </w:rPr>
              <w:t xml:space="preserve">Mitigation</w:t>
            </w:r>
          </w:p>
        </w:tc>
      </w:tr>
      <w:tr>
        <w:trPr>
          <w:cantSplit/>
        </w:trPr>
        <w:tc>
          <w:tcPr>
            <w:tcW w:type="dxa" w:w="26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GPU memory insufficient for 3D patch training on a free-tier 16 GB T4</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Medium</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High</w:t>
            </w:r>
          </w:p>
        </w:tc>
        <w:tc>
          <w:tcPr>
            <w:tcW w:type="dxa" w:w="3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Use smaller patch size (96³/64³), mixed precision, gradient accumulation; reduce batch size to 1–2.</w:t>
            </w:r>
          </w:p>
        </w:tc>
      </w:tr>
      <w:tr>
        <w:trPr>
          <w:cantSplit/>
        </w:trPr>
        <w:tc>
          <w:tcPr>
            <w:tcW w:type="dxa" w:w="26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Free-tier notebook session ends mid-training (Kaggle 12-hr cap / Colab disconnect)</w:t>
            </w:r>
          </w:p>
        </w:tc>
        <w:tc>
          <w:tcPr>
            <w:tcW w:type="dxa" w:w="1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High</w:t>
            </w:r>
          </w:p>
        </w:tc>
        <w:tc>
          <w:tcPr>
            <w:tcW w:type="dxa" w:w="1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Medium</w:t>
            </w:r>
          </w:p>
        </w:tc>
        <w:tc>
          <w:tcPr>
            <w:tcW w:type="dxa" w:w="3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Checkpoint model + optimizer state at least once per epoch to persistent storage; resume automatically from latest checkpoint on next session; log all runs to an external tracker (W&amp;B) so progress survives a lost session.</w:t>
            </w:r>
          </w:p>
        </w:tc>
      </w:tr>
      <w:tr>
        <w:trPr>
          <w:cantSplit/>
        </w:trPr>
        <w:tc>
          <w:tcPr>
            <w:tcW w:type="dxa" w:w="26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Weekly GPU-hour quota (Kaggle: 30 hrs) exhausted before a training phase completes</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Medium</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Medium</w:t>
            </w:r>
          </w:p>
        </w:tc>
        <w:tc>
          <w:tcPr>
            <w:tcW w:type="dxa" w:w="3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Plan training in multiple weekly-quota chunks (see Section 12); supplement with Colab free tier in parallel; reduce CV folds or dataset subset size if needed to fit budget.</w:t>
            </w:r>
          </w:p>
        </w:tc>
      </w:tr>
      <w:tr>
        <w:trPr>
          <w:cantSplit/>
        </w:trPr>
        <w:tc>
          <w:tcPr>
            <w:tcW w:type="dxa" w:w="26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Data leakage via improper train/val/test split</w:t>
            </w:r>
          </w:p>
        </w:tc>
        <w:tc>
          <w:tcPr>
            <w:tcW w:type="dxa" w:w="1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Medium</w:t>
            </w:r>
          </w:p>
        </w:tc>
        <w:tc>
          <w:tcPr>
            <w:tcW w:type="dxa" w:w="1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High</w:t>
            </w:r>
          </w:p>
        </w:tc>
        <w:tc>
          <w:tcPr>
            <w:tcW w:type="dxa" w:w="3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Enforce patient-level split at the manifest level; add an automated check in CI that asserts no case ID overlap across folds.</w:t>
            </w:r>
          </w:p>
        </w:tc>
      </w:tr>
      <w:tr>
        <w:trPr>
          <w:cantSplit/>
        </w:trPr>
        <w:tc>
          <w:tcPr>
            <w:tcW w:type="dxa" w:w="26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Model underperforms published Dice baselines due to reduced epoch budget on free-tier compute</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Medium</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Medium</w:t>
            </w:r>
          </w:p>
        </w:tc>
        <w:tc>
          <w:tcPr>
            <w:tcW w:type="dxa" w:w="3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Start from nnU-Net's proven default configuration before customizing; cap epochs deliberately with early stopping rather than an arbitrary cutoff; document any CV-fold or dataset-subset reduction alongside reported metrics.</w:t>
            </w:r>
          </w:p>
        </w:tc>
      </w:tr>
      <w:tr>
        <w:trPr>
          <w:cantSplit/>
        </w:trPr>
        <w:tc>
          <w:tcPr>
            <w:tcW w:type="dxa" w:w="26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BraTS license/access delays</w:t>
            </w:r>
          </w:p>
        </w:tc>
        <w:tc>
          <w:tcPr>
            <w:tcW w:type="dxa" w:w="1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Low</w:t>
            </w:r>
          </w:p>
        </w:tc>
        <w:tc>
          <w:tcPr>
            <w:tcW w:type="dxa" w:w="1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Medium</w:t>
            </w:r>
          </w:p>
        </w:tc>
        <w:tc>
          <w:tcPr>
            <w:tcW w:type="dxa" w:w="3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Register for dataset access early (Phase 1); prefer the Kaggle-hosted public copy where available as an interim/primary source.</w:t>
            </w:r>
          </w:p>
        </w:tc>
      </w:tr>
      <w:tr>
        <w:trPr>
          <w:cantSplit/>
        </w:trPr>
        <w:tc>
          <w:tcPr>
            <w:tcW w:type="dxa" w:w="26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Inference latency exceeds budget on CPU fallback</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Medium</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Low</w:t>
            </w:r>
          </w:p>
        </w:tc>
        <w:tc>
          <w:tcPr>
            <w:tcW w:type="dxa" w:w="3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Document GPU as the recommended path; optimize patch overlap/stride for CPU mode as a secondary tuning pass.</w:t>
            </w:r>
          </w:p>
        </w:tc>
      </w:tr>
      <w:tr>
        <w:trPr>
          <w:cantSplit/>
        </w:trPr>
        <w:tc>
          <w:tcPr>
            <w:tcW w:type="dxa" w:w="26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Scope creep (trying to cover too many modalities/tasks)</w:t>
            </w:r>
          </w:p>
        </w:tc>
        <w:tc>
          <w:tcPr>
            <w:tcW w:type="dxa" w:w="1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High</w:t>
            </w:r>
          </w:p>
        </w:tc>
        <w:tc>
          <w:tcPr>
            <w:tcW w:type="dxa" w:w="13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Medium</w:t>
            </w:r>
          </w:p>
        </w:tc>
        <w:tc>
          <w:tcPr>
            <w:tcW w:type="dxa" w:w="3900"/>
            <w:shd w:fill="EEF3FA" w:val="clear"/>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Lock scope to BraTS brain-tumor segmentation only for v1; log extensions as future work.</w:t>
            </w:r>
          </w:p>
        </w:tc>
      </w:tr>
      <w:tr>
        <w:trPr>
          <w:cantSplit/>
        </w:trPr>
        <w:tc>
          <w:tcPr>
            <w:tcW w:type="dxa" w:w="26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Misinterpretation as a clinical-grade tool</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Low</w:t>
            </w:r>
          </w:p>
        </w:tc>
        <w:tc>
          <w:tcPr>
            <w:tcW w:type="dxa" w:w="13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High</w:t>
            </w:r>
          </w:p>
        </w:tc>
        <w:tc>
          <w:tcPr>
            <w:tcW w:type="dxa" w:w="3900"/>
            <w:tcMar>
              <w:top w:type="dxa" w:w="80"/>
              <w:left w:type="dxa" w:w="110"/>
              <w:bottom w:type="dxa" w:w="80"/>
              <w:right w:type="dxa" w:w="110"/>
            </w:tcMar>
            <w:vAlign w:val="center"/>
          </w:tcPr>
          <w:p>
            <w:pPr>
              <w:jc w:val="left"/>
            </w:pPr>
            <w:r>
              <w:rPr>
                <w:rFonts w:ascii="Calibri" w:cs="Calibri" w:eastAsia="Calibri" w:hAnsi="Calibri"/>
                <w:b w:val="false"/>
                <w:bCs w:val="false"/>
                <w:i w:val="false"/>
                <w:iCs w:val="false"/>
                <w:color w:val="262626"/>
                <w:sz w:val="19"/>
                <w:szCs w:val="19"/>
              </w:rPr>
              <w:t xml:space="preserve">Mandatory non-clinical-use disclaimer in UI/API (Section 14); no diagnostic claims in documentation.</w:t>
            </w:r>
          </w:p>
        </w:tc>
      </w:tr>
    </w:tbl>
    <w:p>
      <w:r>
        <w:br w:type="page"/>
      </w:r>
    </w:p>
    <w:p>
      <w:pPr>
        <w:pStyle w:val="Heading1"/>
        <w:pBdr>
          <w:bottom w:val="single" w:color="4472C4" w:sz="6" w:space="4"/>
        </w:pBdr>
        <w:spacing w:after="240" w:before="480"/>
      </w:pPr>
      <w:r>
        <w:rPr>
          <w:rFonts w:ascii="Calibri" w:cs="Calibri" w:eastAsia="Calibri" w:hAnsi="Calibri"/>
          <w:b/>
          <w:bCs/>
          <w:color w:val="1F3864"/>
          <w:sz w:val="30"/>
          <w:szCs w:val="30"/>
        </w:rPr>
        <w:t xml:space="preserve">14  Ethical, Legal, and Regulatory Considerations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Borders>
              <w:top w:val="single" w:color="C00000" w:sz="12"/>
              <w:left w:val="single" w:color="E0B4B4" w:sz="4"/>
              <w:bottom w:val="single" w:color="E0B4B4" w:sz="4"/>
              <w:right w:val="single" w:color="E0B4B4" w:sz="4"/>
            </w:tcBorders>
            <w:shd w:fill="FBEEEE" w:val="clear"/>
            <w:tcMar>
              <w:top w:type="dxa" w:w="140"/>
              <w:left w:type="dxa" w:w="200"/>
              <w:bottom w:type="dxa" w:w="140"/>
              <w:right w:type="dxa" w:w="200"/>
            </w:tcMar>
          </w:tcPr>
          <w:p>
            <w:pPr>
              <w:spacing w:after="60"/>
            </w:pPr>
            <w:r>
              <w:rPr>
                <w:rFonts w:ascii="Calibri" w:cs="Calibri" w:eastAsia="Calibri" w:hAnsi="Calibri"/>
                <w:b/>
                <w:bCs/>
                <w:color w:val="C00000"/>
                <w:sz w:val="20"/>
                <w:szCs w:val="20"/>
              </w:rPr>
              <w:t xml:space="preserve">Mandatory disclaimer</w:t>
            </w:r>
          </w:p>
          <w:p>
            <w:r>
              <w:rPr>
                <w:rFonts w:ascii="Calibri" w:cs="Calibri" w:eastAsia="Calibri" w:hAnsi="Calibri"/>
                <w:color w:val="262626"/>
                <w:sz w:val="20"/>
                <w:szCs w:val="20"/>
              </w:rPr>
              <w:t xml:space="preserve">This system is a research and educational pipeline. It is NOT a certified medical device, has NOT received regulatory clearance (e.g., FDA, CE), and MUST NOT be used for actual clinical diagnosis, treatment planning, or any decision affecting patient care.</w:t>
            </w:r>
          </w:p>
        </w:tc>
      </w:tr>
    </w:tbl>
    <w:p>
      <w:pPr>
        <w:pStyle w:val="Heading2"/>
        <w:spacing w:after="160" w:before="320"/>
      </w:pPr>
      <w:r>
        <w:rPr>
          <w:rFonts w:ascii="Calibri" w:cs="Calibri" w:eastAsia="Calibri" w:hAnsi="Calibri"/>
          <w:b/>
          <w:bCs/>
          <w:color w:val="2E5395"/>
          <w:sz w:val="24"/>
          <w:szCs w:val="24"/>
        </w:rPr>
        <w:t xml:space="preserve">14.1 Regulatory Positioning</w:t>
      </w:r>
    </w:p>
    <w:p>
      <w:pPr>
        <w:spacing w:after="160" w:line="276"/>
        <w:jc w:val="both"/>
      </w:pPr>
      <w:r>
        <w:rPr>
          <w:rFonts w:ascii="Calibri" w:cs="Calibri" w:eastAsia="Calibri" w:hAnsi="Calibri"/>
          <w:color w:val="262626"/>
          <w:sz w:val="21"/>
          <w:szCs w:val="21"/>
        </w:rPr>
        <w:t xml:space="preserve">The Pipeline is explicitly positioned as a research/portfolio artifact. No claims of clinical validation, regulatory clearance, or diagnostic accuracy suitable for patient care are made anywhere in the system's documentation, UI, or API responses. Any future path toward clinical use would require a formal quality management system, clinical validation studies, and regulatory submission — out of scope for this project.</w:t>
      </w:r>
    </w:p>
    <w:p>
      <w:pPr>
        <w:pStyle w:val="Heading2"/>
        <w:spacing w:after="160" w:before="320"/>
      </w:pPr>
      <w:r>
        <w:rPr>
          <w:rFonts w:ascii="Calibri" w:cs="Calibri" w:eastAsia="Calibri" w:hAnsi="Calibri"/>
          <w:b/>
          <w:bCs/>
          <w:color w:val="2E5395"/>
          <w:sz w:val="24"/>
          <w:szCs w:val="24"/>
        </w:rPr>
        <w:t xml:space="preserve">14.2 Data Privacy</w:t>
      </w:r>
    </w:p>
    <w:p>
      <w:pPr>
        <w:pStyle w:val="ListParagraph"/>
        <w:numPr>
          <w:ilvl w:val="0"/>
          <w:numId w:val="2"/>
        </w:numPr>
        <w:spacing w:after="90"/>
      </w:pPr>
      <w:r>
        <w:rPr>
          <w:rFonts w:ascii="Calibri" w:cs="Calibri" w:eastAsia="Calibri" w:hAnsi="Calibri"/>
          <w:color w:val="262626"/>
          <w:sz w:val="21"/>
          <w:szCs w:val="21"/>
        </w:rPr>
        <w:t xml:space="preserve">BraTS data is used strictly under its research-use license and is not redistributed.</w:t>
      </w:r>
    </w:p>
    <w:p>
      <w:pPr>
        <w:pStyle w:val="ListParagraph"/>
        <w:numPr>
          <w:ilvl w:val="0"/>
          <w:numId w:val="2"/>
        </w:numPr>
        <w:spacing w:after="90"/>
      </w:pPr>
      <w:r>
        <w:rPr>
          <w:rFonts w:ascii="Calibri" w:cs="Calibri" w:eastAsia="Calibri" w:hAnsi="Calibri"/>
          <w:color w:val="262626"/>
          <w:sz w:val="21"/>
          <w:szCs w:val="21"/>
        </w:rPr>
        <w:t xml:space="preserve">User-uploaded scans (outside the benchmark) are treated as potentially sensitive: encrypted at rest, access-controlled, and deletable on request.</w:t>
      </w:r>
    </w:p>
    <w:p>
      <w:pPr>
        <w:pStyle w:val="ListParagraph"/>
        <w:numPr>
          <w:ilvl w:val="0"/>
          <w:numId w:val="2"/>
        </w:numPr>
        <w:spacing w:after="90"/>
      </w:pPr>
      <w:r>
        <w:rPr>
          <w:rFonts w:ascii="Calibri" w:cs="Calibri" w:eastAsia="Calibri" w:hAnsi="Calibri"/>
          <w:color w:val="262626"/>
          <w:sz w:val="21"/>
          <w:szCs w:val="21"/>
        </w:rPr>
        <w:t xml:space="preserve">No identifying metadata is required for the pipeline to function; users are advised to de-identify uploads before submission.</w:t>
      </w:r>
    </w:p>
    <w:p>
      <w:pPr>
        <w:pStyle w:val="Heading2"/>
        <w:spacing w:after="160" w:before="320"/>
      </w:pPr>
      <w:r>
        <w:rPr>
          <w:rFonts w:ascii="Calibri" w:cs="Calibri" w:eastAsia="Calibri" w:hAnsi="Calibri"/>
          <w:b/>
          <w:bCs/>
          <w:color w:val="2E5395"/>
          <w:sz w:val="24"/>
          <w:szCs w:val="24"/>
        </w:rPr>
        <w:t xml:space="preserve">14.3 Bias and Fairness</w:t>
      </w:r>
    </w:p>
    <w:p>
      <w:pPr>
        <w:pStyle w:val="ListParagraph"/>
        <w:numPr>
          <w:ilvl w:val="0"/>
          <w:numId w:val="2"/>
        </w:numPr>
        <w:spacing w:after="90"/>
      </w:pPr>
      <w:r>
        <w:rPr>
          <w:rFonts w:ascii="Calibri" w:cs="Calibri" w:eastAsia="Calibri" w:hAnsi="Calibri"/>
          <w:color w:val="262626"/>
          <w:sz w:val="21"/>
          <w:szCs w:val="21"/>
        </w:rPr>
        <w:t xml:space="preserve">The BraTS cohort's demographic and institutional composition is documented as a known limitation; model performance may vary across scanner types, field strengths, and populations not well represented in the training data.</w:t>
      </w:r>
    </w:p>
    <w:p>
      <w:pPr>
        <w:pStyle w:val="ListParagraph"/>
        <w:numPr>
          <w:ilvl w:val="0"/>
          <w:numId w:val="2"/>
        </w:numPr>
        <w:spacing w:after="90"/>
      </w:pPr>
      <w:r>
        <w:rPr>
          <w:rFonts w:ascii="Calibri" w:cs="Calibri" w:eastAsia="Calibri" w:hAnsi="Calibri"/>
          <w:color w:val="262626"/>
          <w:sz w:val="21"/>
          <w:szCs w:val="21"/>
        </w:rPr>
        <w:t xml:space="preserve">Failure-case review (Section 11) explicitly includes checking for systematic underperformance on any identifiable subgroup present in the metadata.</w:t>
      </w:r>
    </w:p>
    <w:p>
      <w:pPr>
        <w:pStyle w:val="Heading2"/>
        <w:spacing w:after="160" w:before="320"/>
      </w:pPr>
      <w:r>
        <w:rPr>
          <w:rFonts w:ascii="Calibri" w:cs="Calibri" w:eastAsia="Calibri" w:hAnsi="Calibri"/>
          <w:b/>
          <w:bCs/>
          <w:color w:val="2E5395"/>
          <w:sz w:val="24"/>
          <w:szCs w:val="24"/>
        </w:rPr>
        <w:t xml:space="preserve">14.4 Intellectual Property</w:t>
      </w:r>
    </w:p>
    <w:p>
      <w:pPr>
        <w:pStyle w:val="ListParagraph"/>
        <w:numPr>
          <w:ilvl w:val="0"/>
          <w:numId w:val="2"/>
        </w:numPr>
        <w:spacing w:after="90"/>
      </w:pPr>
      <w:r>
        <w:rPr>
          <w:rFonts w:ascii="Calibri" w:cs="Calibri" w:eastAsia="Calibri" w:hAnsi="Calibri"/>
          <w:color w:val="262626"/>
          <w:sz w:val="21"/>
          <w:szCs w:val="21"/>
        </w:rPr>
        <w:t xml:space="preserve">The project's own code is released under a license chosen by the author (e.g., MIT/Apache-2.0), stated in the repository.</w:t>
      </w:r>
    </w:p>
    <w:p>
      <w:pPr>
        <w:pStyle w:val="ListParagraph"/>
        <w:numPr>
          <w:ilvl w:val="0"/>
          <w:numId w:val="2"/>
        </w:numPr>
        <w:spacing w:after="90"/>
      </w:pPr>
      <w:r>
        <w:rPr>
          <w:rFonts w:ascii="Calibri" w:cs="Calibri" w:eastAsia="Calibri" w:hAnsi="Calibri"/>
          <w:color w:val="262626"/>
          <w:sz w:val="21"/>
          <w:szCs w:val="21"/>
        </w:rPr>
        <w:t xml:space="preserve">Third-party dependencies (PyTorch, MONAI, nnU-Net, etc.) retain their own licenses, which shall be checked for compatibility before release.</w:t>
      </w:r>
    </w:p>
    <w:p>
      <w:r>
        <w:br w:type="page"/>
      </w:r>
    </w:p>
    <w:p>
      <w:pPr>
        <w:pStyle w:val="Heading1"/>
        <w:pBdr>
          <w:bottom w:val="single" w:color="4472C4" w:sz="6" w:space="4"/>
        </w:pBdr>
        <w:spacing w:after="240" w:before="480"/>
      </w:pPr>
      <w:r>
        <w:rPr>
          <w:rFonts w:ascii="Calibri" w:cs="Calibri" w:eastAsia="Calibri" w:hAnsi="Calibri"/>
          <w:b/>
          <w:bCs/>
          <w:color w:val="1F3864"/>
          <w:sz w:val="30"/>
          <w:szCs w:val="30"/>
        </w:rPr>
        <w:t xml:space="preserve">15  Appendices</w:t>
      </w:r>
    </w:p>
    <w:p>
      <w:pPr>
        <w:pStyle w:val="Heading2"/>
        <w:spacing w:after="160" w:before="320"/>
      </w:pPr>
      <w:r>
        <w:rPr>
          <w:rFonts w:ascii="Calibri" w:cs="Calibri" w:eastAsia="Calibri" w:hAnsi="Calibri"/>
          <w:b/>
          <w:bCs/>
          <w:color w:val="2E5395"/>
          <w:sz w:val="24"/>
          <w:szCs w:val="24"/>
        </w:rPr>
        <w:t xml:space="preserve">Appendix A — Glossary</w:t>
      </w:r>
    </w:p>
    <w:p>
      <w:pPr>
        <w:spacing w:after="160" w:line="276"/>
        <w:jc w:val="both"/>
      </w:pPr>
      <w:r>
        <w:rPr>
          <w:rFonts w:ascii="Calibri" w:cs="Calibri" w:eastAsia="Calibri" w:hAnsi="Calibri"/>
          <w:color w:val="262626"/>
          <w:sz w:val="21"/>
          <w:szCs w:val="21"/>
        </w:rPr>
        <w:t xml:space="preserve">See Section 1.4, Definitions, Acronyms and Abbreviations, for the full glossary used throughout this document.</w:t>
      </w:r>
    </w:p>
    <w:p>
      <w:pPr>
        <w:pStyle w:val="Heading2"/>
        <w:spacing w:after="160" w:before="320"/>
      </w:pPr>
      <w:r>
        <w:rPr>
          <w:rFonts w:ascii="Calibri" w:cs="Calibri" w:eastAsia="Calibri" w:hAnsi="Calibri"/>
          <w:b/>
          <w:bCs/>
          <w:color w:val="2E5395"/>
          <w:sz w:val="24"/>
          <w:szCs w:val="24"/>
        </w:rPr>
        <w:t xml:space="preserve">Appendix B — Full Reference List</w:t>
      </w:r>
    </w:p>
    <w:p>
      <w:pPr>
        <w:spacing w:after="160" w:line="276"/>
        <w:jc w:val="both"/>
      </w:pPr>
      <w:r>
        <w:rPr>
          <w:rFonts w:ascii="Calibri" w:cs="Calibri" w:eastAsia="Calibri" w:hAnsi="Calibri"/>
          <w:color w:val="262626"/>
          <w:sz w:val="21"/>
          <w:szCs w:val="21"/>
        </w:rPr>
        <w:t xml:space="preserve">See Section 1.5, References.</w:t>
      </w:r>
    </w:p>
    <w:p>
      <w:pPr>
        <w:pStyle w:val="Heading2"/>
        <w:spacing w:after="160" w:before="320"/>
      </w:pPr>
      <w:r>
        <w:rPr>
          <w:rFonts w:ascii="Calibri" w:cs="Calibri" w:eastAsia="Calibri" w:hAnsi="Calibri"/>
          <w:b/>
          <w:bCs/>
          <w:color w:val="2E5395"/>
          <w:sz w:val="24"/>
          <w:szCs w:val="24"/>
        </w:rPr>
        <w:t xml:space="preserve">Appendix C — Requirement Traceability Summary</w:t>
      </w:r>
    </w:p>
    <w:p>
      <w:pPr>
        <w:spacing w:after="160" w:line="276"/>
        <w:jc w:val="both"/>
      </w:pPr>
      <w:r>
        <w:rPr>
          <w:rFonts w:ascii="Calibri" w:cs="Calibri" w:eastAsia="Calibri" w:hAnsi="Calibri"/>
          <w:color w:val="262626"/>
          <w:sz w:val="21"/>
          <w:szCs w:val="21"/>
        </w:rPr>
        <w:t xml:space="preserve">Every functional requirement in Section 4 carries a unique ID (FR-x.y) intended to be referenced directly in code comments, test names, and pull request descriptions (e.g., "Implements FR-4.2"), so that test coverage and implementation status can be traced back to this specification at any point in development.</w:t>
      </w:r>
    </w:p>
    <w:p>
      <w:pPr>
        <w:pStyle w:val="Heading2"/>
        <w:spacing w:after="160" w:before="320"/>
      </w:pPr>
      <w:r>
        <w:rPr>
          <w:rFonts w:ascii="Calibri" w:cs="Calibri" w:eastAsia="Calibri" w:hAnsi="Calibri"/>
          <w:b/>
          <w:bCs/>
          <w:color w:val="2E5395"/>
          <w:sz w:val="24"/>
          <w:szCs w:val="24"/>
        </w:rPr>
        <w:t xml:space="preserve">Appendix D — Document Change Control</w:t>
      </w:r>
    </w:p>
    <w:p>
      <w:pPr>
        <w:spacing w:after="160" w:line="276"/>
        <w:jc w:val="both"/>
      </w:pPr>
      <w:r>
        <w:rPr>
          <w:rFonts w:ascii="Calibri" w:cs="Calibri" w:eastAsia="Calibri" w:hAnsi="Calibri"/>
          <w:color w:val="262626"/>
          <w:sz w:val="21"/>
          <w:szCs w:val="21"/>
        </w:rPr>
        <w:t xml:space="preserve">Future revisions to this SRS shall increment the version number in the Document Control table (front matter) and record the change summary there. Material changes to scope (Section 1.2) or the model quality gate (Section 9.4) require re-approval per the Approval table in the front matter.</w:t>
      </w:r>
    </w:p>
    <w:sectPr>
      <w:headerReference w:type="default" r:id="rId11"/>
      <w:footerReference w:type="default" r:id="rId12"/>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jc w:val="center"/>
    </w:pPr>
    <w:r>
      <w:rPr>
        <w:rFonts w:ascii="Calibri" w:cs="Calibri" w:eastAsia="Calibri" w:hAnsi="Calibri"/>
        <w:color w:val="595959"/>
        <w:sz w:val="16"/>
        <w:szCs w:val="16"/>
      </w:rPr>
      <w:t xml:space="preserve">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r>
      <w:rPr>
        <w:rFonts w:ascii="Calibri" w:cs="Calibri" w:eastAsia="Calibri" w:hAnsi="Calibri"/>
        <w:color w:val="595959"/>
        <w:sz w:val="16"/>
        <w:szCs w:val="16"/>
      </w:rPr>
      <w:t xml:space="preserve">   |   Confidential — Draft</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jc w:val="center"/>
    </w:pPr>
    <w:r>
      <w:rPr>
        <w:rFonts w:ascii="Calibri" w:cs="Calibri" w:eastAsia="Calibri" w:hAnsi="Calibri"/>
        <w:color w:val="595959"/>
        <w:sz w:val="16"/>
        <w:szCs w:val="16"/>
      </w:rPr>
      <w:t xml:space="preserve">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r>
      <w:rPr>
        <w:rFonts w:ascii="Calibri" w:cs="Calibri" w:eastAsia="Calibri" w:hAnsi="Calibri"/>
        <w:color w:val="595959"/>
        <w:sz w:val="16"/>
        <w:szCs w:val="16"/>
      </w:rPr>
      <w:t xml:space="preserve">   |   Confidential — Draft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360"/>
      </w:tabs>
    </w:pPr>
    <w:r>
      <w:rPr>
        <w:rFonts w:ascii="Calibri" w:cs="Calibri" w:eastAsia="Calibri" w:hAnsi="Calibri"/>
        <w:color w:val="595959"/>
        <w:sz w:val="16"/>
        <w:szCs w:val="16"/>
      </w:rPr>
      <w:t xml:space="preserve">SRS — Medical Imaging Diagnostic Pipeline</w:t>
    </w:r>
    <w:r>
      <w:rPr>
        <w:rFonts w:ascii="Calibri" w:cs="Calibri" w:eastAsia="Calibri" w:hAnsi="Calibri"/>
        <w:color w:val="595959"/>
        <w:sz w:val="16"/>
        <w:szCs w:val="16"/>
      </w:rPr>
      <w:t xml:space="preserve">	BraTS Brain Tumor Segmentation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pPr>
    <w:rPr>
      <w:rFonts w:ascii="Calibri" w:cs="Calibri" w:eastAsia="Calibri" w:hAnsi="Calibri"/>
    </w:rPr>
  </w:style>
  <w:style w:type="paragraph" w:styleId="Heading2">
    <w:name w:val="Heading 2"/>
    <w:basedOn w:val="Normal"/>
    <w:next w:val="Normal"/>
    <w:qFormat/>
    <w:pPr>
      <w:spacing w:after="160" w:before="320"/>
    </w:pPr>
    <w:rPr>
      <w:rFonts w:ascii="Calibri" w:cs="Calibri" w:eastAsia="Calibri" w:hAnsi="Calibri"/>
    </w:rPr>
  </w:style>
  <w:style w:type="paragraph" w:styleId="Heading3">
    <w:name w:val="Heading 3"/>
    <w:basedOn w:val="Normal"/>
    <w:next w:val="Normal"/>
    <w:qFormat/>
    <w:pPr>
      <w:spacing w:after="120" w:before="220"/>
    </w:pPr>
    <w:rPr>
      <w:rFonts w:ascii="Calibri" w:cs="Calibri" w:eastAsia="Calibri" w:hAnsi="Calibri"/>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2026-08-28T07:16:20.160Z</dcterms:created>
  <dcterms:modified xsi:type="dcterms:W3CDTF">2026-08-28T07:16:20.160Z</dcterms:modified>
</cp:coreProperties>
</file>

<file path=docProps/custom.xml><?xml version="1.0" encoding="utf-8"?>
<Properties xmlns="http://schemas.openxmlformats.org/officeDocument/2006/custom-properties" xmlns:vt="http://schemas.openxmlformats.org/officeDocument/2006/docPropsVTypes"/>
</file>