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w:t>
      </w:r>
    </w:p>
    <w:p>
      <w:pPr>
        <w:pStyle w:val="BodyText"/>
      </w:pPr>
      <w:r>
        <w:rPr>
          <w:bCs/>
          <w:b/>
        </w:rPr>
        <w:t xml:space="preserve">Medical Imaging Diagnostic Pipeline</w:t>
      </w:r>
    </w:p>
    <w:p>
      <w:pPr>
        <w:pStyle w:val="BodyText"/>
      </w:pPr>
      <w:r>
        <w:rPr>
          <w:iCs/>
          <w:i/>
        </w:rPr>
        <w:t xml:space="preserve">Automated Brain Tumor Segmentation from Multi-Modal MRI using the BraTS Dataset</w:t>
      </w:r>
    </w:p>
    <w:p>
      <w:pPr>
        <w:pStyle w:val="BodyText"/>
      </w:pPr>
      <w:r>
        <w:t xml:space="preserve">Document Version: 1.2</w:t>
      </w:r>
    </w:p>
    <w:p>
      <w:pPr>
        <w:pStyle w:val="BodyText"/>
      </w:pPr>
      <w:r>
        <w:t xml:space="preserve">Status: Baseline (rev. 1.2 — implementation decisions recorded)</w:t>
      </w:r>
    </w:p>
    <w:p>
      <w:pPr>
        <w:pStyle w:val="BodyText"/>
      </w:pPr>
      <w:r>
        <w:t xml:space="preserve">Date: 07 September 2026</w:t>
      </w:r>
    </w:p>
    <w:p>
      <w:pPr>
        <w:pStyle w:val="BodyText"/>
      </w:pPr>
      <w:r>
        <w:t xml:space="preserve">Classification: Internal / Academic Use</w:t>
      </w:r>
    </w:p>
    <w:p>
      <w:pPr>
        <w:pStyle w:val="BodyText"/>
      </w:pPr>
      <w:r>
        <w:rPr>
          <w:iCs/>
          <w:i/>
        </w:rPr>
        <w:t xml:space="preserve">Prepared in accordance with IEEE Std 830-1998 (SRS structure)</w:t>
      </w:r>
    </w:p>
    <w:bookmarkStart w:id="20" w:name="document-control"/>
    <w:p>
      <w:pPr>
        <w:pStyle w:val="Heading2"/>
      </w:pPr>
      <w:r>
        <w:t xml:space="preserve">Document Control</w:t>
      </w:r>
    </w:p>
    <w:p>
      <w:pPr>
        <w:pStyle w:val="FirstParagraph"/>
      </w:pPr>
      <w:r>
        <w:t xml:space="preserve">Revision history for this Software Requirements Specification: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Description of Changes</w:t>
            </w:r>
          </w:p>
        </w:tc>
      </w:tr>
      <w:tr>
        <w:tc>
          <w:tcPr/>
          <w:p>
            <w:pPr>
              <w:pStyle w:val="Compact"/>
              <w:jc w:val="left"/>
            </w:pPr>
            <w:r>
              <w:t xml:space="preserve">0.1</w:t>
            </w:r>
          </w:p>
        </w:tc>
        <w:tc>
          <w:tcPr/>
          <w:p>
            <w:pPr>
              <w:pStyle w:val="Compact"/>
              <w:jc w:val="left"/>
            </w:pPr>
            <w:r>
              <w:t xml:space="preserve">10-Aug-2026</w:t>
            </w:r>
          </w:p>
        </w:tc>
        <w:tc>
          <w:tcPr/>
          <w:p>
            <w:pPr>
              <w:pStyle w:val="Compact"/>
              <w:jc w:val="left"/>
            </w:pPr>
            <w:r>
              <w:t xml:space="preserve">Project Author</w:t>
            </w:r>
          </w:p>
        </w:tc>
        <w:tc>
          <w:tcPr/>
          <w:p>
            <w:pPr>
              <w:pStyle w:val="Compact"/>
              <w:jc w:val="left"/>
            </w:pPr>
            <w:r>
              <w:t xml:space="preserve">Initial draft — scope and architecture</w:t>
            </w:r>
          </w:p>
        </w:tc>
      </w:tr>
      <w:tr>
        <w:tc>
          <w:tcPr/>
          <w:p>
            <w:pPr>
              <w:pStyle w:val="Compact"/>
              <w:jc w:val="left"/>
            </w:pPr>
            <w:r>
              <w:t xml:space="preserve">0.5</w:t>
            </w:r>
          </w:p>
        </w:tc>
        <w:tc>
          <w:tcPr/>
          <w:p>
            <w:pPr>
              <w:pStyle w:val="Compact"/>
              <w:jc w:val="left"/>
            </w:pPr>
            <w:r>
              <w:t xml:space="preserve">20-Aug-2026</w:t>
            </w:r>
          </w:p>
        </w:tc>
        <w:tc>
          <w:tcPr/>
          <w:p>
            <w:pPr>
              <w:pStyle w:val="Compact"/>
              <w:jc w:val="left"/>
            </w:pPr>
            <w:r>
              <w:t xml:space="preserve">Project Author</w:t>
            </w:r>
          </w:p>
        </w:tc>
        <w:tc>
          <w:tcPr/>
          <w:p>
            <w:pPr>
              <w:pStyle w:val="Compact"/>
              <w:jc w:val="left"/>
            </w:pPr>
            <w:r>
              <w:t xml:space="preserve">Added functional &amp; non-functional requirements</w:t>
            </w:r>
          </w:p>
        </w:tc>
      </w:tr>
      <w:tr>
        <w:tc>
          <w:tcPr/>
          <w:p>
            <w:pPr>
              <w:pStyle w:val="Compact"/>
              <w:jc w:val="left"/>
            </w:pPr>
            <w:r>
              <w:t xml:space="preserve">1.0</w:t>
            </w:r>
          </w:p>
        </w:tc>
        <w:tc>
          <w:tcPr/>
          <w:p>
            <w:pPr>
              <w:pStyle w:val="Compact"/>
              <w:jc w:val="left"/>
            </w:pPr>
            <w:r>
              <w:t xml:space="preserve">28-Aug-2026</w:t>
            </w:r>
          </w:p>
        </w:tc>
        <w:tc>
          <w:tcPr/>
          <w:p>
            <w:pPr>
              <w:pStyle w:val="Compact"/>
              <w:jc w:val="left"/>
            </w:pPr>
            <w:r>
              <w:t xml:space="preserve">Project Author</w:t>
            </w:r>
          </w:p>
        </w:tc>
        <w:tc>
          <w:tcPr/>
          <w:p>
            <w:pPr>
              <w:pStyle w:val="Compact"/>
              <w:jc w:val="left"/>
            </w:pPr>
            <w:r>
              <w:t xml:space="preserve">Full baseline release for review</w:t>
            </w:r>
          </w:p>
        </w:tc>
      </w:tr>
      <w:tr>
        <w:tc>
          <w:tcPr/>
          <w:p>
            <w:pPr>
              <w:pStyle w:val="Compact"/>
              <w:jc w:val="left"/>
            </w:pPr>
            <w:r>
              <w:t xml:space="preserve">1.1</w:t>
            </w:r>
          </w:p>
        </w:tc>
        <w:tc>
          <w:tcPr/>
          <w:p>
            <w:pPr>
              <w:pStyle w:val="Compact"/>
              <w:jc w:val="left"/>
            </w:pPr>
            <w:r>
              <w:t xml:space="preserve">02-Sep-2026</w:t>
            </w:r>
          </w:p>
        </w:tc>
        <w:tc>
          <w:tcPr/>
          <w:p>
            <w:pPr>
              <w:pStyle w:val="Compact"/>
              <w:jc w:val="left"/>
            </w:pPr>
            <w:r>
              <w:t xml:space="preserve">Project Author</w:t>
            </w:r>
          </w:p>
        </w:tc>
        <w:tc>
          <w:tcPr/>
          <w:p>
            <w:pPr>
              <w:pStyle w:val="Compact"/>
              <w:jc w:val="left"/>
            </w:pPr>
            <w:r>
              <w:t xml:space="preserve">Recorded implementation decisions (validation frequency, early-stopping semantics, tracker=W&amp;B, case-ID format, interim local storage, confidence-summary definition); updated dataset actuals to BraTS2020; restated performance NFR for available hardware; flagged quality-gate proposal for approval</w:t>
            </w:r>
          </w:p>
        </w:tc>
      </w:tr>
      <w:tr>
        <w:tc>
          <w:tcPr/>
          <w:p>
            <w:pPr>
              <w:pStyle w:val="Compact"/>
              <w:jc w:val="left"/>
            </w:pPr>
            <w:r>
              <w:t xml:space="preserve">1.2</w:t>
            </w:r>
          </w:p>
        </w:tc>
        <w:tc>
          <w:tcPr/>
          <w:p>
            <w:pPr>
              <w:pStyle w:val="Compact"/>
              <w:jc w:val="left"/>
            </w:pPr>
            <w:r>
              <w:t xml:space="preserve">07-Sep-2026</w:t>
            </w:r>
          </w:p>
        </w:tc>
        <w:tc>
          <w:tcPr/>
          <w:p>
            <w:pPr>
              <w:pStyle w:val="Compact"/>
              <w:jc w:val="left"/>
            </w:pPr>
            <w:r>
              <w:t xml:space="preserve">Project Author</w:t>
            </w:r>
          </w:p>
        </w:tc>
        <w:tc>
          <w:tcPr/>
          <w:p>
            <w:pPr>
              <w:pStyle w:val="Compact"/>
              <w:jc w:val="left"/>
            </w:pPr>
            <w:r>
              <w:t xml:space="preserve">Recorded implementation decisions №10–12 in Appendix E (FR-6.5 client-side report export; FR-5.4 model listing via checkpoint-filename metadata; FR-5.6 API-key auth + per-client rate limiting). No change to scope or quality gate; no re-approval required per Appendix D.</w:t>
            </w:r>
          </w:p>
        </w:tc>
      </w:tr>
    </w:tbl>
    <w:bookmarkEnd w:id="20"/>
    <w:bookmarkStart w:id="21" w:name="approval"/>
    <w:p>
      <w:pPr>
        <w:pStyle w:val="Heading2"/>
      </w:pPr>
      <w:r>
        <w:t xml:space="preserve">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r>
      <w:tr>
        <w:tc>
          <w:tcPr/>
          <w:p>
            <w:pPr>
              <w:pStyle w:val="Compact"/>
              <w:jc w:val="left"/>
            </w:pPr>
            <w:r>
              <w:t xml:space="preserve">Project Owner</w:t>
            </w:r>
          </w:p>
        </w:tc>
        <w:tc>
          <w:tcPr/>
          <w:p>
            <w:pPr>
              <w:pStyle w:val="Compact"/>
            </w:pPr>
          </w:p>
        </w:tc>
        <w:tc>
          <w:tcPr/>
          <w:p>
            <w:pPr>
              <w:pStyle w:val="Compact"/>
            </w:pPr>
          </w:p>
        </w:tc>
        <w:tc>
          <w:tcPr/>
          <w:p>
            <w:pPr>
              <w:pStyle w:val="Compact"/>
            </w:pPr>
          </w:p>
        </w:tc>
      </w:tr>
      <w:tr>
        <w:tc>
          <w:tcPr/>
          <w:p>
            <w:pPr>
              <w:pStyle w:val="Compact"/>
              <w:jc w:val="left"/>
            </w:pPr>
            <w:r>
              <w:t xml:space="preserve">Technical Reviewer</w:t>
            </w:r>
          </w:p>
        </w:tc>
        <w:tc>
          <w:tcPr/>
          <w:p>
            <w:pPr>
              <w:pStyle w:val="Compact"/>
            </w:pPr>
          </w:p>
        </w:tc>
        <w:tc>
          <w:tcPr/>
          <w:p>
            <w:pPr>
              <w:pStyle w:val="Compact"/>
            </w:pPr>
          </w:p>
        </w:tc>
        <w:tc>
          <w:tcPr/>
          <w:p>
            <w:pPr>
              <w:pStyle w:val="Compact"/>
            </w:pPr>
          </w:p>
        </w:tc>
      </w:tr>
      <w:tr>
        <w:tc>
          <w:tcPr/>
          <w:p>
            <w:pPr>
              <w:pStyle w:val="Compact"/>
              <w:jc w:val="left"/>
            </w:pPr>
            <w:r>
              <w:t xml:space="preserve">Domain / Clinical Advisor</w:t>
            </w:r>
          </w:p>
        </w:tc>
        <w:tc>
          <w:tcPr/>
          <w:p>
            <w:pPr>
              <w:pStyle w:val="Compact"/>
            </w:pPr>
          </w:p>
        </w:tc>
        <w:tc>
          <w:tcPr/>
          <w:p>
            <w:pPr>
              <w:pStyle w:val="Compact"/>
            </w:pPr>
          </w:p>
        </w:tc>
        <w:tc>
          <w:tcPr/>
          <w:p>
            <w:pPr>
              <w:pStyle w:val="Compact"/>
            </w:pPr>
          </w:p>
        </w:tc>
      </w:tr>
    </w:tbl>
    <w:bookmarkEnd w:id="21"/>
    <w:bookmarkStart w:id="22" w:name="table-of-contents"/>
    <w:p>
      <w:pPr>
        <w:pStyle w:val="Heading2"/>
      </w:pPr>
      <w:r>
        <w:t xml:space="preserve">Table of Contents</w:t>
      </w:r>
    </w:p>
    <w:p>
      <w:pPr>
        <w:pStyle w:val="FirstParagraph"/>
      </w:pPr>
      <w:r>
        <w:t xml:space="preserve">1 Introduction — 1.1 Purpose · 1.2 Scope · 1.3 Audience · 1.4 Definitions · 1.5 References · 1.6 Overview</w:t>
      </w:r>
    </w:p>
    <w:p>
      <w:pPr>
        <w:pStyle w:val="BodyText"/>
      </w:pPr>
      <w:r>
        <w:t xml:space="preserve">2 Overall Description</w:t>
      </w:r>
    </w:p>
    <w:p>
      <w:pPr>
        <w:pStyle w:val="BodyText"/>
      </w:pPr>
      <w:r>
        <w:t xml:space="preserve">3 System Architecture</w:t>
      </w:r>
    </w:p>
    <w:p>
      <w:pPr>
        <w:pStyle w:val="BodyText"/>
      </w:pPr>
      <w:r>
        <w:t xml:space="preserve">4 Functional Requirements — 4.1–4.7 Data, Preprocessing, Training, Inference, API, Frontend, Monitoring modules</w:t>
      </w:r>
    </w:p>
    <w:p>
      <w:pPr>
        <w:pStyle w:val="BodyText"/>
      </w:pPr>
      <w:r>
        <w:t xml:space="preserve">5 Non-Functional Requirements</w:t>
      </w:r>
    </w:p>
    <w:p>
      <w:pPr>
        <w:pStyle w:val="BodyText"/>
      </w:pPr>
      <w:r>
        <w:t xml:space="preserve">6 External Interface Requirements</w:t>
      </w:r>
    </w:p>
    <w:p>
      <w:pPr>
        <w:pStyle w:val="BodyText"/>
      </w:pPr>
      <w:r>
        <w:t xml:space="preserve">7 Data Requirements</w:t>
      </w:r>
    </w:p>
    <w:p>
      <w:pPr>
        <w:pStyle w:val="BodyText"/>
      </w:pPr>
      <w:r>
        <w:t xml:space="preserve">8 Use Case Specifications</w:t>
      </w:r>
    </w:p>
    <w:p>
      <w:pPr>
        <w:pStyle w:val="BodyText"/>
      </w:pPr>
      <w:r>
        <w:t xml:space="preserve">9 Model &amp; Evaluation Requirements</w:t>
      </w:r>
    </w:p>
    <w:p>
      <w:pPr>
        <w:pStyle w:val="BodyText"/>
      </w:pPr>
      <w:r>
        <w:t xml:space="preserve">10 Deployment Architecture</w:t>
      </w:r>
    </w:p>
    <w:p>
      <w:pPr>
        <w:pStyle w:val="BodyText"/>
      </w:pPr>
      <w:r>
        <w:t xml:space="preserve">11 Testing Strategy</w:t>
      </w:r>
    </w:p>
    <w:p>
      <w:pPr>
        <w:pStyle w:val="BodyText"/>
      </w:pPr>
      <w:r>
        <w:t xml:space="preserve">12 Project Plan and Milestones</w:t>
      </w:r>
    </w:p>
    <w:p>
      <w:pPr>
        <w:pStyle w:val="BodyText"/>
      </w:pPr>
      <w:r>
        <w:t xml:space="preserve">13 Risk Analysis</w:t>
      </w:r>
    </w:p>
    <w:p>
      <w:pPr>
        <w:pStyle w:val="BodyText"/>
      </w:pPr>
      <w:r>
        <w:t xml:space="preserve">14 Ethical, Legal, and Regulatory Considerations</w:t>
      </w:r>
    </w:p>
    <w:p>
      <w:pPr>
        <w:pStyle w:val="BodyText"/>
      </w:pPr>
      <w:r>
        <w:t xml:space="preserve">15 Appendices</w:t>
      </w:r>
    </w:p>
    <w:bookmarkEnd w:id="22"/>
    <w:bookmarkStart w:id="29"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data, interface, and deployment requirements for the Medical Imaging Diagnostic Pipeline — an end-to-end system that performs automated brain tumor segmentation from multi-modal MRI scans using the BraTS (Brain Tumor Segmentation) dataset. The document is intended to serve as the single authoritative reference for design, implementation, testing, and deployment decisions throughout the project lifecycle.</w:t>
      </w:r>
    </w:p>
    <w:p>
      <w:pPr>
        <w:pStyle w:val="BodyText"/>
      </w:pPr>
      <w:r>
        <w:t xml:space="preserve">The system covers the full path from raw NIfTI MRI volumes to a deployed, containerized inference service with a web-based visualization front end, and is built to demonstrate production-grade engineering practices rather than a notebook-only prototype.</w:t>
      </w:r>
    </w:p>
    <w:bookmarkEnd w:id="23"/>
    <w:bookmarkStart w:id="24" w:name="scope"/>
    <w:p>
      <w:pPr>
        <w:pStyle w:val="Heading2"/>
      </w:pPr>
      <w:r>
        <w:t xml:space="preserve">1.2 Scope</w:t>
      </w:r>
    </w:p>
    <w:p>
      <w:pPr>
        <w:pStyle w:val="FirstParagraph"/>
      </w:pPr>
      <w:r>
        <w:t xml:space="preserve">The system, referred to throughout this document as the Pipeline, shall:</w:t>
      </w:r>
    </w:p>
    <w:p>
      <w:pPr>
        <w:numPr>
          <w:ilvl w:val="0"/>
          <w:numId w:val="1001"/>
        </w:numPr>
        <w:pStyle w:val="Compact"/>
      </w:pPr>
      <w:r>
        <w:t xml:space="preserve">Ingest and validate multi-modal MRI volumes (T1, T1ce, T2, FLAIR) in NIfTI format.</w:t>
      </w:r>
    </w:p>
    <w:p>
      <w:pPr>
        <w:numPr>
          <w:ilvl w:val="0"/>
          <w:numId w:val="1001"/>
        </w:numPr>
        <w:pStyle w:val="Compact"/>
      </w:pPr>
      <w:r>
        <w:t xml:space="preserve">Preprocess volumes through resampling, skull-stripping validation, intensity normalization, and patch extraction.</w:t>
      </w:r>
    </w:p>
    <w:p>
      <w:pPr>
        <w:numPr>
          <w:ilvl w:val="0"/>
          <w:numId w:val="1001"/>
        </w:numPr>
        <w:pStyle w:val="Compact"/>
      </w:pPr>
      <w:r>
        <w:t xml:space="preserve">Train and evaluate a 3D deep learning segmentation model (3D U-Net baseline, with an nnU-Net / Swin-UNETR extension path) to delineate tumor sub-regions: enhancing tumor (ET), tumor core (TC), and whole tumor (WT).</w:t>
      </w:r>
    </w:p>
    <w:p>
      <w:pPr>
        <w:numPr>
          <w:ilvl w:val="0"/>
          <w:numId w:val="1001"/>
        </w:numPr>
        <w:pStyle w:val="Compact"/>
      </w:pPr>
      <w:r>
        <w:t xml:space="preserve">Serve trained models through a versioned REST API for sliding-window inference on new scans.</w:t>
      </w:r>
    </w:p>
    <w:p>
      <w:pPr>
        <w:numPr>
          <w:ilvl w:val="0"/>
          <w:numId w:val="1001"/>
        </w:numPr>
        <w:pStyle w:val="Compact"/>
      </w:pPr>
      <w:r>
        <w:t xml:space="preserve">Provide a web interface for uploading scans, viewing slice-by-slice segmentation overlays, and downloading a structured report.</w:t>
      </w:r>
    </w:p>
    <w:p>
      <w:pPr>
        <w:numPr>
          <w:ilvl w:val="0"/>
          <w:numId w:val="1001"/>
        </w:numPr>
        <w:pStyle w:val="Compact"/>
      </w:pPr>
      <w:r>
        <w:t xml:space="preserve">Track experiments, version datasets and models, and expose operational monitoring (latency, throughput, input drift).</w:t>
      </w:r>
    </w:p>
    <w:p>
      <w:pPr>
        <w:numPr>
          <w:ilvl w:val="0"/>
          <w:numId w:val="1001"/>
        </w:numPr>
        <w:pStyle w:val="Compact"/>
      </w:pPr>
      <w:r>
        <w:t xml:space="preserve">Be packaged and deployed via Docker containers with a documented CI/CD pipeline.</w:t>
      </w:r>
    </w:p>
    <w:p>
      <w:pPr>
        <w:pStyle w:val="FirstParagraph"/>
      </w:pPr>
      <w:r>
        <w:t xml:space="preserve">Out of scope: real-time intraoperative imaging, integration with a hospital PACS/EHR system beyond a DICOM-import stub, and any claim of regulatory (FDA/CE) clearance. The system is explicitly a research and portfolio-grade pipeline — see Section 14, Ethical, Legal, and Regulatory Considerations.</w:t>
      </w:r>
    </w:p>
    <w:bookmarkEnd w:id="24"/>
    <w:bookmarkStart w:id="25" w:name="intended-audience"/>
    <w:p>
      <w:pPr>
        <w:pStyle w:val="Heading2"/>
      </w:pPr>
      <w:r>
        <w:t xml:space="preserve">1.3 Intended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Audience</w:t>
            </w:r>
          </w:p>
        </w:tc>
        <w:tc>
          <w:tcPr/>
          <w:p>
            <w:pPr>
              <w:pStyle w:val="Compact"/>
              <w:jc w:val="left"/>
            </w:pPr>
            <w:r>
              <w:rPr>
                <w:bCs/>
                <w:b/>
              </w:rPr>
              <w:t xml:space="preserve">Interest in this Document</w:t>
            </w:r>
          </w:p>
        </w:tc>
      </w:tr>
      <w:tr>
        <w:tc>
          <w:tcPr/>
          <w:p>
            <w:pPr>
              <w:pStyle w:val="Compact"/>
              <w:jc w:val="left"/>
            </w:pPr>
            <w:r>
              <w:t xml:space="preserve">ML / Software Engineer (you)</w:t>
            </w:r>
          </w:p>
        </w:tc>
        <w:tc>
          <w:tcPr/>
          <w:p>
            <w:pPr>
              <w:pStyle w:val="Compact"/>
              <w:jc w:val="left"/>
            </w:pPr>
            <w:r>
              <w:t xml:space="preserve">Primary implementer — uses this SRS as the build blueprint for every module.</w:t>
            </w:r>
          </w:p>
        </w:tc>
      </w:tr>
      <w:tr>
        <w:tc>
          <w:tcPr/>
          <w:p>
            <w:pPr>
              <w:pStyle w:val="Compact"/>
              <w:jc w:val="left"/>
            </w:pPr>
            <w:r>
              <w:t xml:space="preserve">Technical Reviewer / Mentor</w:t>
            </w:r>
          </w:p>
        </w:tc>
        <w:tc>
          <w:tcPr/>
          <w:p>
            <w:pPr>
              <w:pStyle w:val="Compact"/>
              <w:jc w:val="left"/>
            </w:pPr>
            <w:r>
              <w:t xml:space="preserve">Assesses architecture soundness, completeness, and engineering rigor.</w:t>
            </w:r>
          </w:p>
        </w:tc>
      </w:tr>
      <w:tr>
        <w:tc>
          <w:tcPr/>
          <w:p>
            <w:pPr>
              <w:pStyle w:val="Compact"/>
              <w:jc w:val="left"/>
            </w:pPr>
            <w:r>
              <w:t xml:space="preserve">Recruiters / Hiring Panels</w:t>
            </w:r>
          </w:p>
        </w:tc>
        <w:tc>
          <w:tcPr/>
          <w:p>
            <w:pPr>
              <w:pStyle w:val="Compact"/>
              <w:jc w:val="left"/>
            </w:pPr>
            <w:r>
              <w:t xml:space="preserve">Evaluates the project as a portfolio artifact demonstrating end-to-end capability.</w:t>
            </w:r>
          </w:p>
        </w:tc>
      </w:tr>
      <w:tr>
        <w:tc>
          <w:tcPr/>
          <w:p>
            <w:pPr>
              <w:pStyle w:val="Compact"/>
              <w:jc w:val="left"/>
            </w:pPr>
            <w:r>
              <w:t xml:space="preserve">Future Contributors</w:t>
            </w:r>
          </w:p>
        </w:tc>
        <w:tc>
          <w:tcPr/>
          <w:p>
            <w:pPr>
              <w:pStyle w:val="Compact"/>
              <w:jc w:val="left"/>
            </w:pPr>
            <w:r>
              <w:t xml:space="preserve">Onboards onto the codebase using the module boundaries defined here.</w:t>
            </w:r>
          </w:p>
        </w:tc>
      </w:tr>
    </w:tbl>
    <w:bookmarkEnd w:id="25"/>
    <w:bookmarkStart w:id="26" w:name="definitions-acronyms-and-abbreviations"/>
    <w:p>
      <w:pPr>
        <w:pStyle w:val="Heading2"/>
      </w:pPr>
      <w:r>
        <w:t xml:space="preserve">1.4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BraTS</w:t>
            </w:r>
          </w:p>
        </w:tc>
        <w:tc>
          <w:tcPr/>
          <w:p>
            <w:pPr>
              <w:pStyle w:val="Compact"/>
              <w:jc w:val="left"/>
            </w:pPr>
            <w:r>
              <w:t xml:space="preserve">Brain Tumor Segmentation benchmark dataset and challenge, multi-institutional multi-modal MRI with expert tumor annotations.</w:t>
            </w:r>
          </w:p>
        </w:tc>
      </w:tr>
      <w:tr>
        <w:tc>
          <w:tcPr/>
          <w:p>
            <w:pPr>
              <w:pStyle w:val="Compact"/>
              <w:jc w:val="left"/>
            </w:pPr>
            <w:r>
              <w:t xml:space="preserve">NIfTI</w:t>
            </w:r>
          </w:p>
        </w:tc>
        <w:tc>
          <w:tcPr/>
          <w:p>
            <w:pPr>
              <w:pStyle w:val="Compact"/>
              <w:jc w:val="left"/>
            </w:pPr>
            <w:r>
              <w:t xml:space="preserve">Neuroimaging Informatics Technology Initiative — .nii/.nii.gz volumetric medical image file format.</w:t>
            </w:r>
          </w:p>
        </w:tc>
      </w:tr>
      <w:tr>
        <w:tc>
          <w:tcPr/>
          <w:p>
            <w:pPr>
              <w:pStyle w:val="Compact"/>
              <w:jc w:val="left"/>
            </w:pPr>
            <w:r>
              <w:t xml:space="preserve">DICOM</w:t>
            </w:r>
          </w:p>
        </w:tc>
        <w:tc>
          <w:tcPr/>
          <w:p>
            <w:pPr>
              <w:pStyle w:val="Compact"/>
              <w:jc w:val="left"/>
            </w:pPr>
            <w:r>
              <w:t xml:space="preserve">Digital Imaging and Communications in Medicine — the clinical standard format for medical images.</w:t>
            </w:r>
          </w:p>
        </w:tc>
      </w:tr>
      <w:tr>
        <w:tc>
          <w:tcPr/>
          <w:p>
            <w:pPr>
              <w:pStyle w:val="Compact"/>
              <w:jc w:val="left"/>
            </w:pPr>
            <w:r>
              <w:t xml:space="preserve">MRI Modality (T1, T1ce, T2, FLAIR)</w:t>
            </w:r>
          </w:p>
        </w:tc>
        <w:tc>
          <w:tcPr/>
          <w:p>
            <w:pPr>
              <w:pStyle w:val="Compact"/>
              <w:jc w:val="left"/>
            </w:pPr>
            <w:r>
              <w:t xml:space="preserve">Four MRI sequences included per BraTS case; T1ce = post-contrast T1, FLAIR = fluid-attenuated inversion recovery.</w:t>
            </w:r>
          </w:p>
        </w:tc>
      </w:tr>
      <w:tr>
        <w:tc>
          <w:tcPr/>
          <w:p>
            <w:pPr>
              <w:pStyle w:val="Compact"/>
              <w:jc w:val="left"/>
            </w:pPr>
            <w:r>
              <w:t xml:space="preserve">ET / TC / WT</w:t>
            </w:r>
          </w:p>
        </w:tc>
        <w:tc>
          <w:tcPr/>
          <w:p>
            <w:pPr>
              <w:pStyle w:val="Compact"/>
              <w:jc w:val="left"/>
            </w:pPr>
            <w:r>
              <w:t xml:space="preserve">Enhancing Tumor / Tumor Core / Whole Tumor — the three overlapping tumor sub-region labels scored in BraTS.</w:t>
            </w:r>
          </w:p>
        </w:tc>
      </w:tr>
      <w:tr>
        <w:tc>
          <w:tcPr/>
          <w:p>
            <w:pPr>
              <w:pStyle w:val="Compact"/>
              <w:jc w:val="left"/>
            </w:pPr>
            <w:r>
              <w:t xml:space="preserve">Dice Coefficient</w:t>
            </w:r>
          </w:p>
        </w:tc>
        <w:tc>
          <w:tcPr/>
          <w:p>
            <w:pPr>
              <w:pStyle w:val="Compact"/>
              <w:jc w:val="left"/>
            </w:pPr>
            <w:r>
              <w:t xml:space="preserve">Overlap-based segmentation metric; 2×│A∩B│ / (│A│+│B│), range 0–1.</w:t>
            </w:r>
          </w:p>
        </w:tc>
      </w:tr>
      <w:tr>
        <w:tc>
          <w:tcPr/>
          <w:p>
            <w:pPr>
              <w:pStyle w:val="Compact"/>
              <w:jc w:val="left"/>
            </w:pPr>
            <w:r>
              <w:t xml:space="preserve">HD95</w:t>
            </w:r>
          </w:p>
        </w:tc>
        <w:tc>
          <w:tcPr/>
          <w:p>
            <w:pPr>
              <w:pStyle w:val="Compact"/>
              <w:jc w:val="left"/>
            </w:pPr>
            <w:r>
              <w:t xml:space="preserve">95th-percentile Hausdorff Distance — boundary-based segmentation error metric, in millimeters.</w:t>
            </w:r>
          </w:p>
        </w:tc>
      </w:tr>
      <w:tr>
        <w:tc>
          <w:tcPr/>
          <w:p>
            <w:pPr>
              <w:pStyle w:val="Compact"/>
              <w:jc w:val="left"/>
            </w:pPr>
            <w:r>
              <w:t xml:space="preserve">nnU-Net</w:t>
            </w:r>
          </w:p>
        </w:tc>
        <w:tc>
          <w:tcPr/>
          <w:p>
            <w:pPr>
              <w:pStyle w:val="Compact"/>
              <w:jc w:val="left"/>
            </w:pPr>
            <w:r>
              <w:t xml:space="preserve">Self-configuring U-Net framework that derives architecture and preprocessing from a dataset fingerprint.</w:t>
            </w:r>
          </w:p>
        </w:tc>
      </w:tr>
      <w:tr>
        <w:tc>
          <w:tcPr/>
          <w:p>
            <w:pPr>
              <w:pStyle w:val="Compact"/>
              <w:jc w:val="left"/>
            </w:pPr>
            <w:r>
              <w:t xml:space="preserve">Sliding-Window Inference</w:t>
            </w:r>
          </w:p>
        </w:tc>
        <w:tc>
          <w:tcPr/>
          <w:p>
            <w:pPr>
              <w:pStyle w:val="Compact"/>
              <w:jc w:val="left"/>
            </w:pPr>
            <w:r>
              <w:t xml:space="preserve">Technique for running a patch-trained model over a full volume by tiling overlapping patches.</w:t>
            </w:r>
          </w:p>
        </w:tc>
      </w:tr>
      <w:tr>
        <w:tc>
          <w:tcPr/>
          <w:p>
            <w:pPr>
              <w:pStyle w:val="Compact"/>
              <w:jc w:val="left"/>
            </w:pPr>
            <w:r>
              <w:t xml:space="preserve">ONNX</w:t>
            </w:r>
          </w:p>
        </w:tc>
        <w:tc>
          <w:tcPr/>
          <w:p>
            <w:pPr>
              <w:pStyle w:val="Compact"/>
              <w:jc w:val="left"/>
            </w:pPr>
            <w:r>
              <w:t xml:space="preserve">Open Neural Network Exchange — interoperable format for exporting trained models for inference.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PHI</w:t>
            </w:r>
          </w:p>
        </w:tc>
        <w:tc>
          <w:tcPr/>
          <w:p>
            <w:pPr>
              <w:pStyle w:val="Compact"/>
              <w:jc w:val="left"/>
            </w:pPr>
            <w:r>
              <w:t xml:space="preserve">Protected Health Information.</w:t>
            </w:r>
          </w:p>
        </w:tc>
      </w:tr>
    </w:tbl>
    <w:bookmarkEnd w:id="26"/>
    <w:bookmarkStart w:id="27" w:name="references"/>
    <w:p>
      <w:pPr>
        <w:pStyle w:val="Heading2"/>
      </w:pPr>
      <w:r>
        <w:t xml:space="preserve">1.5 References</w:t>
      </w:r>
    </w:p>
    <w:p>
      <w:pPr>
        <w:numPr>
          <w:ilvl w:val="0"/>
          <w:numId w:val="1002"/>
        </w:numPr>
        <w:pStyle w:val="Compact"/>
      </w:pPr>
      <w:r>
        <w:t xml:space="preserve">Menze, B. et al. </w:t>
      </w:r>
      <w:r>
        <w:t xml:space="preserve">“</w:t>
      </w:r>
      <w:r>
        <w:t xml:space="preserve">The Multimodal Brain Tumor Image Segmentation Benchmark (BraTS).</w:t>
      </w:r>
      <w:r>
        <w:t xml:space="preserve">”</w:t>
      </w:r>
      <w:r>
        <w:t xml:space="preserve"> </w:t>
      </w:r>
      <w:r>
        <w:t xml:space="preserve">IEEE Transactions on Medical Imaging, 2015.</w:t>
      </w:r>
    </w:p>
    <w:p>
      <w:pPr>
        <w:numPr>
          <w:ilvl w:val="0"/>
          <w:numId w:val="1002"/>
        </w:numPr>
        <w:pStyle w:val="Compact"/>
      </w:pPr>
      <w:r>
        <w:t xml:space="preserve">Baid, U. et al. </w:t>
      </w:r>
      <w:r>
        <w:t xml:space="preserve">“</w:t>
      </w:r>
      <w:r>
        <w:t xml:space="preserve">The RSNA-ASNR-MICCAI BraTS 2021 Benchmark on Brain Tumor Segmentation and Radiogenomic Classification.</w:t>
      </w:r>
      <w:r>
        <w:t xml:space="preserve">”</w:t>
      </w:r>
      <w:r>
        <w:t xml:space="preserve"> </w:t>
      </w:r>
      <w:r>
        <w:t xml:space="preserve">arXiv, 2021.</w:t>
      </w:r>
    </w:p>
    <w:p>
      <w:pPr>
        <w:numPr>
          <w:ilvl w:val="0"/>
          <w:numId w:val="1002"/>
        </w:numPr>
        <w:pStyle w:val="Compact"/>
      </w:pPr>
      <w:r>
        <w:t xml:space="preserve">Isensee, F. et al. </w:t>
      </w:r>
      <w:r>
        <w:t xml:space="preserve">“</w:t>
      </w:r>
      <w:r>
        <w:t xml:space="preserve">nnU-Net: a self-configuring method for deep learning-based biomedical image segmentation.</w:t>
      </w:r>
      <w:r>
        <w:t xml:space="preserve">”</w:t>
      </w:r>
      <w:r>
        <w:t xml:space="preserve"> </w:t>
      </w:r>
      <w:r>
        <w:t xml:space="preserve">Nature Methods, 2021.</w:t>
      </w:r>
    </w:p>
    <w:p>
      <w:pPr>
        <w:numPr>
          <w:ilvl w:val="0"/>
          <w:numId w:val="1002"/>
        </w:numPr>
        <w:pStyle w:val="Compact"/>
      </w:pPr>
      <w:r>
        <w:t xml:space="preserve">Ronneberger, O. et al. </w:t>
      </w:r>
      <w:r>
        <w:t xml:space="preserve">“</w:t>
      </w:r>
      <w:r>
        <w:t xml:space="preserve">U-Net: Convolutional Networks for Biomedical Image Segmentation.</w:t>
      </w:r>
      <w:r>
        <w:t xml:space="preserve">”</w:t>
      </w:r>
      <w:r>
        <w:t xml:space="preserve"> </w:t>
      </w:r>
      <w:r>
        <w:t xml:space="preserve">MICCAI, 2015.</w:t>
      </w:r>
    </w:p>
    <w:p>
      <w:pPr>
        <w:numPr>
          <w:ilvl w:val="0"/>
          <w:numId w:val="1002"/>
        </w:numPr>
        <w:pStyle w:val="Compact"/>
      </w:pPr>
      <w:r>
        <w:t xml:space="preserve">MONAI Consortium. MONAI: Medical Open Network for AI, documentation, https://monai.io</w:t>
      </w:r>
    </w:p>
    <w:p>
      <w:pPr>
        <w:numPr>
          <w:ilvl w:val="0"/>
          <w:numId w:val="1002"/>
        </w:numPr>
        <w:pStyle w:val="Compact"/>
      </w:pPr>
      <w:r>
        <w:t xml:space="preserve">IEEE Std 830-1998 — IEEE Recommended Practice for Software Requirements Specifications (structural reference for this document).</w:t>
      </w:r>
    </w:p>
    <w:p>
      <w:pPr>
        <w:pStyle w:val="FirstParagraph"/>
      </w:pPr>
      <w:r>
        <w:rPr>
          <w:iCs/>
          <w:i/>
        </w:rPr>
        <w:t xml:space="preserve">Note: this document is authored directly and does not itself contain hallucinated citations, but any future citations Claude adds when assisting on this project should be independently verified, as it does not have live database or search access unless explicitly used.</w:t>
      </w:r>
    </w:p>
    <w:bookmarkEnd w:id="27"/>
    <w:bookmarkStart w:id="28" w:name="document-overview"/>
    <w:p>
      <w:pPr>
        <w:pStyle w:val="Heading2"/>
      </w:pPr>
      <w:r>
        <w:t xml:space="preserve">1.6 Document Overview</w:t>
      </w:r>
    </w:p>
    <w:p>
      <w:pPr>
        <w:pStyle w:val="FirstParagraph"/>
      </w:pPr>
      <w:r>
        <w:t xml:space="preserve">Section 2 gives the overall product description. Section 3 defines system architecture. Section 4 specifies functional requirements by module. Section 5 lists non-functional requirements. Section 6 covers external interfaces. Section 7 details data requirements. Section 8 provides use case specifications. Section 9 covers model and evaluation requirements. Section 10 defines deployment architecture. Section 11 is the testing strategy. Section 12 is the project plan. Section 13 is risk analysis. Section 14 addresses ethical/legal/regulatory considerations. Section 15 contains appendices.</w:t>
      </w:r>
    </w:p>
    <w:bookmarkEnd w:id="28"/>
    <w:bookmarkEnd w:id="29"/>
    <w:bookmarkStart w:id="36" w:name="overall-description"/>
    <w:p>
      <w:pPr>
        <w:pStyle w:val="Heading1"/>
      </w:pPr>
      <w:r>
        <w:t xml:space="preserve">2 Overall Description</w:t>
      </w:r>
    </w:p>
    <w:bookmarkStart w:id="30" w:name="product-perspective"/>
    <w:p>
      <w:pPr>
        <w:pStyle w:val="Heading2"/>
      </w:pPr>
      <w:r>
        <w:t xml:space="preserve">2.1 Product Perspective</w:t>
      </w:r>
    </w:p>
    <w:p>
      <w:pPr>
        <w:pStyle w:val="FirstParagraph"/>
      </w:pPr>
      <w:r>
        <w:t xml:space="preserve">The Pipeline is a new, self-contained system composed of five layers: Data, Model, Serving, Application, and Operations. It is not a component of an existing product; it may optionally interface with an external PACS via a DICOM-import stub, but functions fully standalone against uploaded NIfTI files. The system is designed so each layer can be developed, tested, and deployed independently, and so the model layer can be swapped (U-Net → nnU-Net → Swin-UNETR) without changes to the serving or application layers.</w:t>
      </w:r>
    </w:p>
    <w:bookmarkEnd w:id="30"/>
    <w:bookmarkStart w:id="31" w:name="product-functions-summary"/>
    <w:p>
      <w:pPr>
        <w:pStyle w:val="Heading2"/>
      </w:pPr>
      <w:r>
        <w:t xml:space="preserve">2.2 Product Functions (Summary)</w:t>
      </w:r>
    </w:p>
    <w:p>
      <w:pPr>
        <w:numPr>
          <w:ilvl w:val="0"/>
          <w:numId w:val="1003"/>
        </w:numPr>
        <w:pStyle w:val="Compact"/>
      </w:pPr>
      <w:r>
        <w:t xml:space="preserve">Volume ingestion, validation, and standardization.</w:t>
      </w:r>
    </w:p>
    <w:p>
      <w:pPr>
        <w:numPr>
          <w:ilvl w:val="0"/>
          <w:numId w:val="1003"/>
        </w:numPr>
        <w:pStyle w:val="Compact"/>
      </w:pPr>
      <w:r>
        <w:t xml:space="preserve">Preprocessing: resampling, normalization, patch/crop extraction, augmentation (training only).</w:t>
      </w:r>
    </w:p>
    <w:p>
      <w:pPr>
        <w:numPr>
          <w:ilvl w:val="0"/>
          <w:numId w:val="1003"/>
        </w:numPr>
        <w:pStyle w:val="Compact"/>
      </w:pPr>
      <w:r>
        <w:t xml:space="preserve">Model training with checkpointing, cross-validation, and experiment tracking.</w:t>
      </w:r>
    </w:p>
    <w:p>
      <w:pPr>
        <w:numPr>
          <w:ilvl w:val="0"/>
          <w:numId w:val="1003"/>
        </w:numPr>
        <w:pStyle w:val="Compact"/>
      </w:pPr>
      <w:r>
        <w:t xml:space="preserve">Full-volume inference via sliding-window aggregation.</w:t>
      </w:r>
    </w:p>
    <w:p>
      <w:pPr>
        <w:numPr>
          <w:ilvl w:val="0"/>
          <w:numId w:val="1003"/>
        </w:numPr>
        <w:pStyle w:val="Compact"/>
      </w:pPr>
      <w:r>
        <w:t xml:space="preserve">Post-processing: largest-connected-component filtering, morphological cleanup, label re-mapping.</w:t>
      </w:r>
    </w:p>
    <w:p>
      <w:pPr>
        <w:numPr>
          <w:ilvl w:val="0"/>
          <w:numId w:val="1003"/>
        </w:numPr>
        <w:pStyle w:val="Compact"/>
      </w:pPr>
      <w:r>
        <w:t xml:space="preserve">Quantitative evaluation (Dice, HD95, sensitivity/specificity) and qualitative slice review.</w:t>
      </w:r>
    </w:p>
    <w:p>
      <w:pPr>
        <w:numPr>
          <w:ilvl w:val="0"/>
          <w:numId w:val="1003"/>
        </w:numPr>
        <w:pStyle w:val="Compact"/>
      </w:pPr>
      <w:r>
        <w:t xml:space="preserve">REST API for programmatic inference and batch jobs.</w:t>
      </w:r>
    </w:p>
    <w:p>
      <w:pPr>
        <w:numPr>
          <w:ilvl w:val="0"/>
          <w:numId w:val="1003"/>
        </w:numPr>
        <w:pStyle w:val="Compact"/>
      </w:pPr>
      <w:r>
        <w:t xml:space="preserve">Web viewer for upload, slice navigation, segmentation overlay, and PDF/JSON report export.</w:t>
      </w:r>
    </w:p>
    <w:p>
      <w:pPr>
        <w:numPr>
          <w:ilvl w:val="0"/>
          <w:numId w:val="1003"/>
        </w:numPr>
        <w:pStyle w:val="Compact"/>
      </w:pPr>
      <w:r>
        <w:t xml:space="preserve">Model and dataset versioning, drift monitoring, and logging.</w:t>
      </w:r>
    </w:p>
    <w:bookmarkEnd w:id="31"/>
    <w:bookmarkStart w:id="32"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Class</w:t>
            </w:r>
          </w:p>
        </w:tc>
        <w:tc>
          <w:tcPr/>
          <w:p>
            <w:pPr>
              <w:pStyle w:val="Compact"/>
              <w:jc w:val="left"/>
            </w:pPr>
            <w:r>
              <w:rPr>
                <w:bCs/>
                <w:b/>
              </w:rPr>
              <w:t xml:space="preserve">Description</w:t>
            </w:r>
          </w:p>
        </w:tc>
        <w:tc>
          <w:tcPr/>
          <w:p>
            <w:pPr>
              <w:pStyle w:val="Compact"/>
              <w:jc w:val="left"/>
            </w:pPr>
            <w:r>
              <w:rPr>
                <w:bCs/>
                <w:b/>
              </w:rPr>
              <w:t xml:space="preserve">Technical Level</w:t>
            </w:r>
          </w:p>
        </w:tc>
      </w:tr>
      <w:tr>
        <w:tc>
          <w:tcPr/>
          <w:p>
            <w:pPr>
              <w:pStyle w:val="Compact"/>
              <w:jc w:val="left"/>
            </w:pPr>
            <w:r>
              <w:t xml:space="preserve">ML Engineer / Maintainer</w:t>
            </w:r>
          </w:p>
        </w:tc>
        <w:tc>
          <w:tcPr/>
          <w:p>
            <w:pPr>
              <w:pStyle w:val="Compact"/>
              <w:jc w:val="left"/>
            </w:pPr>
            <w:r>
              <w:t xml:space="preserve">Trains, evaluates, versions and redeploys models; manages infrastructure.</w:t>
            </w:r>
          </w:p>
        </w:tc>
        <w:tc>
          <w:tcPr/>
          <w:p>
            <w:pPr>
              <w:pStyle w:val="Compact"/>
              <w:jc w:val="left"/>
            </w:pPr>
            <w:r>
              <w:t xml:space="preserve">Expert</w:t>
            </w:r>
          </w:p>
        </w:tc>
      </w:tr>
      <w:tr>
        <w:tc>
          <w:tcPr/>
          <w:p>
            <w:pPr>
              <w:pStyle w:val="Compact"/>
              <w:jc w:val="left"/>
            </w:pPr>
            <w:r>
              <w:t xml:space="preserve">API Consumer</w:t>
            </w:r>
          </w:p>
        </w:tc>
        <w:tc>
          <w:tcPr/>
          <w:p>
            <w:pPr>
              <w:pStyle w:val="Compact"/>
              <w:jc w:val="left"/>
            </w:pPr>
            <w:r>
              <w:t xml:space="preserve">External service or script calling the inference REST API programmatically.</w:t>
            </w:r>
          </w:p>
        </w:tc>
        <w:tc>
          <w:tcPr/>
          <w:p>
            <w:pPr>
              <w:pStyle w:val="Compact"/>
              <w:jc w:val="left"/>
            </w:pPr>
            <w:r>
              <w:t xml:space="preserve">Developer</w:t>
            </w:r>
          </w:p>
        </w:tc>
      </w:tr>
      <w:tr>
        <w:tc>
          <w:tcPr/>
          <w:p>
            <w:pPr>
              <w:pStyle w:val="Compact"/>
              <w:jc w:val="left"/>
            </w:pPr>
            <w:r>
              <w:t xml:space="preserve">Researcher / Reviewer</w:t>
            </w:r>
          </w:p>
        </w:tc>
        <w:tc>
          <w:tcPr/>
          <w:p>
            <w:pPr>
              <w:pStyle w:val="Compact"/>
              <w:jc w:val="left"/>
            </w:pPr>
            <w:r>
              <w:t xml:space="preserve">Uploads scans through the web viewer, inspects segmentation quality, exports reports.</w:t>
            </w:r>
          </w:p>
        </w:tc>
        <w:tc>
          <w:tcPr/>
          <w:p>
            <w:pPr>
              <w:pStyle w:val="Compact"/>
              <w:jc w:val="left"/>
            </w:pPr>
            <w:r>
              <w:t xml:space="preserve">Domain-technical, non-coder</w:t>
            </w:r>
          </w:p>
        </w:tc>
      </w:tr>
      <w:tr>
        <w:tc>
          <w:tcPr/>
          <w:p>
            <w:pPr>
              <w:pStyle w:val="Compact"/>
              <w:jc w:val="left"/>
            </w:pPr>
            <w:r>
              <w:t xml:space="preserve">Administrator</w:t>
            </w:r>
          </w:p>
        </w:tc>
        <w:tc>
          <w:tcPr/>
          <w:p>
            <w:pPr>
              <w:pStyle w:val="Compact"/>
              <w:jc w:val="left"/>
            </w:pPr>
            <w:r>
              <w:t xml:space="preserve">Manages users, model versions in the registry, and monitors system health.</w:t>
            </w:r>
          </w:p>
        </w:tc>
        <w:tc>
          <w:tcPr/>
          <w:p>
            <w:pPr>
              <w:pStyle w:val="Compact"/>
              <w:jc w:val="left"/>
            </w:pPr>
            <w:r>
              <w:t xml:space="preserve">Technical / DevOps</w:t>
            </w:r>
          </w:p>
        </w:tc>
      </w:tr>
    </w:tbl>
    <w:p>
      <w:pPr>
        <w:pStyle w:val="BodyText"/>
      </w:pPr>
      <w:r>
        <w:rPr>
          <w:bCs/>
          <w:b/>
        </w:rPr>
        <w:t xml:space="preserve">Note on clinical users:</w:t>
      </w:r>
      <w:r>
        <w:t xml:space="preserve"> </w:t>
      </w:r>
      <w:r>
        <w:t xml:space="preserve">The system does not define a</w:t>
      </w:r>
      <w:r>
        <w:t xml:space="preserve"> </w:t>
      </w:r>
      <w:r>
        <w:t xml:space="preserve">“</w:t>
      </w:r>
      <w:r>
        <w:t xml:space="preserve">clinician diagnosing a patient</w:t>
      </w:r>
      <w:r>
        <w:t xml:space="preserve">”</w:t>
      </w:r>
      <w:r>
        <w:t xml:space="preserve"> </w:t>
      </w:r>
      <w:r>
        <w:t xml:space="preserve">user class. It is explicitly a research/portfolio tool; see Section 14 for the required non-clinical-use disclaimer that must appear in the UI and API responses.</w:t>
      </w:r>
    </w:p>
    <w:bookmarkEnd w:id="32"/>
    <w:bookmarkStart w:id="33"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Environment</w:t>
            </w:r>
          </w:p>
        </w:tc>
      </w:tr>
      <w:tr>
        <w:tc>
          <w:tcPr/>
          <w:p>
            <w:pPr>
              <w:pStyle w:val="Compact"/>
              <w:jc w:val="left"/>
            </w:pPr>
            <w:r>
              <w:t xml:space="preserve">Training</w:t>
            </w:r>
          </w:p>
        </w:tc>
        <w:tc>
          <w:tcPr/>
          <w:p>
            <w:pPr>
              <w:pStyle w:val="Compact"/>
              <w:jc w:val="left"/>
            </w:pPr>
            <w:r>
              <w:t xml:space="preserve">Cloud free-tier GPU notebooks: Kaggle Notebooks (NVIDIA T4/P100, 16 GB VRAM, 30 GPU-hrs/week quota, 12-hr session limit) and/or Google Colab free tier (T4, 16 GB VRAM) as a supplement. No locally-owned GPU is assumed. Training is checkpoint-resume across multiple weekly-quota sessions rather than a single continuous run. CUDA 12.x, PyTorch 2.x, MONAI as provided by the platform image.</w:t>
            </w:r>
          </w:p>
        </w:tc>
      </w:tr>
      <w:tr>
        <w:tc>
          <w:tcPr/>
          <w:p>
            <w:pPr>
              <w:pStyle w:val="Compact"/>
              <w:jc w:val="left"/>
            </w:pPr>
            <w:r>
              <w:t xml:space="preserve">Inference serving</w:t>
            </w:r>
          </w:p>
        </w:tc>
        <w:tc>
          <w:tcPr/>
          <w:p>
            <w:pPr>
              <w:pStyle w:val="Compact"/>
              <w:jc w:val="left"/>
            </w:pPr>
            <w:r>
              <w:t xml:space="preserve">Docker container (CUDA-enabled base image), FastAPI + Uvicorn/Gunicorn, optionally NVIDIA Triton for multi-model serving; CPU-only fallback supported for environments without a GPU.</w:t>
            </w:r>
          </w:p>
        </w:tc>
      </w:tr>
      <w:tr>
        <w:tc>
          <w:tcPr/>
          <w:p>
            <w:pPr>
              <w:pStyle w:val="Compact"/>
              <w:jc w:val="left"/>
            </w:pPr>
            <w:r>
              <w:t xml:space="preserve">Frontend</w:t>
            </w:r>
          </w:p>
        </w:tc>
        <w:tc>
          <w:tcPr/>
          <w:p>
            <w:pPr>
              <w:pStyle w:val="Compact"/>
              <w:jc w:val="left"/>
            </w:pPr>
            <w:r>
              <w:t xml:space="preserve">Modern browser (Chrome, Edge, Firefox, Safari — last two major versions); served as a static SPA or Streamlit app.</w:t>
            </w:r>
          </w:p>
        </w:tc>
      </w:tr>
      <w:tr>
        <w:tc>
          <w:tcPr/>
          <w:p>
            <w:pPr>
              <w:pStyle w:val="Compact"/>
              <w:jc w:val="left"/>
            </w:pPr>
            <w:r>
              <w:t xml:space="preserve">Storage</w:t>
            </w:r>
          </w:p>
        </w:tc>
        <w:tc>
          <w:tcPr/>
          <w:p>
            <w:pPr>
              <w:pStyle w:val="Compact"/>
              <w:jc w:val="left"/>
            </w:pPr>
            <w:r>
              <w:t xml:space="preserve">Object storage (S3-compatible / MinIO) for raw &amp; processed volumes; PostgreSQL for metadata; DVC or MLflow model registry for artifacts.</w:t>
            </w:r>
          </w:p>
        </w:tc>
      </w:tr>
      <w:tr>
        <w:tc>
          <w:tcPr/>
          <w:p>
            <w:pPr>
              <w:pStyle w:val="Compact"/>
              <w:jc w:val="left"/>
            </w:pPr>
            <w:r>
              <w:t xml:space="preserve">CI/CD</w:t>
            </w:r>
          </w:p>
        </w:tc>
        <w:tc>
          <w:tcPr/>
          <w:p>
            <w:pPr>
              <w:pStyle w:val="Compact"/>
              <w:jc w:val="left"/>
            </w:pPr>
            <w:r>
              <w:t xml:space="preserve">GitHub Actions runners (Linux), Docker Buildx for multi-arch image builds.</w:t>
            </w:r>
          </w:p>
        </w:tc>
      </w:tr>
    </w:tbl>
    <w:bookmarkEnd w:id="33"/>
    <w:bookmarkStart w:id="34" w:name="design-and-implementation-constraints"/>
    <w:p>
      <w:pPr>
        <w:pStyle w:val="Heading2"/>
      </w:pPr>
      <w:r>
        <w:t xml:space="preserve">2.5 Design and Implementation Constraints</w:t>
      </w:r>
    </w:p>
    <w:p>
      <w:pPr>
        <w:numPr>
          <w:ilvl w:val="0"/>
          <w:numId w:val="1004"/>
        </w:numPr>
        <w:pStyle w:val="Compact"/>
      </w:pPr>
      <w:r>
        <w:t xml:space="preserve">Must use the official BraTS data license terms; raw data must not be redistributed.</w:t>
      </w:r>
    </w:p>
    <w:p>
      <w:pPr>
        <w:numPr>
          <w:ilvl w:val="0"/>
          <w:numId w:val="1004"/>
        </w:numPr>
        <w:pStyle w:val="Compact"/>
      </w:pPr>
      <w:r>
        <w:t xml:space="preserve">Patch-based 3D training is required — full BraTS volumes (240×240×155) will not fit in most single-GPU memory budgets at full resolution with a 3D U-Net, and must fit within a 16 GB T4-class free-tier GPU specifically.</w:t>
      </w:r>
    </w:p>
    <w:p>
      <w:pPr>
        <w:numPr>
          <w:ilvl w:val="0"/>
          <w:numId w:val="1004"/>
        </w:numPr>
        <w:pStyle w:val="Compact"/>
      </w:pPr>
      <w:r>
        <w:t xml:space="preserve">Patient-level (not slice/patch-level) splitting is mandatory to prevent data leakage across train/val/test.</w:t>
      </w:r>
    </w:p>
    <w:p>
      <w:pPr>
        <w:numPr>
          <w:ilvl w:val="0"/>
          <w:numId w:val="1004"/>
        </w:numPr>
        <w:pStyle w:val="Compact"/>
      </w:pPr>
      <w:r>
        <w:t xml:space="preserve">Inference latency budget: a full volume must complete sliding-window inference in a bounded time (see Section 5, Performance).</w:t>
      </w:r>
    </w:p>
    <w:p>
      <w:pPr>
        <w:numPr>
          <w:ilvl w:val="0"/>
          <w:numId w:val="1004"/>
        </w:numPr>
        <w:pStyle w:val="Compact"/>
      </w:pPr>
      <w:r>
        <w:t xml:space="preserve">All configuration must be code-defined (Hydra/YAML) — no undocumented hard-coded hyperparameters.</w:t>
      </w:r>
    </w:p>
    <w:p>
      <w:pPr>
        <w:numPr>
          <w:ilvl w:val="0"/>
          <w:numId w:val="1004"/>
        </w:numPr>
        <w:pStyle w:val="Compact"/>
      </w:pPr>
      <w:r>
        <w:t xml:space="preserve">Container images must be reproducible from a pinned lockfile (requirements.txt / poetry.lock).</w:t>
      </w:r>
    </w:p>
    <w:p>
      <w:pPr>
        <w:numPr>
          <w:ilvl w:val="0"/>
          <w:numId w:val="1004"/>
        </w:numPr>
        <w:pStyle w:val="Compact"/>
      </w:pPr>
      <w:r>
        <w:t xml:space="preserve">Training must be structured as checkpoint-resume, since free-tier notebook sessions (Kaggle: 12 hrs; Colab: variable, shorter) can end before a full training run completes — model weights, optimizer state, and epoch/step counters must be persisted at least once per epoch.</w:t>
      </w:r>
    </w:p>
    <w:p>
      <w:pPr>
        <w:numPr>
          <w:ilvl w:val="0"/>
          <w:numId w:val="1004"/>
        </w:numPr>
        <w:pStyle w:val="Compact"/>
      </w:pPr>
      <w:r>
        <w:t xml:space="preserve">Cross-validation scope (number of folds) and epoch budget must be sized to fit within Kaggle’s 30 GPU-hrs/week free quota, spread across multiple weekly sessions rather than a single continuous run.</w:t>
      </w:r>
    </w:p>
    <w:bookmarkEnd w:id="34"/>
    <w:bookmarkStart w:id="35" w:name="assumptions-and-dependencies"/>
    <w:p>
      <w:pPr>
        <w:pStyle w:val="Heading2"/>
      </w:pPr>
      <w:r>
        <w:t xml:space="preserve">2.6 Assumptions and Dependencies</w:t>
      </w:r>
    </w:p>
    <w:p>
      <w:pPr>
        <w:numPr>
          <w:ilvl w:val="0"/>
          <w:numId w:val="1005"/>
        </w:numPr>
        <w:pStyle w:val="Compact"/>
      </w:pPr>
      <w:r>
        <w:t xml:space="preserve">The BraTS dataset (2020/2021 or later release) is available under its research-use license and pre-registered access is obtained where required; it is assumed to be available as a mountable Kaggle public dataset, avoiding a separate large download.</w:t>
      </w:r>
    </w:p>
    <w:p>
      <w:pPr>
        <w:numPr>
          <w:ilvl w:val="0"/>
          <w:numId w:val="1005"/>
        </w:numPr>
        <w:pStyle w:val="Compact"/>
      </w:pPr>
      <w:r>
        <w:t xml:space="preserve">No locally-owned CUDA GPU is assumed. Training relies on free-tier cloud notebook GPUs (Kaggle T4/P100, Colab T4), each with weekly/session quotas; low-latency GPU inference in production is a separate, smaller-footprint requirement met by a deployed inference container (which may itself run CPU-only, slower, if no GPU is provisioned for serving).</w:t>
      </w:r>
    </w:p>
    <w:p>
      <w:pPr>
        <w:numPr>
          <w:ilvl w:val="0"/>
          <w:numId w:val="1005"/>
        </w:numPr>
        <w:pStyle w:val="Compact"/>
      </w:pPr>
      <w:r>
        <w:t xml:space="preserve">Open-source dependencies (PyTorch, MONAI, FastAPI, nibabel, SimpleITK) remain available and license-compatible with the project’s chosen license, and remain pre-installed or installable on Kaggle/Colab notebook images.</w:t>
      </w:r>
    </w:p>
    <w:p>
      <w:pPr>
        <w:numPr>
          <w:ilvl w:val="0"/>
          <w:numId w:val="1005"/>
        </w:numPr>
        <w:pStyle w:val="Compact"/>
      </w:pPr>
      <w:r>
        <w:t xml:space="preserve">Users uploading scans through the web viewer have de-identified the data themselves where required by their institution’s policy.</w:t>
      </w:r>
    </w:p>
    <w:p>
      <w:pPr>
        <w:numPr>
          <w:ilvl w:val="0"/>
          <w:numId w:val="1005"/>
        </w:numPr>
        <w:pStyle w:val="Compact"/>
      </w:pPr>
      <w:r>
        <w:t xml:space="preserve">Because training compute is quota-gated rather than continuously available, reported cross-validation results may use fewer folds (e.g. 3-fold instead of 5-fold) or a training subset, and this scope reduction shall be explicitly documented alongside reported metrics rather than presented as a full 5-fold result.</w:t>
      </w:r>
    </w:p>
    <w:bookmarkEnd w:id="35"/>
    <w:bookmarkEnd w:id="36"/>
    <w:bookmarkStart w:id="40" w:name="system-architecture"/>
    <w:p>
      <w:pPr>
        <w:pStyle w:val="Heading1"/>
      </w:pPr>
      <w:r>
        <w:t xml:space="preserve">3 System Architecture</w:t>
      </w:r>
    </w:p>
    <w:bookmarkStart w:id="37" w:name="high-level-architecture"/>
    <w:p>
      <w:pPr>
        <w:pStyle w:val="Heading2"/>
      </w:pPr>
      <w:r>
        <w:t xml:space="preserve">3.1 High-Level Architecture</w:t>
      </w:r>
    </w:p>
    <w:p>
      <w:pPr>
        <w:pStyle w:val="FirstParagraph"/>
      </w:pPr>
      <w:r>
        <w:t xml:space="preserve">The Pipeline is organized into five layers. Each layer communicates through well-defined interfaces (file formats, REST calls, or message queues) so that layers can be developed and scaled independently.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Responsibility</w:t>
            </w:r>
          </w:p>
        </w:tc>
        <w:tc>
          <w:tcPr/>
          <w:p>
            <w:pPr>
              <w:pStyle w:val="Compact"/>
              <w:jc w:val="left"/>
            </w:pPr>
            <w:r>
              <w:rPr>
                <w:bCs/>
                <w:b/>
              </w:rPr>
              <w:t xml:space="preserve">Key Technologies</w:t>
            </w:r>
          </w:p>
        </w:tc>
      </w:tr>
      <w:tr>
        <w:tc>
          <w:tcPr/>
          <w:p>
            <w:pPr>
              <w:pStyle w:val="Compact"/>
              <w:jc w:val="left"/>
            </w:pPr>
            <w:r>
              <w:t xml:space="preserve">1. Data Layer</w:t>
            </w:r>
          </w:p>
        </w:tc>
        <w:tc>
          <w:tcPr/>
          <w:p>
            <w:pPr>
              <w:pStyle w:val="Compact"/>
              <w:jc w:val="left"/>
            </w:pPr>
            <w:r>
              <w:t xml:space="preserve">Ingest, validate, preprocess, version raw and processed MRI volumes.</w:t>
            </w:r>
          </w:p>
        </w:tc>
        <w:tc>
          <w:tcPr/>
          <w:p>
            <w:pPr>
              <w:pStyle w:val="Compact"/>
              <w:jc w:val="left"/>
            </w:pPr>
            <w:r>
              <w:t xml:space="preserve">nibabel, SimpleITK, MONAI transforms, DVC</w:t>
            </w:r>
          </w:p>
        </w:tc>
      </w:tr>
      <w:tr>
        <w:tc>
          <w:tcPr/>
          <w:p>
            <w:pPr>
              <w:pStyle w:val="Compact"/>
              <w:jc w:val="left"/>
            </w:pPr>
            <w:r>
              <w:t xml:space="preserve">2. Model Layer</w:t>
            </w:r>
          </w:p>
        </w:tc>
        <w:tc>
          <w:tcPr/>
          <w:p>
            <w:pPr>
              <w:pStyle w:val="Compact"/>
              <w:jc w:val="left"/>
            </w:pPr>
            <w:r>
              <w:t xml:space="preserve">Train, validate, and version segmentation models.</w:t>
            </w:r>
          </w:p>
        </w:tc>
        <w:tc>
          <w:tcPr/>
          <w:p>
            <w:pPr>
              <w:pStyle w:val="Compact"/>
              <w:jc w:val="left"/>
            </w:pPr>
            <w:r>
              <w:t xml:space="preserve">PyTorch, MONAI, nnU-Net, Weights &amp; Biases</w:t>
            </w:r>
          </w:p>
        </w:tc>
      </w:tr>
      <w:tr>
        <w:tc>
          <w:tcPr/>
          <w:p>
            <w:pPr>
              <w:pStyle w:val="Compact"/>
              <w:jc w:val="left"/>
            </w:pPr>
            <w:r>
              <w:t xml:space="preserve">3. Serving Layer</w:t>
            </w:r>
          </w:p>
        </w:tc>
        <w:tc>
          <w:tcPr/>
          <w:p>
            <w:pPr>
              <w:pStyle w:val="Compact"/>
              <w:jc w:val="left"/>
            </w:pPr>
            <w:r>
              <w:t xml:space="preserve">Load a versioned model and expose inference via REST; run sliding-window inference and post-processing.</w:t>
            </w:r>
          </w:p>
        </w:tc>
        <w:tc>
          <w:tcPr/>
          <w:p>
            <w:pPr>
              <w:pStyle w:val="Compact"/>
              <w:jc w:val="left"/>
            </w:pPr>
            <w:r>
              <w:t xml:space="preserve">FastAPI, ONNX Runtime / TorchScript, Triton (optional)</w:t>
            </w:r>
          </w:p>
        </w:tc>
      </w:tr>
      <w:tr>
        <w:tc>
          <w:tcPr/>
          <w:p>
            <w:pPr>
              <w:pStyle w:val="Compact"/>
              <w:jc w:val="left"/>
            </w:pPr>
            <w:r>
              <w:t xml:space="preserve">4. Application Layer</w:t>
            </w:r>
          </w:p>
        </w:tc>
        <w:tc>
          <w:tcPr/>
          <w:p>
            <w:pPr>
              <w:pStyle w:val="Compact"/>
              <w:jc w:val="left"/>
            </w:pPr>
            <w:r>
              <w:t xml:space="preserve">Web UI for upload, visualization, and report export.</w:t>
            </w:r>
          </w:p>
        </w:tc>
        <w:tc>
          <w:tcPr/>
          <w:p>
            <w:pPr>
              <w:pStyle w:val="Compact"/>
              <w:jc w:val="left"/>
            </w:pPr>
            <w:r>
              <w:t xml:space="preserve">React + Cornerstone.js/OHIF, or Streamlit for an MVP</w:t>
            </w:r>
          </w:p>
        </w:tc>
      </w:tr>
      <w:tr>
        <w:tc>
          <w:tcPr/>
          <w:p>
            <w:pPr>
              <w:pStyle w:val="Compact"/>
              <w:jc w:val="left"/>
            </w:pPr>
            <w:r>
              <w:t xml:space="preserve">5. Operations Layer</w:t>
            </w:r>
          </w:p>
        </w:tc>
        <w:tc>
          <w:tcPr/>
          <w:p>
            <w:pPr>
              <w:pStyle w:val="Compact"/>
              <w:jc w:val="left"/>
            </w:pPr>
            <w:r>
              <w:t xml:space="preserve">CI/CD, containerization, monitoring, logging, drift detection.</w:t>
            </w:r>
          </w:p>
        </w:tc>
        <w:tc>
          <w:tcPr/>
          <w:p>
            <w:pPr>
              <w:pStyle w:val="Compact"/>
              <w:jc w:val="left"/>
            </w:pPr>
            <w:r>
              <w:t xml:space="preserve">Docker, GitHub Actions, Prometheus/Grafana</w:t>
            </w:r>
          </w:p>
        </w:tc>
      </w:tr>
    </w:tbl>
    <w:bookmarkEnd w:id="37"/>
    <w:bookmarkStart w:id="38" w:name="data-flow"/>
    <w:p>
      <w:pPr>
        <w:pStyle w:val="Heading2"/>
      </w:pPr>
      <w:r>
        <w:t xml:space="preserve">3.2 Data Flow</w:t>
      </w:r>
    </w:p>
    <w:p>
      <w:pPr>
        <w:numPr>
          <w:ilvl w:val="0"/>
          <w:numId w:val="1006"/>
        </w:numPr>
        <w:pStyle w:val="Compact"/>
      </w:pPr>
      <w:r>
        <w:t xml:space="preserve">A user or batch job uploads a case’s four MRI modalities (or an already-preprocessed NIfTI set) via the API/UI.</w:t>
      </w:r>
    </w:p>
    <w:p>
      <w:pPr>
        <w:numPr>
          <w:ilvl w:val="0"/>
          <w:numId w:val="1006"/>
        </w:numPr>
        <w:pStyle w:val="Compact"/>
      </w:pPr>
      <w:r>
        <w:t xml:space="preserve">The Data Layer validates modality completeness, orientation, and spacing; it standardizes orientation to RAS and resamples to 1 mm³ isotropic spacing.</w:t>
      </w:r>
    </w:p>
    <w:p>
      <w:pPr>
        <w:numPr>
          <w:ilvl w:val="0"/>
          <w:numId w:val="1006"/>
        </w:numPr>
        <w:pStyle w:val="Compact"/>
      </w:pPr>
      <w:r>
        <w:t xml:space="preserve">Intensity normalization (per-modality z-score, clipped to the 0.5–99.5 percentile) is applied.</w:t>
      </w:r>
    </w:p>
    <w:p>
      <w:pPr>
        <w:numPr>
          <w:ilvl w:val="0"/>
          <w:numId w:val="1006"/>
        </w:numPr>
        <w:pStyle w:val="Compact"/>
      </w:pPr>
      <w:r>
        <w:t xml:space="preserve">The Serving Layer runs sliding-window inference (patch size 128×128×128, 50% overlap, Gaussian-weighted blending) using the currently promoted model version.</w:t>
      </w:r>
    </w:p>
    <w:p>
      <w:pPr>
        <w:numPr>
          <w:ilvl w:val="0"/>
          <w:numId w:val="1006"/>
        </w:numPr>
        <w:pStyle w:val="Compact"/>
      </w:pPr>
      <w:r>
        <w:t xml:space="preserve">Post-processing removes small disconnected components below a volume threshold and re-maps the three overlapping regions to the four BraTS output labels (background, NCR/NET, edema, enhancing tumor).</w:t>
      </w:r>
    </w:p>
    <w:p>
      <w:pPr>
        <w:numPr>
          <w:ilvl w:val="0"/>
          <w:numId w:val="1006"/>
        </w:numPr>
        <w:pStyle w:val="Compact"/>
      </w:pPr>
      <w:r>
        <w:t xml:space="preserve">Results (segmentation mask, per-region volumes, confidence summary (rev. 1.1: mean winning-class softmax probability within each predicted region; 0 for absent regions)) are returned to the caller and persisted with a run ID.</w:t>
      </w:r>
    </w:p>
    <w:p>
      <w:pPr>
        <w:numPr>
          <w:ilvl w:val="0"/>
          <w:numId w:val="1006"/>
        </w:numPr>
        <w:pStyle w:val="Compact"/>
      </w:pPr>
      <w:r>
        <w:t xml:space="preserve">The Application Layer renders slice-by-slice overlays and lets the user export a PDF/JSON report.</w:t>
      </w:r>
    </w:p>
    <w:p>
      <w:pPr>
        <w:numPr>
          <w:ilvl w:val="0"/>
          <w:numId w:val="1006"/>
        </w:numPr>
        <w:pStyle w:val="Compact"/>
      </w:pPr>
      <w:r>
        <w:t xml:space="preserve">The Operations Layer logs latency, input statistics, and model version for every inference call, feeding the drift-monitoring dashboard.</w:t>
      </w:r>
    </w:p>
    <w:bookmarkEnd w:id="38"/>
    <w:bookmarkStart w:id="39" w:name="deployment-topology-conceptual"/>
    <w:p>
      <w:pPr>
        <w:pStyle w:val="Heading2"/>
      </w:pPr>
      <w:r>
        <w:t xml:space="preserve">3.3 Deployment Topology (Conceptual)</w:t>
      </w:r>
    </w:p>
    <w:p>
      <w:pPr>
        <w:pStyle w:val="FirstParagraph"/>
      </w:pPr>
      <w:r>
        <w:t xml:space="preserve">Client (browser) → Reverse proxy / API Gateway → FastAPI inference service (containerized, GPU node) → Model Registry (reads promoted model) and Object Storage (reads/writes volumes and results) → Monitoring stack (Prometheus scraping the API, Grafana dashboards, alerting on latency and drift thresholds). Training runs on a separate GPU environment (local workstation, cloud GPU instance, or a scheduled CI job) and publishes new model versions to the registry, decoupled from the always-on serving path.</w:t>
      </w:r>
    </w:p>
    <w:bookmarkEnd w:id="39"/>
    <w:bookmarkEnd w:id="40"/>
    <w:bookmarkStart w:id="48" w:name="functional-requirements"/>
    <w:p>
      <w:pPr>
        <w:pStyle w:val="Heading1"/>
      </w:pPr>
      <w:r>
        <w:t xml:space="preserve">4 Functional Requirements</w:t>
      </w:r>
    </w:p>
    <w:p>
      <w:pPr>
        <w:pStyle w:val="FirstParagraph"/>
      </w:pPr>
      <w:r>
        <w:t xml:space="preserve">Requirements are grouped by module and prioritized as Must (M — required for MVP), Should (S — required for the production-grade version), or Could (C — stretch goal).</w:t>
      </w:r>
    </w:p>
    <w:bookmarkStart w:id="41" w:name="data-ingestion-module"/>
    <w:p>
      <w:pPr>
        <w:pStyle w:val="Heading2"/>
      </w:pPr>
      <w:r>
        <w:t xml:space="preserve">4.1 Data Ingestion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FR-1.1</w:t>
            </w:r>
          </w:p>
        </w:tc>
        <w:tc>
          <w:tcPr/>
          <w:p>
            <w:pPr>
              <w:pStyle w:val="Compact"/>
              <w:jc w:val="left"/>
            </w:pPr>
            <w:r>
              <w:t xml:space="preserve">The system shall accept upload of NIfTI (.nii/.nii.gz) files for the four BraTS modalities: T1, T1ce, T2, FLAIR.</w:t>
            </w:r>
          </w:p>
        </w:tc>
        <w:tc>
          <w:tcPr/>
          <w:p>
            <w:pPr>
              <w:pStyle w:val="Compact"/>
              <w:jc w:val="left"/>
            </w:pPr>
            <w:r>
              <w:t xml:space="preserve">M</w:t>
            </w:r>
          </w:p>
        </w:tc>
      </w:tr>
      <w:tr>
        <w:tc>
          <w:tcPr/>
          <w:p>
            <w:pPr>
              <w:pStyle w:val="Compact"/>
              <w:jc w:val="left"/>
            </w:pPr>
            <w:r>
              <w:t xml:space="preserve">FR-1.2</w:t>
            </w:r>
          </w:p>
        </w:tc>
        <w:tc>
          <w:tcPr/>
          <w:p>
            <w:pPr>
              <w:pStyle w:val="Compact"/>
              <w:jc w:val="left"/>
            </w:pPr>
            <w:r>
              <w:t xml:space="preserve">The system shall validate that all four modalities are present, co-registered (matching affine/shape), and non-corrupt before accepting a case.</w:t>
            </w:r>
          </w:p>
        </w:tc>
        <w:tc>
          <w:tcPr/>
          <w:p>
            <w:pPr>
              <w:pStyle w:val="Compact"/>
              <w:jc w:val="left"/>
            </w:pPr>
            <w:r>
              <w:t xml:space="preserve">M</w:t>
            </w:r>
          </w:p>
        </w:tc>
      </w:tr>
      <w:tr>
        <w:tc>
          <w:tcPr/>
          <w:p>
            <w:pPr>
              <w:pStyle w:val="Compact"/>
              <w:jc w:val="left"/>
            </w:pPr>
            <w:r>
              <w:t xml:space="preserve">FR-1.3</w:t>
            </w:r>
          </w:p>
        </w:tc>
        <w:tc>
          <w:tcPr/>
          <w:p>
            <w:pPr>
              <w:pStyle w:val="Compact"/>
              <w:jc w:val="left"/>
            </w:pPr>
            <w:r>
              <w:t xml:space="preserve">The system shall reject and report, with a specific error code, any upload with missing modalities, mismatched dimensions, or unreadable headers.</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The system shall optionally accept a DICOM series and convert it to NIfTI via a documented conversion stub (dcm2niix).</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The system shall assign a unique case ID and persist the raw upload to versioned object storage before any processing begins.</w:t>
            </w:r>
          </w:p>
        </w:tc>
        <w:tc>
          <w:tcPr/>
          <w:p>
            <w:pPr>
              <w:pStyle w:val="Compact"/>
              <w:jc w:val="left"/>
            </w:pPr>
            <w:r>
              <w:t xml:space="preserve">M</w:t>
            </w:r>
          </w:p>
        </w:tc>
      </w:tr>
    </w:tbl>
    <w:bookmarkEnd w:id="41"/>
    <w:bookmarkStart w:id="42" w:name="preprocessing-module"/>
    <w:p>
      <w:pPr>
        <w:pStyle w:val="Heading2"/>
      </w:pPr>
      <w:r>
        <w:t xml:space="preserve">4.2 Preprocessing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FR-2.1</w:t>
            </w:r>
          </w:p>
        </w:tc>
        <w:tc>
          <w:tcPr/>
          <w:p>
            <w:pPr>
              <w:pStyle w:val="Compact"/>
              <w:jc w:val="left"/>
            </w:pPr>
            <w:r>
              <w:t xml:space="preserve">The system shall reorient all volumes to a standard RAS orientation.</w:t>
            </w:r>
          </w:p>
        </w:tc>
        <w:tc>
          <w:tcPr/>
          <w:p>
            <w:pPr>
              <w:pStyle w:val="Compact"/>
              <w:jc w:val="left"/>
            </w:pPr>
            <w:r>
              <w:t xml:space="preserve">M</w:t>
            </w:r>
          </w:p>
        </w:tc>
      </w:tr>
      <w:tr>
        <w:tc>
          <w:tcPr/>
          <w:p>
            <w:pPr>
              <w:pStyle w:val="Compact"/>
              <w:jc w:val="left"/>
            </w:pPr>
            <w:r>
              <w:t xml:space="preserve">FR-2.2</w:t>
            </w:r>
          </w:p>
        </w:tc>
        <w:tc>
          <w:tcPr/>
          <w:p>
            <w:pPr>
              <w:pStyle w:val="Compact"/>
              <w:jc w:val="left"/>
            </w:pPr>
            <w:r>
              <w:t xml:space="preserve">The system shall resample all modalities to 1 mm³ isotropic spacing using linear interpolation for intensities and nearest-neighbor for any label map.</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The system shall apply per-modality z-score normalization after clipping intensities to the 0.5–99.5 percentile range.</w:t>
            </w:r>
          </w:p>
        </w:tc>
        <w:tc>
          <w:tcPr/>
          <w:p>
            <w:pPr>
              <w:pStyle w:val="Compact"/>
              <w:jc w:val="left"/>
            </w:pPr>
            <w:r>
              <w:t xml:space="preserve">M</w:t>
            </w:r>
          </w:p>
        </w:tc>
      </w:tr>
      <w:tr>
        <w:tc>
          <w:tcPr/>
          <w:p>
            <w:pPr>
              <w:pStyle w:val="Compact"/>
              <w:jc w:val="left"/>
            </w:pPr>
            <w:r>
              <w:t xml:space="preserve">FR-2.4</w:t>
            </w:r>
          </w:p>
        </w:tc>
        <w:tc>
          <w:tcPr/>
          <w:p>
            <w:pPr>
              <w:pStyle w:val="Compact"/>
              <w:jc w:val="left"/>
            </w:pPr>
            <w:r>
              <w:t xml:space="preserve">During training, the system shall extract foreground-oversampled 3D patches (default 128³) with a configurable positive:negative sampling ratio.</w:t>
            </w:r>
          </w:p>
        </w:tc>
        <w:tc>
          <w:tcPr/>
          <w:p>
            <w:pPr>
              <w:pStyle w:val="Compact"/>
              <w:jc w:val="left"/>
            </w:pPr>
            <w:r>
              <w:t xml:space="preserve">M</w:t>
            </w:r>
          </w:p>
        </w:tc>
      </w:tr>
      <w:tr>
        <w:tc>
          <w:tcPr/>
          <w:p>
            <w:pPr>
              <w:pStyle w:val="Compact"/>
              <w:jc w:val="left"/>
            </w:pPr>
            <w:r>
              <w:t xml:space="preserve">FR-2.5</w:t>
            </w:r>
          </w:p>
        </w:tc>
        <w:tc>
          <w:tcPr/>
          <w:p>
            <w:pPr>
              <w:pStyle w:val="Compact"/>
              <w:jc w:val="left"/>
            </w:pPr>
            <w:r>
              <w:t xml:space="preserve">During training, the system shall apply stochastic augmentations: random flip (all 3 axes), random rotation, elastic deformation, intensity gamma jitter, and Gaussian noise.</w:t>
            </w:r>
          </w:p>
        </w:tc>
        <w:tc>
          <w:tcPr/>
          <w:p>
            <w:pPr>
              <w:pStyle w:val="Compact"/>
              <w:jc w:val="left"/>
            </w:pPr>
            <w:r>
              <w:t xml:space="preserve">S</w:t>
            </w:r>
          </w:p>
        </w:tc>
      </w:tr>
      <w:tr>
        <w:tc>
          <w:tcPr/>
          <w:p>
            <w:pPr>
              <w:pStyle w:val="Compact"/>
              <w:jc w:val="left"/>
            </w:pPr>
            <w:r>
              <w:t xml:space="preserve">FR-2.6</w:t>
            </w:r>
          </w:p>
        </w:tc>
        <w:tc>
          <w:tcPr/>
          <w:p>
            <w:pPr>
              <w:pStyle w:val="Compact"/>
              <w:jc w:val="left"/>
            </w:pPr>
            <w:r>
              <w:t xml:space="preserve">The system shall log the exact preprocessing configuration (as a versioned config file) alongside every processed dataset artifact.</w:t>
            </w:r>
          </w:p>
        </w:tc>
        <w:tc>
          <w:tcPr/>
          <w:p>
            <w:pPr>
              <w:pStyle w:val="Compact"/>
              <w:jc w:val="left"/>
            </w:pPr>
            <w:r>
              <w:t xml:space="preserve">M</w:t>
            </w:r>
          </w:p>
        </w:tc>
      </w:tr>
    </w:tbl>
    <w:bookmarkEnd w:id="42"/>
    <w:bookmarkStart w:id="43" w:name="model-training-module"/>
    <w:p>
      <w:pPr>
        <w:pStyle w:val="Heading2"/>
      </w:pPr>
      <w:r>
        <w:t xml:space="preserve">4.3 Model Training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FR-3.1</w:t>
            </w:r>
          </w:p>
        </w:tc>
        <w:tc>
          <w:tcPr/>
          <w:p>
            <w:pPr>
              <w:pStyle w:val="Compact"/>
              <w:jc w:val="left"/>
            </w:pPr>
            <w:r>
              <w:t xml:space="preserve">The system shall train a 3D U-Net baseline model on the preprocessed patches using a combined Dice + Cross-Entropy loss.</w:t>
            </w:r>
          </w:p>
        </w:tc>
        <w:tc>
          <w:tcPr/>
          <w:p>
            <w:pPr>
              <w:pStyle w:val="Compact"/>
              <w:jc w:val="left"/>
            </w:pPr>
            <w:r>
              <w:t xml:space="preserve">M</w:t>
            </w:r>
          </w:p>
        </w:tc>
      </w:tr>
      <w:tr>
        <w:tc>
          <w:tcPr/>
          <w:p>
            <w:pPr>
              <w:pStyle w:val="Compact"/>
              <w:jc w:val="left"/>
            </w:pPr>
            <w:r>
              <w:t xml:space="preserve">FR-3.2</w:t>
            </w:r>
          </w:p>
        </w:tc>
        <w:tc>
          <w:tcPr/>
          <w:p>
            <w:pPr>
              <w:pStyle w:val="Compact"/>
              <w:jc w:val="left"/>
            </w:pPr>
            <w:r>
              <w:t xml:space="preserve">The system shall support 5-fold patient-level cross-validation with configurable fold assignment.</w:t>
            </w:r>
          </w:p>
        </w:tc>
        <w:tc>
          <w:tcPr/>
          <w:p>
            <w:pPr>
              <w:pStyle w:val="Compact"/>
              <w:jc w:val="left"/>
            </w:pPr>
            <w:r>
              <w:t xml:space="preserve">M</w:t>
            </w:r>
          </w:p>
        </w:tc>
      </w:tr>
      <w:tr>
        <w:tc>
          <w:tcPr/>
          <w:p>
            <w:pPr>
              <w:pStyle w:val="Compact"/>
              <w:jc w:val="left"/>
            </w:pPr>
            <w:r>
              <w:t xml:space="preserve">FR-3.3</w:t>
            </w:r>
          </w:p>
        </w:tc>
        <w:tc>
          <w:tcPr/>
          <w:p>
            <w:pPr>
              <w:pStyle w:val="Compact"/>
              <w:jc w:val="left"/>
            </w:pPr>
            <w:r>
              <w:t xml:space="preserve">The system shall checkpoint model weights on every epoch with improved validation Dice and retain the top-K checkpoints.</w:t>
            </w:r>
          </w:p>
        </w:tc>
        <w:tc>
          <w:tcPr/>
          <w:p>
            <w:pPr>
              <w:pStyle w:val="Compact"/>
              <w:jc w:val="left"/>
            </w:pPr>
            <w:r>
              <w:t xml:space="preserve">M</w:t>
            </w:r>
          </w:p>
        </w:tc>
      </w:tr>
      <w:tr>
        <w:tc>
          <w:tcPr/>
          <w:p>
            <w:pPr>
              <w:pStyle w:val="Compact"/>
              <w:jc w:val="left"/>
            </w:pPr>
            <w:r>
              <w:t xml:space="preserve">FR-3.4</w:t>
            </w:r>
          </w:p>
        </w:tc>
        <w:tc>
          <w:tcPr/>
          <w:p>
            <w:pPr>
              <w:pStyle w:val="Compact"/>
              <w:jc w:val="left"/>
            </w:pPr>
            <w:r>
              <w:t xml:space="preserve">The system shall log training/validation loss, per-region Dice, and learning rate to an experiment tracker (Weights &amp; Biases (pinned per rev. 1.1; MLflow references elsewhere are superseded)) for every run.</w:t>
            </w:r>
          </w:p>
        </w:tc>
        <w:tc>
          <w:tcPr/>
          <w:p>
            <w:pPr>
              <w:pStyle w:val="Compact"/>
              <w:jc w:val="left"/>
            </w:pPr>
            <w:r>
              <w:t xml:space="preserve">M</w:t>
            </w:r>
          </w:p>
        </w:tc>
      </w:tr>
      <w:tr>
        <w:tc>
          <w:tcPr/>
          <w:p>
            <w:pPr>
              <w:pStyle w:val="Compact"/>
              <w:jc w:val="left"/>
            </w:pPr>
            <w:r>
              <w:t xml:space="preserve">FR-3.5</w:t>
            </w:r>
          </w:p>
        </w:tc>
        <w:tc>
          <w:tcPr/>
          <w:p>
            <w:pPr>
              <w:pStyle w:val="Compact"/>
              <w:jc w:val="left"/>
            </w:pPr>
            <w:r>
              <w:t xml:space="preserve">The system shall support mixed-precision (AMP) training and configurable gradient accumulation.</w:t>
            </w:r>
          </w:p>
        </w:tc>
        <w:tc>
          <w:tcPr/>
          <w:p>
            <w:pPr>
              <w:pStyle w:val="Compact"/>
              <w:jc w:val="left"/>
            </w:pPr>
            <w:r>
              <w:t xml:space="preserve">S</w:t>
            </w:r>
          </w:p>
        </w:tc>
      </w:tr>
      <w:tr>
        <w:tc>
          <w:tcPr/>
          <w:p>
            <w:pPr>
              <w:pStyle w:val="Compact"/>
              <w:jc w:val="left"/>
            </w:pPr>
            <w:r>
              <w:t xml:space="preserve">FR-3.6</w:t>
            </w:r>
          </w:p>
        </w:tc>
        <w:tc>
          <w:tcPr/>
          <w:p>
            <w:pPr>
              <w:pStyle w:val="Compact"/>
              <w:jc w:val="left"/>
            </w:pPr>
            <w:r>
              <w:t xml:space="preserve">The system shall provide an nnU-Net-based training path as an alternative/benchmark model, using nnU-Net’s automatic configuration.</w:t>
            </w:r>
          </w:p>
        </w:tc>
        <w:tc>
          <w:tcPr/>
          <w:p>
            <w:pPr>
              <w:pStyle w:val="Compact"/>
              <w:jc w:val="left"/>
            </w:pPr>
            <w:r>
              <w:t xml:space="preserve">S</w:t>
            </w:r>
          </w:p>
        </w:tc>
      </w:tr>
      <w:tr>
        <w:tc>
          <w:tcPr/>
          <w:p>
            <w:pPr>
              <w:pStyle w:val="Compact"/>
              <w:jc w:val="left"/>
            </w:pPr>
            <w:r>
              <w:t xml:space="preserve">FR-3.7</w:t>
            </w:r>
          </w:p>
        </w:tc>
        <w:tc>
          <w:tcPr/>
          <w:p>
            <w:pPr>
              <w:pStyle w:val="Compact"/>
              <w:jc w:val="left"/>
            </w:pPr>
            <w:r>
              <w:t xml:space="preserve">The system shall support resuming training from any saved checkpoint without loss of optimizer state.</w:t>
            </w:r>
          </w:p>
        </w:tc>
        <w:tc>
          <w:tcPr/>
          <w:p>
            <w:pPr>
              <w:pStyle w:val="Compact"/>
              <w:jc w:val="left"/>
            </w:pPr>
            <w:r>
              <w:t xml:space="preserve">S</w:t>
            </w:r>
          </w:p>
        </w:tc>
      </w:tr>
      <w:tr>
        <w:tc>
          <w:tcPr/>
          <w:p>
            <w:pPr>
              <w:pStyle w:val="Compact"/>
              <w:jc w:val="left"/>
            </w:pPr>
            <w:r>
              <w:t xml:space="preserve">FR-3.8</w:t>
            </w:r>
          </w:p>
        </w:tc>
        <w:tc>
          <w:tcPr/>
          <w:p>
            <w:pPr>
              <w:pStyle w:val="Compact"/>
              <w:jc w:val="left"/>
            </w:pPr>
            <w:r>
              <w:t xml:space="preserve">The system shall register a completed training run’s best checkpoint, config, and metrics as a versioned model artifact in the model registry.</w:t>
            </w:r>
          </w:p>
        </w:tc>
        <w:tc>
          <w:tcPr/>
          <w:p>
            <w:pPr>
              <w:pStyle w:val="Compact"/>
              <w:jc w:val="left"/>
            </w:pPr>
            <w:r>
              <w:t xml:space="preserve">M</w:t>
            </w:r>
          </w:p>
        </w:tc>
      </w:tr>
    </w:tbl>
    <w:bookmarkEnd w:id="43"/>
    <w:bookmarkStart w:id="44" w:name="inference-module"/>
    <w:p>
      <w:pPr>
        <w:pStyle w:val="Heading2"/>
      </w:pPr>
      <w:r>
        <w:t xml:space="preserve">4.4 Inference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FR-4.1</w:t>
            </w:r>
          </w:p>
        </w:tc>
        <w:tc>
          <w:tcPr/>
          <w:p>
            <w:pPr>
              <w:pStyle w:val="Compact"/>
              <w:jc w:val="left"/>
            </w:pPr>
            <w:r>
              <w:t xml:space="preserve">The system shall run sliding-window inference over a full preprocessed volume using a configurable patch size and overlap ratio.</w:t>
            </w:r>
          </w:p>
        </w:tc>
        <w:tc>
          <w:tcPr/>
          <w:p>
            <w:pPr>
              <w:pStyle w:val="Compact"/>
              <w:jc w:val="left"/>
            </w:pPr>
            <w:r>
              <w:t xml:space="preserve">M</w:t>
            </w:r>
          </w:p>
        </w:tc>
      </w:tr>
      <w:tr>
        <w:tc>
          <w:tcPr/>
          <w:p>
            <w:pPr>
              <w:pStyle w:val="Compact"/>
              <w:jc w:val="left"/>
            </w:pPr>
            <w:r>
              <w:t xml:space="preserve">FR-4.2</w:t>
            </w:r>
          </w:p>
        </w:tc>
        <w:tc>
          <w:tcPr/>
          <w:p>
            <w:pPr>
              <w:pStyle w:val="Compact"/>
              <w:jc w:val="left"/>
            </w:pPr>
            <w:r>
              <w:t xml:space="preserve">The system shall blend overlapping patch predictions using Gaussian-weighted averaging to avoid tiling artifacts.</w:t>
            </w:r>
          </w:p>
        </w:tc>
        <w:tc>
          <w:tcPr/>
          <w:p>
            <w:pPr>
              <w:pStyle w:val="Compact"/>
              <w:jc w:val="left"/>
            </w:pPr>
            <w:r>
              <w:t xml:space="preserve">M</w:t>
            </w:r>
          </w:p>
        </w:tc>
      </w:tr>
      <w:tr>
        <w:tc>
          <w:tcPr/>
          <w:p>
            <w:pPr>
              <w:pStyle w:val="Compact"/>
              <w:jc w:val="left"/>
            </w:pPr>
            <w:r>
              <w:t xml:space="preserve">FR-4.3</w:t>
            </w:r>
          </w:p>
        </w:tc>
        <w:tc>
          <w:tcPr/>
          <w:p>
            <w:pPr>
              <w:pStyle w:val="Compact"/>
              <w:jc w:val="left"/>
            </w:pPr>
            <w:r>
              <w:t xml:space="preserve">The system shall apply post-processing: removal of connected components below a configurable voxel-volume threshold, and morphological hole-filling.</w:t>
            </w:r>
          </w:p>
        </w:tc>
        <w:tc>
          <w:tcPr/>
          <w:p>
            <w:pPr>
              <w:pStyle w:val="Compact"/>
              <w:jc w:val="left"/>
            </w:pPr>
            <w:r>
              <w:t xml:space="preserve">M</w:t>
            </w:r>
          </w:p>
        </w:tc>
      </w:tr>
      <w:tr>
        <w:tc>
          <w:tcPr/>
          <w:p>
            <w:pPr>
              <w:pStyle w:val="Compact"/>
              <w:jc w:val="left"/>
            </w:pPr>
            <w:r>
              <w:t xml:space="preserve">FR-4.4</w:t>
            </w:r>
          </w:p>
        </w:tc>
        <w:tc>
          <w:tcPr/>
          <w:p>
            <w:pPr>
              <w:pStyle w:val="Compact"/>
              <w:jc w:val="left"/>
            </w:pPr>
            <w:r>
              <w:t xml:space="preserve">The system shall re-map internal overlapping-region predictions to the four canonical BraTS output labels and compute per-label voxel/volume counts (mm³).</w:t>
            </w:r>
          </w:p>
        </w:tc>
        <w:tc>
          <w:tcPr/>
          <w:p>
            <w:pPr>
              <w:pStyle w:val="Compact"/>
              <w:jc w:val="left"/>
            </w:pPr>
            <w:r>
              <w:t xml:space="preserve">M</w:t>
            </w:r>
          </w:p>
        </w:tc>
      </w:tr>
      <w:tr>
        <w:tc>
          <w:tcPr/>
          <w:p>
            <w:pPr>
              <w:pStyle w:val="Compact"/>
              <w:jc w:val="left"/>
            </w:pPr>
            <w:r>
              <w:t xml:space="preserve">FR-4.5</w:t>
            </w:r>
          </w:p>
        </w:tc>
        <w:tc>
          <w:tcPr/>
          <w:p>
            <w:pPr>
              <w:pStyle w:val="Compact"/>
              <w:jc w:val="left"/>
            </w:pPr>
            <w:r>
              <w:t xml:space="preserve">The system shall return, per inference call, the segmentation mask (NIfTI), a summary JSON (volumes, confidence, model version, processing time), and optionally a rendered overlay preview image.</w:t>
            </w:r>
          </w:p>
        </w:tc>
        <w:tc>
          <w:tcPr/>
          <w:p>
            <w:pPr>
              <w:pStyle w:val="Compact"/>
              <w:jc w:val="left"/>
            </w:pPr>
            <w:r>
              <w:t xml:space="preserve">M</w:t>
            </w:r>
          </w:p>
        </w:tc>
      </w:tr>
      <w:tr>
        <w:tc>
          <w:tcPr/>
          <w:p>
            <w:pPr>
              <w:pStyle w:val="Compact"/>
              <w:jc w:val="left"/>
            </w:pPr>
            <w:r>
              <w:t xml:space="preserve">FR-4.6</w:t>
            </w:r>
          </w:p>
        </w:tc>
        <w:tc>
          <w:tcPr/>
          <w:p>
            <w:pPr>
              <w:pStyle w:val="Compact"/>
              <w:jc w:val="left"/>
            </w:pPr>
            <w:r>
              <w:t xml:space="preserve">The system shall support batch inference over a directory or list of case IDs.</w:t>
            </w:r>
          </w:p>
        </w:tc>
        <w:tc>
          <w:tcPr/>
          <w:p>
            <w:pPr>
              <w:pStyle w:val="Compact"/>
              <w:jc w:val="left"/>
            </w:pPr>
            <w:r>
              <w:t xml:space="preserve">C</w:t>
            </w:r>
          </w:p>
        </w:tc>
      </w:tr>
    </w:tbl>
    <w:bookmarkEnd w:id="44"/>
    <w:bookmarkStart w:id="45" w:name="api-backend-module"/>
    <w:p>
      <w:pPr>
        <w:pStyle w:val="Heading2"/>
      </w:pPr>
      <w:r>
        <w:t xml:space="preserve">4.5 API / Backend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FR-5.1</w:t>
            </w:r>
          </w:p>
        </w:tc>
        <w:tc>
          <w:tcPr/>
          <w:p>
            <w:pPr>
              <w:pStyle w:val="Compact"/>
              <w:jc w:val="left"/>
            </w:pPr>
            <w:r>
              <w:t xml:space="preserve">The system shall expose a REST endpoint POST /v1/cases to upload a new case and receive a case ID.</w:t>
            </w:r>
          </w:p>
        </w:tc>
        <w:tc>
          <w:tcPr/>
          <w:p>
            <w:pPr>
              <w:pStyle w:val="Compact"/>
              <w:jc w:val="left"/>
            </w:pPr>
            <w:r>
              <w:t xml:space="preserve">M</w:t>
            </w:r>
          </w:p>
        </w:tc>
      </w:tr>
      <w:tr>
        <w:tc>
          <w:tcPr/>
          <w:p>
            <w:pPr>
              <w:pStyle w:val="Compact"/>
              <w:jc w:val="left"/>
            </w:pPr>
            <w:r>
              <w:t xml:space="preserve">FR-5.2</w:t>
            </w:r>
          </w:p>
        </w:tc>
        <w:tc>
          <w:tcPr/>
          <w:p>
            <w:pPr>
              <w:pStyle w:val="Compact"/>
              <w:jc w:val="left"/>
            </w:pPr>
            <w:r>
              <w:t xml:space="preserve">The system shall expose POST /v1/cases/{id}/infer to trigger inference against a specified or default-promoted model version.</w:t>
            </w:r>
          </w:p>
        </w:tc>
        <w:tc>
          <w:tcPr/>
          <w:p>
            <w:pPr>
              <w:pStyle w:val="Compact"/>
              <w:jc w:val="left"/>
            </w:pPr>
            <w:r>
              <w:t xml:space="preserve">M</w:t>
            </w:r>
          </w:p>
        </w:tc>
      </w:tr>
      <w:tr>
        <w:tc>
          <w:tcPr/>
          <w:p>
            <w:pPr>
              <w:pStyle w:val="Compact"/>
              <w:jc w:val="left"/>
            </w:pPr>
            <w:r>
              <w:t xml:space="preserve">FR-5.3</w:t>
            </w:r>
          </w:p>
        </w:tc>
        <w:tc>
          <w:tcPr/>
          <w:p>
            <w:pPr>
              <w:pStyle w:val="Compact"/>
              <w:jc w:val="left"/>
            </w:pPr>
            <w:r>
              <w:t xml:space="preserve">The system shall expose GET /v1/cases/{id}/result to retrieve inference status and results.</w:t>
            </w:r>
          </w:p>
        </w:tc>
        <w:tc>
          <w:tcPr/>
          <w:p>
            <w:pPr>
              <w:pStyle w:val="Compact"/>
              <w:jc w:val="left"/>
            </w:pPr>
            <w:r>
              <w:t xml:space="preserve">M</w:t>
            </w:r>
          </w:p>
        </w:tc>
      </w:tr>
      <w:tr>
        <w:tc>
          <w:tcPr/>
          <w:p>
            <w:pPr>
              <w:pStyle w:val="Compact"/>
              <w:jc w:val="left"/>
            </w:pPr>
            <w:r>
              <w:t xml:space="preserve">FR-5.4</w:t>
            </w:r>
          </w:p>
        </w:tc>
        <w:tc>
          <w:tcPr/>
          <w:p>
            <w:pPr>
              <w:pStyle w:val="Compact"/>
              <w:jc w:val="left"/>
            </w:pPr>
            <w:r>
              <w:t xml:space="preserve">The system shall expose GET /v1/models to list available model versions with their validation metrics.</w:t>
            </w:r>
          </w:p>
        </w:tc>
        <w:tc>
          <w:tcPr/>
          <w:p>
            <w:pPr>
              <w:pStyle w:val="Compact"/>
              <w:jc w:val="left"/>
            </w:pPr>
            <w:r>
              <w:t xml:space="preserve">S</w:t>
            </w:r>
          </w:p>
        </w:tc>
      </w:tr>
      <w:tr>
        <w:tc>
          <w:tcPr/>
          <w:p>
            <w:pPr>
              <w:pStyle w:val="Compact"/>
              <w:jc w:val="left"/>
            </w:pPr>
            <w:r>
              <w:t xml:space="preserve">FR-5.5</w:t>
            </w:r>
          </w:p>
        </w:tc>
        <w:tc>
          <w:tcPr/>
          <w:p>
            <w:pPr>
              <w:pStyle w:val="Compact"/>
              <w:jc w:val="left"/>
            </w:pPr>
            <w:r>
              <w:t xml:space="preserve">The system shall version the API (path-prefixed, e.g. /v1/) and maintain backward compatibility within a major version.</w:t>
            </w:r>
          </w:p>
        </w:tc>
        <w:tc>
          <w:tcPr/>
          <w:p>
            <w:pPr>
              <w:pStyle w:val="Compact"/>
              <w:jc w:val="left"/>
            </w:pPr>
            <w:r>
              <w:t xml:space="preserve">M</w:t>
            </w:r>
          </w:p>
        </w:tc>
      </w:tr>
      <w:tr>
        <w:tc>
          <w:tcPr/>
          <w:p>
            <w:pPr>
              <w:pStyle w:val="Compact"/>
              <w:jc w:val="left"/>
            </w:pPr>
            <w:r>
              <w:t xml:space="preserve">FR-5.6</w:t>
            </w:r>
          </w:p>
        </w:tc>
        <w:tc>
          <w:tcPr/>
          <w:p>
            <w:pPr>
              <w:pStyle w:val="Compact"/>
              <w:jc w:val="left"/>
            </w:pPr>
            <w:r>
              <w:t xml:space="preserve">The system shall authenticate API requests via API key or bearer token and rate-limit per client.</w:t>
            </w:r>
          </w:p>
        </w:tc>
        <w:tc>
          <w:tcPr/>
          <w:p>
            <w:pPr>
              <w:pStyle w:val="Compact"/>
              <w:jc w:val="left"/>
            </w:pPr>
            <w:r>
              <w:t xml:space="preserve">S</w:t>
            </w:r>
          </w:p>
        </w:tc>
      </w:tr>
      <w:tr>
        <w:tc>
          <w:tcPr/>
          <w:p>
            <w:pPr>
              <w:pStyle w:val="Compact"/>
              <w:jc w:val="left"/>
            </w:pPr>
            <w:r>
              <w:t xml:space="preserve">FR-5.7</w:t>
            </w:r>
          </w:p>
        </w:tc>
        <w:tc>
          <w:tcPr/>
          <w:p>
            <w:pPr>
              <w:pStyle w:val="Compact"/>
              <w:jc w:val="left"/>
            </w:pPr>
            <w:r>
              <w:t xml:space="preserve">The system shall return structured error responses (error code, human-readable message, correlation ID) for all failure paths.</w:t>
            </w:r>
          </w:p>
        </w:tc>
        <w:tc>
          <w:tcPr/>
          <w:p>
            <w:pPr>
              <w:pStyle w:val="Compact"/>
              <w:jc w:val="left"/>
            </w:pPr>
            <w:r>
              <w:t xml:space="preserve">M</w:t>
            </w:r>
          </w:p>
        </w:tc>
      </w:tr>
    </w:tbl>
    <w:bookmarkEnd w:id="45"/>
    <w:bookmarkStart w:id="46" w:name="frontend-visualization-module"/>
    <w:p>
      <w:pPr>
        <w:pStyle w:val="Heading2"/>
      </w:pPr>
      <w:r>
        <w:t xml:space="preserve">4.6 Frontend / Visualization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FR-6.1</w:t>
            </w:r>
          </w:p>
        </w:tc>
        <w:tc>
          <w:tcPr/>
          <w:p>
            <w:pPr>
              <w:pStyle w:val="Compact"/>
              <w:jc w:val="left"/>
            </w:pPr>
            <w:r>
              <w:t xml:space="preserve">The system shall let a user drag-and-drop or select four modality files (or a case archive) for upload.</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The system shall display upload/processing/inference progress with clear status states.</w:t>
            </w:r>
          </w:p>
        </w:tc>
        <w:tc>
          <w:tcPr/>
          <w:p>
            <w:pPr>
              <w:pStyle w:val="Compact"/>
              <w:jc w:val="left"/>
            </w:pPr>
            <w:r>
              <w:t xml:space="preserve">M</w:t>
            </w:r>
          </w:p>
        </w:tc>
      </w:tr>
      <w:tr>
        <w:tc>
          <w:tcPr/>
          <w:p>
            <w:pPr>
              <w:pStyle w:val="Compact"/>
              <w:jc w:val="left"/>
            </w:pPr>
            <w:r>
              <w:t xml:space="preserve">FR-6.3</w:t>
            </w:r>
          </w:p>
        </w:tc>
        <w:tc>
          <w:tcPr/>
          <w:p>
            <w:pPr>
              <w:pStyle w:val="Compact"/>
              <w:jc w:val="left"/>
            </w:pPr>
            <w:r>
              <w:t xml:space="preserve">The system shall render an axial/coronal/sagittal slice viewer with a scroll/slider control and a segmentation-mask overlay toggle per label.</w:t>
            </w:r>
          </w:p>
        </w:tc>
        <w:tc>
          <w:tcPr/>
          <w:p>
            <w:pPr>
              <w:pStyle w:val="Compact"/>
              <w:jc w:val="left"/>
            </w:pPr>
            <w:r>
              <w:t xml:space="preserve">M</w:t>
            </w:r>
          </w:p>
        </w:tc>
      </w:tr>
      <w:tr>
        <w:tc>
          <w:tcPr/>
          <w:p>
            <w:pPr>
              <w:pStyle w:val="Compact"/>
              <w:jc w:val="left"/>
            </w:pPr>
            <w:r>
              <w:t xml:space="preserve">FR-6.4</w:t>
            </w:r>
          </w:p>
        </w:tc>
        <w:tc>
          <w:tcPr/>
          <w:p>
            <w:pPr>
              <w:pStyle w:val="Compact"/>
              <w:jc w:val="left"/>
            </w:pPr>
            <w:r>
              <w:t xml:space="preserve">The system shall display per-region volumes (ET, TC, WT in cm³) and the active model version alongside the viewer.</w:t>
            </w:r>
          </w:p>
        </w:tc>
        <w:tc>
          <w:tcPr/>
          <w:p>
            <w:pPr>
              <w:pStyle w:val="Compact"/>
              <w:jc w:val="left"/>
            </w:pPr>
            <w:r>
              <w:t xml:space="preserve">M</w:t>
            </w:r>
          </w:p>
        </w:tc>
      </w:tr>
      <w:tr>
        <w:tc>
          <w:tcPr/>
          <w:p>
            <w:pPr>
              <w:pStyle w:val="Compact"/>
              <w:jc w:val="left"/>
            </w:pPr>
            <w:r>
              <w:t xml:space="preserve">FR-6.5</w:t>
            </w:r>
          </w:p>
        </w:tc>
        <w:tc>
          <w:tcPr/>
          <w:p>
            <w:pPr>
              <w:pStyle w:val="Compact"/>
              <w:jc w:val="left"/>
            </w:pPr>
            <w:r>
              <w:t xml:space="preserve">The system shall let the user export a PDF or JSON report summarizing the case, volumes, and a slice-overlay snapshot.</w:t>
            </w:r>
          </w:p>
        </w:tc>
        <w:tc>
          <w:tcPr/>
          <w:p>
            <w:pPr>
              <w:pStyle w:val="Compact"/>
              <w:jc w:val="left"/>
            </w:pPr>
            <w:r>
              <w:t xml:space="preserve">S</w:t>
            </w:r>
          </w:p>
        </w:tc>
      </w:tr>
      <w:tr>
        <w:tc>
          <w:tcPr/>
          <w:p>
            <w:pPr>
              <w:pStyle w:val="Compact"/>
              <w:jc w:val="left"/>
            </w:pPr>
            <w:r>
              <w:t xml:space="preserve">FR-6.6</w:t>
            </w:r>
          </w:p>
        </w:tc>
        <w:tc>
          <w:tcPr/>
          <w:p>
            <w:pPr>
              <w:pStyle w:val="Compact"/>
              <w:jc w:val="left"/>
            </w:pPr>
            <w:r>
              <w:t xml:space="preserve">The system shall display the non-clinical-use disclaimer (Section 14) on every results view.</w:t>
            </w:r>
          </w:p>
        </w:tc>
        <w:tc>
          <w:tcPr/>
          <w:p>
            <w:pPr>
              <w:pStyle w:val="Compact"/>
              <w:jc w:val="left"/>
            </w:pPr>
            <w:r>
              <w:t xml:space="preserve">M</w:t>
            </w:r>
          </w:p>
        </w:tc>
      </w:tr>
    </w:tbl>
    <w:bookmarkEnd w:id="46"/>
    <w:bookmarkStart w:id="47" w:name="monitoring-logging-governance-module"/>
    <w:p>
      <w:pPr>
        <w:pStyle w:val="Heading2"/>
      </w:pPr>
      <w:r>
        <w:t xml:space="preserve">4.7 Monitoring, Logging &amp; Governance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FR-7.1</w:t>
            </w:r>
          </w:p>
        </w:tc>
        <w:tc>
          <w:tcPr/>
          <w:p>
            <w:pPr>
              <w:pStyle w:val="Compact"/>
              <w:jc w:val="left"/>
            </w:pPr>
            <w:r>
              <w:t xml:space="preserve">The system shall log every inference request’s latency, input volume shape/spacing, and model version used.</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The system shall compute and expose summary input-intensity statistics per request to support drift detection against the training distribution.</w:t>
            </w:r>
          </w:p>
        </w:tc>
        <w:tc>
          <w:tcPr/>
          <w:p>
            <w:pPr>
              <w:pStyle w:val="Compact"/>
              <w:jc w:val="left"/>
            </w:pPr>
            <w:r>
              <w:t xml:space="preserve">S</w:t>
            </w:r>
          </w:p>
        </w:tc>
      </w:tr>
      <w:tr>
        <w:tc>
          <w:tcPr/>
          <w:p>
            <w:pPr>
              <w:pStyle w:val="Compact"/>
              <w:jc w:val="left"/>
            </w:pPr>
            <w:r>
              <w:t xml:space="preserve">FR-7.3</w:t>
            </w:r>
          </w:p>
        </w:tc>
        <w:tc>
          <w:tcPr/>
          <w:p>
            <w:pPr>
              <w:pStyle w:val="Compact"/>
              <w:jc w:val="left"/>
            </w:pPr>
            <w:r>
              <w:t xml:space="preserve">The system shall alert (via dashboard threshold or webhook) when p95 inference latency or input-drift score exceeds a configured threshold.</w:t>
            </w:r>
          </w:p>
        </w:tc>
        <w:tc>
          <w:tcPr/>
          <w:p>
            <w:pPr>
              <w:pStyle w:val="Compact"/>
              <w:jc w:val="left"/>
            </w:pPr>
            <w:r>
              <w:t xml:space="preserve">S</w:t>
            </w:r>
          </w:p>
        </w:tc>
      </w:tr>
      <w:tr>
        <w:tc>
          <w:tcPr/>
          <w:p>
            <w:pPr>
              <w:pStyle w:val="Compact"/>
              <w:jc w:val="left"/>
            </w:pPr>
            <w:r>
              <w:t xml:space="preserve">FR-7.4</w:t>
            </w:r>
          </w:p>
        </w:tc>
        <w:tc>
          <w:tcPr/>
          <w:p>
            <w:pPr>
              <w:pStyle w:val="Compact"/>
              <w:jc w:val="left"/>
            </w:pPr>
            <w:r>
              <w:t xml:space="preserve">The system shall maintain an immutable audit log of model promotions (which version became the default, when, and by whom).</w:t>
            </w:r>
          </w:p>
        </w:tc>
        <w:tc>
          <w:tcPr/>
          <w:p>
            <w:pPr>
              <w:pStyle w:val="Compact"/>
              <w:jc w:val="left"/>
            </w:pPr>
            <w:r>
              <w:t xml:space="preserve">S</w:t>
            </w:r>
          </w:p>
        </w:tc>
      </w:tr>
    </w:tbl>
    <w:bookmarkEnd w:id="47"/>
    <w:bookmarkEnd w:id="48"/>
    <w:bookmarkStart w:id="49" w:name="non-functional-requirements"/>
    <w:p>
      <w:pPr>
        <w:pStyle w:val="Heading1"/>
      </w:pPr>
      <w:r>
        <w:t xml:space="preserve">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t xml:space="preserve">Performance</w:t>
            </w:r>
          </w:p>
        </w:tc>
        <w:tc>
          <w:tcPr/>
          <w:p>
            <w:pPr>
              <w:pStyle w:val="Compact"/>
              <w:jc w:val="left"/>
            </w:pPr>
            <w:r>
              <w:t xml:space="preserve">Full-volume sliding-window inference shall complete in ≤ 30 seconds on a single mid-range GPU (e.g. RTX 3090/4080 class) and ≤ 4 minutes on CPU-only fallback, for a standard 240×240×155 BraTS volume. Rev. 1.1 (measurable targets on available hardware): ≤ 60 seconds on a Kaggle T4 (16 GB) and ≤ 4 minutes CPU-only, verified on project hardware; the RTX-class figure is retained as an aspirational reference only, as no such hardware is available to this project.</w:t>
            </w:r>
          </w:p>
        </w:tc>
      </w:tr>
      <w:tr>
        <w:tc>
          <w:tcPr/>
          <w:p>
            <w:pPr>
              <w:pStyle w:val="Compact"/>
              <w:jc w:val="left"/>
            </w:pPr>
            <w:r>
              <w:t xml:space="preserve">Scalability</w:t>
            </w:r>
          </w:p>
        </w:tc>
        <w:tc>
          <w:tcPr/>
          <w:p>
            <w:pPr>
              <w:pStyle w:val="Compact"/>
              <w:jc w:val="left"/>
            </w:pPr>
            <w:r>
              <w:t xml:space="preserve">The serving layer shall be horizontally scalable (stateless API workers behind a load balancer) to handle concurrent inference requests; target ≥ 20 concurrent requests with graceful queuing beyond capacity.</w:t>
            </w:r>
          </w:p>
        </w:tc>
      </w:tr>
      <w:tr>
        <w:tc>
          <w:tcPr/>
          <w:p>
            <w:pPr>
              <w:pStyle w:val="Compact"/>
              <w:jc w:val="left"/>
            </w:pPr>
            <w:r>
              <w:t xml:space="preserve">Reliability / Availability</w:t>
            </w:r>
          </w:p>
        </w:tc>
        <w:tc>
          <w:tcPr/>
          <w:p>
            <w:pPr>
              <w:pStyle w:val="Compact"/>
              <w:jc w:val="left"/>
            </w:pPr>
            <w:r>
              <w:t xml:space="preserve">The inference API shall target 99% uptime in a deployed environment; failed inference jobs shall be retried once automatically before surfacing an error.</w:t>
            </w:r>
          </w:p>
        </w:tc>
      </w:tr>
      <w:tr>
        <w:tc>
          <w:tcPr/>
          <w:p>
            <w:pPr>
              <w:pStyle w:val="Compact"/>
              <w:jc w:val="left"/>
            </w:pPr>
            <w:r>
              <w:t xml:space="preserve">Accuracy (model quality gate)</w:t>
            </w:r>
          </w:p>
        </w:tc>
        <w:tc>
          <w:tcPr/>
          <w:p>
            <w:pPr>
              <w:pStyle w:val="Compact"/>
              <w:jc w:val="left"/>
            </w:pPr>
            <w:r>
              <w:t xml:space="preserve">A model shall not be promoted to production unless it achieves mean Dice ≥ 0.85 (WT), ≥ 0.80 (TC), ≥ 0.75 (ET) on the held-out validation folds, consistent with published BraTS baselines.</w:t>
            </w:r>
          </w:p>
        </w:tc>
      </w:tr>
      <w:tr>
        <w:tc>
          <w:tcPr/>
          <w:p>
            <w:pPr>
              <w:pStyle w:val="Compact"/>
              <w:jc w:val="left"/>
            </w:pPr>
            <w:r>
              <w:t xml:space="preserve">Security</w:t>
            </w:r>
          </w:p>
        </w:tc>
        <w:tc>
          <w:tcPr/>
          <w:p>
            <w:pPr>
              <w:pStyle w:val="Compact"/>
              <w:jc w:val="left"/>
            </w:pPr>
            <w:r>
              <w:t xml:space="preserve">All API traffic shall use TLS; uploaded volumes and results shall be encrypted at rest; access to the model registry and raw data shall be role-restricted.</w:t>
            </w:r>
          </w:p>
        </w:tc>
      </w:tr>
      <w:tr>
        <w:tc>
          <w:tcPr/>
          <w:p>
            <w:pPr>
              <w:pStyle w:val="Compact"/>
              <w:jc w:val="left"/>
            </w:pPr>
            <w:r>
              <w:t xml:space="preserve">Privacy</w:t>
            </w:r>
          </w:p>
        </w:tc>
        <w:tc>
          <w:tcPr/>
          <w:p>
            <w:pPr>
              <w:pStyle w:val="Compact"/>
              <w:jc w:val="left"/>
            </w:pPr>
            <w:r>
              <w:t xml:space="preserve">The system shall not persist any identifying metadata from uploaded scans beyond what is required for processing, and shall support case deletion on request.</w:t>
            </w:r>
          </w:p>
        </w:tc>
      </w:tr>
      <w:tr>
        <w:tc>
          <w:tcPr/>
          <w:p>
            <w:pPr>
              <w:pStyle w:val="Compact"/>
              <w:jc w:val="left"/>
            </w:pPr>
            <w:r>
              <w:t xml:space="preserve">Usability</w:t>
            </w:r>
          </w:p>
        </w:tc>
        <w:tc>
          <w:tcPr/>
          <w:p>
            <w:pPr>
              <w:pStyle w:val="Compact"/>
              <w:jc w:val="left"/>
            </w:pPr>
            <w:r>
              <w:t xml:space="preserve">A first-time user shall be able to upload a case and view a segmentation overlay without consulting documentation, within 5 interactions.</w:t>
            </w:r>
          </w:p>
        </w:tc>
      </w:tr>
      <w:tr>
        <w:tc>
          <w:tcPr/>
          <w:p>
            <w:pPr>
              <w:pStyle w:val="Compact"/>
              <w:jc w:val="left"/>
            </w:pPr>
            <w:r>
              <w:t xml:space="preserve">Maintainability</w:t>
            </w:r>
          </w:p>
        </w:tc>
        <w:tc>
          <w:tcPr/>
          <w:p>
            <w:pPr>
              <w:pStyle w:val="Compact"/>
              <w:jc w:val="left"/>
            </w:pPr>
            <w:r>
              <w:t xml:space="preserve">Each module (Data, Model, Serving, Application, Operations) shall be independently testable and independently deployable, with ≥ 70% unit-test coverage on preprocessing and post-processing code.</w:t>
            </w:r>
          </w:p>
        </w:tc>
      </w:tr>
      <w:tr>
        <w:tc>
          <w:tcPr/>
          <w:p>
            <w:pPr>
              <w:pStyle w:val="Compact"/>
              <w:jc w:val="left"/>
            </w:pPr>
            <w:r>
              <w:t xml:space="preserve">Portability</w:t>
            </w:r>
          </w:p>
        </w:tc>
        <w:tc>
          <w:tcPr/>
          <w:p>
            <w:pPr>
              <w:pStyle w:val="Compact"/>
              <w:jc w:val="left"/>
            </w:pPr>
            <w:r>
              <w:t xml:space="preserve">The full stack shall run identically via</w:t>
            </w:r>
            <w:r>
              <w:t xml:space="preserve"> </w:t>
            </w:r>
            <w:r>
              <w:rPr>
                <w:rStyle w:val="VerbatimChar"/>
              </w:rPr>
              <w:t xml:space="preserve">docker compose up</w:t>
            </w:r>
            <w:r>
              <w:t xml:space="preserve"> </w:t>
            </w:r>
            <w:r>
              <w:t xml:space="preserve">on any Linux/macOS/Windows host with Docker and (optionally) NVIDIA Container Toolkit installed.</w:t>
            </w:r>
          </w:p>
        </w:tc>
      </w:tr>
      <w:tr>
        <w:tc>
          <w:tcPr/>
          <w:p>
            <w:pPr>
              <w:pStyle w:val="Compact"/>
              <w:jc w:val="left"/>
            </w:pPr>
            <w:r>
              <w:t xml:space="preserve">Reproducibility</w:t>
            </w:r>
          </w:p>
        </w:tc>
        <w:tc>
          <w:tcPr/>
          <w:p>
            <w:pPr>
              <w:pStyle w:val="Compact"/>
              <w:jc w:val="left"/>
            </w:pPr>
            <w:r>
              <w:t xml:space="preserve">Every training run shall be fully reproducible from its logged config, code commit hash, and data version; re-running shall reproduce reported metrics within stochastic tolerance.</w:t>
            </w:r>
          </w:p>
        </w:tc>
      </w:tr>
      <w:tr>
        <w:tc>
          <w:tcPr/>
          <w:p>
            <w:pPr>
              <w:pStyle w:val="Compact"/>
              <w:jc w:val="left"/>
            </w:pPr>
            <w:r>
              <w:t xml:space="preserve">Auditability</w:t>
            </w:r>
          </w:p>
        </w:tc>
        <w:tc>
          <w:tcPr/>
          <w:p>
            <w:pPr>
              <w:pStyle w:val="Compact"/>
              <w:jc w:val="left"/>
            </w:pPr>
            <w:r>
              <w:t xml:space="preserve">Every inference result shall be traceable to the exact model version, config, and code commit that produced it.</w:t>
            </w:r>
          </w:p>
        </w:tc>
      </w:tr>
    </w:tbl>
    <w:bookmarkEnd w:id="49"/>
    <w:bookmarkStart w:id="54" w:name="external-interface-requirements"/>
    <w:p>
      <w:pPr>
        <w:pStyle w:val="Heading1"/>
      </w:pPr>
      <w:r>
        <w:t xml:space="preserve">6 External Interface Requirements</w:t>
      </w:r>
    </w:p>
    <w:bookmarkStart w:id="50" w:name="user-interfaces"/>
    <w:p>
      <w:pPr>
        <w:pStyle w:val="Heading2"/>
      </w:pPr>
      <w:r>
        <w:t xml:space="preserve">6.1 User Interfaces</w:t>
      </w:r>
    </w:p>
    <w:p>
      <w:pPr>
        <w:numPr>
          <w:ilvl w:val="0"/>
          <w:numId w:val="1007"/>
        </w:numPr>
        <w:pStyle w:val="Compact"/>
      </w:pPr>
      <w:r>
        <w:t xml:space="preserve">Upload screen: modality file pickers (or single archive upload), validation feedback, and a</w:t>
      </w:r>
      <w:r>
        <w:t xml:space="preserve"> </w:t>
      </w:r>
      <w:r>
        <w:t xml:space="preserve">“</w:t>
      </w:r>
      <w:r>
        <w:t xml:space="preserve">Run Inference</w:t>
      </w:r>
      <w:r>
        <w:t xml:space="preserve">”</w:t>
      </w:r>
      <w:r>
        <w:t xml:space="preserve"> </w:t>
      </w:r>
      <w:r>
        <w:t xml:space="preserve">action.</w:t>
      </w:r>
    </w:p>
    <w:p>
      <w:pPr>
        <w:numPr>
          <w:ilvl w:val="0"/>
          <w:numId w:val="1007"/>
        </w:numPr>
        <w:pStyle w:val="Compact"/>
      </w:pPr>
      <w:r>
        <w:t xml:space="preserve">Viewer screen: multi-planar slice viewer, overlay opacity/label toggles, per-region volume panel, model-version badge, and a persistent non-clinical-use banner.</w:t>
      </w:r>
    </w:p>
    <w:p>
      <w:pPr>
        <w:numPr>
          <w:ilvl w:val="0"/>
          <w:numId w:val="1007"/>
        </w:numPr>
        <w:pStyle w:val="Compact"/>
      </w:pPr>
      <w:r>
        <w:t xml:space="preserve">History screen: list of previously processed cases with status, timestamp, and quick re-open.</w:t>
      </w:r>
    </w:p>
    <w:p>
      <w:pPr>
        <w:numPr>
          <w:ilvl w:val="0"/>
          <w:numId w:val="1007"/>
        </w:numPr>
        <w:pStyle w:val="Compact"/>
      </w:pPr>
      <w:r>
        <w:t xml:space="preserve">Admin screen (restricted): model registry list, promote/rollback controls, and system health widgets.</w:t>
      </w:r>
    </w:p>
    <w:bookmarkEnd w:id="50"/>
    <w:bookmarkStart w:id="51" w:name="hardware-interfaces"/>
    <w:p>
      <w:pPr>
        <w:pStyle w:val="Heading2"/>
      </w:pPr>
      <w:r>
        <w:t xml:space="preserve">6.2 Hardware Interfaces</w:t>
      </w:r>
    </w:p>
    <w:p>
      <w:pPr>
        <w:numPr>
          <w:ilvl w:val="0"/>
          <w:numId w:val="1008"/>
        </w:numPr>
        <w:pStyle w:val="Compact"/>
      </w:pPr>
      <w:r>
        <w:t xml:space="preserve">NVIDIA GPU (CUDA 12.x compatible) for training and accelerated inference; system shall detect absence of a GPU and fall back to CPU inference automatically.</w:t>
      </w:r>
    </w:p>
    <w:p>
      <w:pPr>
        <w:numPr>
          <w:ilvl w:val="0"/>
          <w:numId w:val="1008"/>
        </w:numPr>
        <w:pStyle w:val="Compact"/>
      </w:pPr>
      <w:r>
        <w:t xml:space="preserve">No direct interface to imaging hardware (scanners) — the system consumes already-acquired NIfTI/DICOM files.</w:t>
      </w:r>
    </w:p>
    <w:bookmarkEnd w:id="51"/>
    <w:bookmarkStart w:id="52" w:name="software-interfaces"/>
    <w:p>
      <w:pPr>
        <w:pStyle w:val="Heading2"/>
      </w:pPr>
      <w:r>
        <w:t xml:space="preserve">6.3 Software Interfaces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Interface</w:t>
            </w:r>
          </w:p>
        </w:tc>
        <w:tc>
          <w:tcPr/>
          <w:p>
            <w:pPr>
              <w:pStyle w:val="Compact"/>
              <w:jc w:val="left"/>
            </w:pPr>
            <w:r>
              <w:rPr>
                <w:bCs/>
                <w:b/>
              </w:rPr>
              <w:t xml:space="preserve">Purpose</w:t>
            </w:r>
          </w:p>
        </w:tc>
      </w:tr>
      <w:tr>
        <w:tc>
          <w:tcPr/>
          <w:p>
            <w:pPr>
              <w:pStyle w:val="Compact"/>
              <w:jc w:val="left"/>
            </w:pPr>
            <w:r>
              <w:t xml:space="preserve">PyTorch / MONAI</w:t>
            </w:r>
          </w:p>
        </w:tc>
        <w:tc>
          <w:tcPr/>
          <w:p>
            <w:pPr>
              <w:pStyle w:val="Compact"/>
              <w:jc w:val="left"/>
            </w:pPr>
            <w:r>
              <w:t xml:space="preserve">Model definition, training loop, and medical-imaging-specific transforms.</w:t>
            </w:r>
          </w:p>
        </w:tc>
      </w:tr>
      <w:tr>
        <w:tc>
          <w:tcPr/>
          <w:p>
            <w:pPr>
              <w:pStyle w:val="Compact"/>
              <w:jc w:val="left"/>
            </w:pPr>
            <w:r>
              <w:t xml:space="preserve">nibabel / SimpleITK</w:t>
            </w:r>
          </w:p>
        </w:tc>
        <w:tc>
          <w:tcPr/>
          <w:p>
            <w:pPr>
              <w:pStyle w:val="Compact"/>
              <w:jc w:val="left"/>
            </w:pPr>
            <w:r>
              <w:t xml:space="preserve">NIfTI I/O, resampling, orientation handling.</w:t>
            </w:r>
          </w:p>
        </w:tc>
      </w:tr>
      <w:tr>
        <w:tc>
          <w:tcPr/>
          <w:p>
            <w:pPr>
              <w:pStyle w:val="Compact"/>
              <w:jc w:val="left"/>
            </w:pPr>
            <w:r>
              <w:t xml:space="preserve">dcm2niix (optional)</w:t>
            </w:r>
          </w:p>
        </w:tc>
        <w:tc>
          <w:tcPr/>
          <w:p>
            <w:pPr>
              <w:pStyle w:val="Compact"/>
              <w:jc w:val="left"/>
            </w:pPr>
            <w:r>
              <w:t xml:space="preserve">DICOM-to-NIfTI conversion for the DICOM-import stub.</w:t>
            </w:r>
          </w:p>
        </w:tc>
      </w:tr>
      <w:tr>
        <w:tc>
          <w:tcPr/>
          <w:p>
            <w:pPr>
              <w:pStyle w:val="Compact"/>
              <w:jc w:val="left"/>
            </w:pPr>
            <w:r>
              <w:t xml:space="preserve">FastAPI</w:t>
            </w:r>
          </w:p>
        </w:tc>
        <w:tc>
          <w:tcPr/>
          <w:p>
            <w:pPr>
              <w:pStyle w:val="Compact"/>
              <w:jc w:val="left"/>
            </w:pPr>
            <w:r>
              <w:t xml:space="preserve">REST API framework for the serving layer.</w:t>
            </w:r>
          </w:p>
        </w:tc>
      </w:tr>
      <w:tr>
        <w:tc>
          <w:tcPr/>
          <w:p>
            <w:pPr>
              <w:pStyle w:val="Compact"/>
              <w:jc w:val="left"/>
            </w:pPr>
            <w:r>
              <w:t xml:space="preserve">ONNX Runtime / TorchScript</w:t>
            </w:r>
          </w:p>
        </w:tc>
        <w:tc>
          <w:tcPr/>
          <w:p>
            <w:pPr>
              <w:pStyle w:val="Compact"/>
              <w:jc w:val="left"/>
            </w:pPr>
            <w:r>
              <w:t xml:space="preserve">Optimized model export and inference runtime.</w:t>
            </w:r>
          </w:p>
        </w:tc>
      </w:tr>
      <w:tr>
        <w:tc>
          <w:tcPr/>
          <w:p>
            <w:pPr>
              <w:pStyle w:val="Compact"/>
              <w:jc w:val="left"/>
            </w:pPr>
            <w:r>
              <w:t xml:space="preserve">PostgreSQL</w:t>
            </w:r>
          </w:p>
        </w:tc>
        <w:tc>
          <w:tcPr/>
          <w:p>
            <w:pPr>
              <w:pStyle w:val="Compact"/>
              <w:jc w:val="left"/>
            </w:pPr>
            <w:r>
              <w:t xml:space="preserve">Metadata store: cases, users, model registry index, audit log.</w:t>
            </w:r>
          </w:p>
        </w:tc>
      </w:tr>
      <w:tr>
        <w:tc>
          <w:tcPr/>
          <w:p>
            <w:pPr>
              <w:pStyle w:val="Compact"/>
              <w:jc w:val="left"/>
            </w:pPr>
            <w:r>
              <w:t xml:space="preserve">S3-compatible object storage (MinIO)</w:t>
            </w:r>
          </w:p>
        </w:tc>
        <w:tc>
          <w:tcPr/>
          <w:p>
            <w:pPr>
              <w:pStyle w:val="Compact"/>
              <w:jc w:val="left"/>
            </w:pPr>
            <w:r>
              <w:t xml:space="preserve">Storage of raw/processed volumes, masks, and reports.</w:t>
            </w:r>
          </w:p>
        </w:tc>
      </w:tr>
      <w:tr>
        <w:tc>
          <w:tcPr/>
          <w:p>
            <w:pPr>
              <w:pStyle w:val="Compact"/>
              <w:jc w:val="left"/>
            </w:pPr>
            <w:r>
              <w:t xml:space="preserve">MLflow or Weights &amp; Biases</w:t>
            </w:r>
          </w:p>
        </w:tc>
        <w:tc>
          <w:tcPr/>
          <w:p>
            <w:pPr>
              <w:pStyle w:val="Compact"/>
              <w:jc w:val="left"/>
            </w:pPr>
            <w:r>
              <w:t xml:space="preserve">Experiment tracking and model registry.</w:t>
            </w:r>
          </w:p>
        </w:tc>
      </w:tr>
      <w:tr>
        <w:tc>
          <w:tcPr/>
          <w:p>
            <w:pPr>
              <w:pStyle w:val="Compact"/>
              <w:jc w:val="left"/>
            </w:pPr>
            <w:r>
              <w:t xml:space="preserve">Prometheus + Grafana</w:t>
            </w:r>
          </w:p>
        </w:tc>
        <w:tc>
          <w:tcPr/>
          <w:p>
            <w:pPr>
              <w:pStyle w:val="Compact"/>
              <w:jc w:val="left"/>
            </w:pPr>
            <w:r>
              <w:t xml:space="preserve">Metrics collection and monitoring dashboards.</w:t>
            </w:r>
          </w:p>
        </w:tc>
      </w:tr>
      <w:tr>
        <w:tc>
          <w:tcPr/>
          <w:p>
            <w:pPr>
              <w:pStyle w:val="Compact"/>
              <w:jc w:val="left"/>
            </w:pPr>
            <w:r>
              <w:t xml:space="preserve">Docker / Docker Compose</w:t>
            </w:r>
          </w:p>
        </w:tc>
        <w:tc>
          <w:tcPr/>
          <w:p>
            <w:pPr>
              <w:pStyle w:val="Compact"/>
              <w:jc w:val="left"/>
            </w:pPr>
            <w:r>
              <w:t xml:space="preserve">Containerization and local/production orchestration.</w:t>
            </w:r>
          </w:p>
        </w:tc>
      </w:tr>
      <w:tr>
        <w:tc>
          <w:tcPr/>
          <w:p>
            <w:pPr>
              <w:pStyle w:val="Compact"/>
              <w:jc w:val="left"/>
            </w:pPr>
            <w:r>
              <w:t xml:space="preserve">GitHub Actions</w:t>
            </w:r>
          </w:p>
        </w:tc>
        <w:tc>
          <w:tcPr/>
          <w:p>
            <w:pPr>
              <w:pStyle w:val="Compact"/>
              <w:jc w:val="left"/>
            </w:pPr>
            <w:r>
              <w:t xml:space="preserve">CI: linting, unit tests, image build; CD: push to registry, optional auto-deploy.</w:t>
            </w:r>
          </w:p>
        </w:tc>
      </w:tr>
    </w:tbl>
    <w:bookmarkEnd w:id="52"/>
    <w:bookmarkStart w:id="53" w:name="communication-interfaces"/>
    <w:p>
      <w:pPr>
        <w:pStyle w:val="Heading2"/>
      </w:pPr>
      <w:r>
        <w:t xml:space="preserve">6.4 Communication Interfaces</w:t>
      </w:r>
    </w:p>
    <w:p>
      <w:pPr>
        <w:numPr>
          <w:ilvl w:val="0"/>
          <w:numId w:val="1009"/>
        </w:numPr>
        <w:pStyle w:val="Compact"/>
      </w:pPr>
      <w:r>
        <w:t xml:space="preserve">HTTPS/REST (JSON payloads) between frontend, backend, and any external API consumers.</w:t>
      </w:r>
    </w:p>
    <w:p>
      <w:pPr>
        <w:numPr>
          <w:ilvl w:val="0"/>
          <w:numId w:val="1009"/>
        </w:numPr>
        <w:pStyle w:val="Compact"/>
      </w:pPr>
      <w:r>
        <w:t xml:space="preserve">Internal service-to-storage communication over the S3 API (HTTPS).</w:t>
      </w:r>
    </w:p>
    <w:p>
      <w:pPr>
        <w:numPr>
          <w:ilvl w:val="0"/>
          <w:numId w:val="1009"/>
        </w:numPr>
        <w:pStyle w:val="Compact"/>
      </w:pPr>
      <w:r>
        <w:t xml:space="preserve">Optional webhook (HTTPS POST) for monitoring alerts.</w:t>
      </w:r>
    </w:p>
    <w:bookmarkEnd w:id="53"/>
    <w:bookmarkEnd w:id="54"/>
    <w:bookmarkStart w:id="59" w:name="data-requirements"/>
    <w:p>
      <w:pPr>
        <w:pStyle w:val="Heading1"/>
      </w:pPr>
      <w:r>
        <w:t xml:space="preserve">7 Data Requirements</w:t>
      </w:r>
    </w:p>
    <w:bookmarkStart w:id="56" w:name="dataset-brats"/>
    <w:p>
      <w:pPr>
        <w:pStyle w:val="Heading2"/>
      </w:pPr>
      <w:r>
        <w:t xml:space="preserve">7.1 Dataset: BraTS</w:t>
      </w:r>
    </w:p>
    <w:p>
      <w:pPr>
        <w:pStyle w:val="FirstParagraph"/>
      </w:pPr>
      <w:r>
        <w:t xml:space="preserve">The system is designed around the BraTS benchmark dataset (2020/2021 or later), which provides pre-operative multi-institutional multi-modal MRI scans with expert-annotated tumor sub-region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Modality</w:t>
            </w:r>
          </w:p>
        </w:tc>
        <w:tc>
          <w:tcPr/>
          <w:p>
            <w:pPr>
              <w:pStyle w:val="Compact"/>
              <w:jc w:val="left"/>
            </w:pPr>
            <w:r>
              <w:rPr>
                <w:bCs/>
                <w:b/>
              </w:rPr>
              <w:t xml:space="preserve">Description</w:t>
            </w:r>
          </w:p>
        </w:tc>
        <w:tc>
          <w:tcPr/>
          <w:p>
            <w:pPr>
              <w:pStyle w:val="Compact"/>
              <w:jc w:val="left"/>
            </w:pPr>
            <w:r>
              <w:rPr>
                <w:bCs/>
                <w:b/>
              </w:rPr>
              <w:t xml:space="preserve">Role</w:t>
            </w:r>
          </w:p>
        </w:tc>
      </w:tr>
      <w:tr>
        <w:tc>
          <w:tcPr/>
          <w:p>
            <w:pPr>
              <w:pStyle w:val="Compact"/>
              <w:jc w:val="left"/>
            </w:pPr>
            <w:r>
              <w:t xml:space="preserve">T1</w:t>
            </w:r>
          </w:p>
        </w:tc>
        <w:tc>
          <w:tcPr/>
          <w:p>
            <w:pPr>
              <w:pStyle w:val="Compact"/>
              <w:jc w:val="left"/>
            </w:pPr>
            <w:r>
              <w:t xml:space="preserve">Native T1-weighted MRI.</w:t>
            </w:r>
          </w:p>
        </w:tc>
        <w:tc>
          <w:tcPr/>
          <w:p>
            <w:pPr>
              <w:pStyle w:val="Compact"/>
              <w:jc w:val="left"/>
            </w:pPr>
            <w:r>
              <w:t xml:space="preserve">Anatomical reference</w:t>
            </w:r>
          </w:p>
        </w:tc>
      </w:tr>
      <w:tr>
        <w:tc>
          <w:tcPr/>
          <w:p>
            <w:pPr>
              <w:pStyle w:val="Compact"/>
              <w:jc w:val="left"/>
            </w:pPr>
            <w:r>
              <w:t xml:space="preserve">T1ce</w:t>
            </w:r>
          </w:p>
        </w:tc>
        <w:tc>
          <w:tcPr/>
          <w:p>
            <w:pPr>
              <w:pStyle w:val="Compact"/>
              <w:jc w:val="left"/>
            </w:pPr>
            <w:r>
              <w:t xml:space="preserve">Post-contrast (gadolinium) T1-weighted MRI.</w:t>
            </w:r>
          </w:p>
        </w:tc>
        <w:tc>
          <w:tcPr/>
          <w:p>
            <w:pPr>
              <w:pStyle w:val="Compact"/>
              <w:jc w:val="left"/>
            </w:pPr>
            <w:r>
              <w:t xml:space="preserve">Highlights enhancing tumor</w:t>
            </w:r>
          </w:p>
        </w:tc>
      </w:tr>
      <w:tr>
        <w:tc>
          <w:tcPr/>
          <w:p>
            <w:pPr>
              <w:pStyle w:val="Compact"/>
              <w:jc w:val="left"/>
            </w:pPr>
            <w:r>
              <w:t xml:space="preserve">T2</w:t>
            </w:r>
          </w:p>
        </w:tc>
        <w:tc>
          <w:tcPr/>
          <w:p>
            <w:pPr>
              <w:pStyle w:val="Compact"/>
              <w:jc w:val="left"/>
            </w:pPr>
            <w:r>
              <w:t xml:space="preserve">T2-weighted MRI.</w:t>
            </w:r>
          </w:p>
        </w:tc>
        <w:tc>
          <w:tcPr/>
          <w:p>
            <w:pPr>
              <w:pStyle w:val="Compact"/>
              <w:jc w:val="left"/>
            </w:pPr>
            <w:r>
              <w:t xml:space="preserve">Highlights edema/tumor extent</w:t>
            </w:r>
          </w:p>
        </w:tc>
      </w:tr>
      <w:tr>
        <w:tc>
          <w:tcPr/>
          <w:p>
            <w:pPr>
              <w:pStyle w:val="Compact"/>
              <w:jc w:val="left"/>
            </w:pPr>
            <w:r>
              <w:t xml:space="preserve">FLAIR</w:t>
            </w:r>
          </w:p>
        </w:tc>
        <w:tc>
          <w:tcPr/>
          <w:p>
            <w:pPr>
              <w:pStyle w:val="Compact"/>
              <w:jc w:val="left"/>
            </w:pPr>
            <w:r>
              <w:t xml:space="preserve">Fluid-attenuated inversion recovery.</w:t>
            </w:r>
          </w:p>
        </w:tc>
        <w:tc>
          <w:tcPr/>
          <w:p>
            <w:pPr>
              <w:pStyle w:val="Compact"/>
              <w:jc w:val="left"/>
            </w:pPr>
            <w:r>
              <w:t xml:space="preserve">Highlights peritumoral edema</w:t>
            </w:r>
          </w:p>
        </w:tc>
      </w:tr>
      <w:tr>
        <w:tc>
          <w:tcPr/>
          <w:p>
            <w:pPr>
              <w:pStyle w:val="Compact"/>
              <w:jc w:val="left"/>
            </w:pPr>
            <w:r>
              <w:t xml:space="preserve">Segmentation label</w:t>
            </w:r>
          </w:p>
        </w:tc>
        <w:tc>
          <w:tcPr/>
          <w:p>
            <w:pPr>
              <w:pStyle w:val="Compact"/>
              <w:jc w:val="left"/>
            </w:pPr>
            <w:r>
              <w:t xml:space="preserve">Voxel-wise expert annotation: 0 = background, 1 = NCR/NET, 2 = edema, 4 = enhancing tumor.</w:t>
            </w:r>
          </w:p>
        </w:tc>
        <w:tc>
          <w:tcPr/>
          <w:p>
            <w:pPr>
              <w:pStyle w:val="Compact"/>
              <w:jc w:val="left"/>
            </w:pPr>
            <w:r>
              <w:t xml:space="preserve">Training/evaluation ground truth</w:t>
            </w:r>
          </w:p>
        </w:tc>
      </w:tr>
    </w:tbl>
    <w:bookmarkStart w:id="55" w:name="derived-evaluation-regions"/>
    <w:p>
      <w:pPr>
        <w:pStyle w:val="Heading3"/>
      </w:pPr>
      <w:r>
        <w:t xml:space="preserve">Derived evaluation regions</w:t>
      </w:r>
    </w:p>
    <w:p>
      <w:pPr>
        <w:numPr>
          <w:ilvl w:val="0"/>
          <w:numId w:val="1010"/>
        </w:numPr>
        <w:pStyle w:val="Compact"/>
      </w:pPr>
      <w:r>
        <w:t xml:space="preserve">Whole Tumor (WT) = labels {1, 2, 4}</w:t>
      </w:r>
    </w:p>
    <w:p>
      <w:pPr>
        <w:numPr>
          <w:ilvl w:val="0"/>
          <w:numId w:val="1010"/>
        </w:numPr>
        <w:pStyle w:val="Compact"/>
      </w:pPr>
      <w:r>
        <w:t xml:space="preserve">Tumor Core (TC) = labels {1, 4}</w:t>
      </w:r>
    </w:p>
    <w:p>
      <w:pPr>
        <w:numPr>
          <w:ilvl w:val="0"/>
          <w:numId w:val="1010"/>
        </w:numPr>
        <w:pStyle w:val="Compact"/>
      </w:pPr>
      <w:r>
        <w:t xml:space="preserve">Enhancing Tumor (ET) = label {4}</w:t>
      </w:r>
    </w:p>
    <w:bookmarkEnd w:id="55"/>
    <w:bookmarkEnd w:id="56"/>
    <w:bookmarkStart w:id="57" w:name="data-volume-storage"/>
    <w:p>
      <w:pPr>
        <w:pStyle w:val="Heading2"/>
      </w:pPr>
      <w:r>
        <w:t xml:space="preserve">7.2 Data Volume &amp;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Approximate Size</w:t>
            </w:r>
          </w:p>
        </w:tc>
      </w:tr>
      <w:tr>
        <w:tc>
          <w:tcPr/>
          <w:p>
            <w:pPr>
              <w:pStyle w:val="Compact"/>
              <w:jc w:val="left"/>
            </w:pPr>
            <w:r>
              <w:t xml:space="preserve">Single case (4 modalities + label, NIfTI, uncompressed)</w:t>
            </w:r>
          </w:p>
        </w:tc>
        <w:tc>
          <w:tcPr/>
          <w:p>
            <w:pPr>
              <w:pStyle w:val="Compact"/>
              <w:jc w:val="left"/>
            </w:pPr>
            <w:r>
              <w:t xml:space="preserve">~150–180 MB</w:t>
            </w:r>
          </w:p>
        </w:tc>
      </w:tr>
      <w:tr>
        <w:tc>
          <w:tcPr/>
          <w:p>
            <w:pPr>
              <w:pStyle w:val="Compact"/>
              <w:jc w:val="left"/>
            </w:pPr>
            <w:r>
              <w:t xml:space="preserve">Full BraTS training cohort (~1,250 cases, 2021 release); project actuals per rev. 1.1: BraTS2020 Kaggle-hosted release, 369 cases (368 valid after audit; 1 excluded for a missing file), ~42.8 GB</w:t>
            </w:r>
          </w:p>
        </w:tc>
        <w:tc>
          <w:tcPr/>
          <w:p>
            <w:pPr>
              <w:pStyle w:val="Compact"/>
              <w:jc w:val="left"/>
            </w:pPr>
            <w:r>
              <w:t xml:space="preserve">~180–220 GB</w:t>
            </w:r>
          </w:p>
        </w:tc>
      </w:tr>
      <w:tr>
        <w:tc>
          <w:tcPr/>
          <w:p>
            <w:pPr>
              <w:pStyle w:val="Compact"/>
              <w:jc w:val="left"/>
            </w:pPr>
            <w:r>
              <w:t xml:space="preserve">Preprocessed/cached tensors (per case, resampled)</w:t>
            </w:r>
          </w:p>
        </w:tc>
        <w:tc>
          <w:tcPr/>
          <w:p>
            <w:pPr>
              <w:pStyle w:val="Compact"/>
              <w:jc w:val="left"/>
            </w:pPr>
            <w:r>
              <w:t xml:space="preserve">~120–150 MB</w:t>
            </w:r>
          </w:p>
        </w:tc>
      </w:tr>
      <w:tr>
        <w:tc>
          <w:tcPr/>
          <w:p>
            <w:pPr>
              <w:pStyle w:val="Compact"/>
              <w:jc w:val="left"/>
            </w:pPr>
            <w:r>
              <w:t xml:space="preserve">Per-run model checkpoints (3D U-Net, fp32)</w:t>
            </w:r>
          </w:p>
        </w:tc>
        <w:tc>
          <w:tcPr/>
          <w:p>
            <w:pPr>
              <w:pStyle w:val="Compact"/>
              <w:jc w:val="left"/>
            </w:pPr>
            <w:r>
              <w:t xml:space="preserve">~150–400 MB</w:t>
            </w:r>
          </w:p>
        </w:tc>
      </w:tr>
    </w:tbl>
    <w:bookmarkEnd w:id="57"/>
    <w:bookmarkStart w:id="58" w:name="data-governance"/>
    <w:p>
      <w:pPr>
        <w:pStyle w:val="Heading2"/>
      </w:pPr>
      <w:r>
        <w:t xml:space="preserve">7.3 Data Governance</w:t>
      </w:r>
    </w:p>
    <w:p>
      <w:pPr>
        <w:numPr>
          <w:ilvl w:val="0"/>
          <w:numId w:val="1011"/>
        </w:numPr>
        <w:pStyle w:val="Compact"/>
      </w:pPr>
      <w:r>
        <w:t xml:space="preserve">Raw BraTS data is used strictly under its research-use license; it is not redistributed as part of the project repository or Docker images.</w:t>
      </w:r>
    </w:p>
    <w:p>
      <w:pPr>
        <w:numPr>
          <w:ilvl w:val="0"/>
          <w:numId w:val="1011"/>
        </w:numPr>
        <w:pStyle w:val="Compact"/>
      </w:pPr>
      <w:r>
        <w:t xml:space="preserve">Dataset splits (train/val/test) are versioned as a manifest file (case IDs + fold assignment), never as a duplicated copy of the data.</w:t>
      </w:r>
    </w:p>
    <w:p>
      <w:pPr>
        <w:numPr>
          <w:ilvl w:val="0"/>
          <w:numId w:val="1011"/>
        </w:numPr>
        <w:pStyle w:val="Compact"/>
      </w:pPr>
      <w:r>
        <w:t xml:space="preserve">Data and model artifacts are versioned with DVC or the experiment tracker’s model registry, so any reported metric is reproducible against a specific data+model version pair.</w:t>
      </w:r>
    </w:p>
    <w:p>
      <w:pPr>
        <w:numPr>
          <w:ilvl w:val="0"/>
          <w:numId w:val="1011"/>
        </w:numPr>
        <w:pStyle w:val="Compact"/>
      </w:pPr>
      <w:r>
        <w:t xml:space="preserve">User-uploaded scans (outside the benchmark dataset) are stored encrypted at rest and deletable on request; no PHI is required or retained beyond the processing session unless the user explicitly opts into persistent history.</w:t>
      </w:r>
    </w:p>
    <w:bookmarkEnd w:id="58"/>
    <w:bookmarkEnd w:id="59"/>
    <w:bookmarkStart w:id="64" w:name="use-case-specifications"/>
    <w:p>
      <w:pPr>
        <w:pStyle w:val="Heading1"/>
      </w:pPr>
      <w:r>
        <w:t xml:space="preserve">8 Use Case Specifications</w:t>
      </w:r>
    </w:p>
    <w:bookmarkStart w:id="60" w:name="uc-01-upload-and-validate-a-case"/>
    <w:p>
      <w:pPr>
        <w:pStyle w:val="Heading2"/>
      </w:pPr>
      <w:r>
        <w:t xml:space="preserve">UC-01: Upload and Validate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User has four co-registered MRI modality files (or a DICOM series).</w:t>
            </w:r>
          </w:p>
        </w:tc>
      </w:tr>
      <w:tr>
        <w:tc>
          <w:tcPr/>
          <w:p>
            <w:pPr>
              <w:pStyle w:val="Compact"/>
              <w:jc w:val="left"/>
            </w:pPr>
            <w:r>
              <w:t xml:space="preserve">Main Flow</w:t>
            </w:r>
          </w:p>
        </w:tc>
        <w:tc>
          <w:tcPr/>
          <w:p>
            <w:pPr>
              <w:pStyle w:val="Compact"/>
              <w:jc w:val="left"/>
            </w:pPr>
            <w:r>
              <w:t xml:space="preserve">1) User uploads files. 2) System validates modality completeness and geometry. 3) System assigns case ID and stores raw data. 4) System confirms success and returns case ID.</w:t>
            </w:r>
          </w:p>
        </w:tc>
      </w:tr>
      <w:tr>
        <w:tc>
          <w:tcPr/>
          <w:p>
            <w:pPr>
              <w:pStyle w:val="Compact"/>
              <w:jc w:val="left"/>
            </w:pPr>
            <w:r>
              <w:t xml:space="preserve">Alternate Flow</w:t>
            </w:r>
          </w:p>
        </w:tc>
        <w:tc>
          <w:tcPr/>
          <w:p>
            <w:pPr>
              <w:pStyle w:val="Compact"/>
              <w:jc w:val="left"/>
            </w:pPr>
            <w:r>
              <w:t xml:space="preserve">If validation fails, system returns a specific error (missing modality / geometry mismatch / corrupt file) without creating a case.</w:t>
            </w:r>
          </w:p>
        </w:tc>
      </w:tr>
      <w:tr>
        <w:tc>
          <w:tcPr/>
          <w:p>
            <w:pPr>
              <w:pStyle w:val="Compact"/>
              <w:jc w:val="left"/>
            </w:pPr>
            <w:r>
              <w:t xml:space="preserve">Postcondition</w:t>
            </w:r>
          </w:p>
        </w:tc>
        <w:tc>
          <w:tcPr/>
          <w:p>
            <w:pPr>
              <w:pStyle w:val="Compact"/>
              <w:jc w:val="left"/>
            </w:pPr>
            <w:r>
              <w:t xml:space="preserve">A validated, versioned raw case exists in storage, ready for preprocessing.</w:t>
            </w:r>
          </w:p>
        </w:tc>
      </w:tr>
    </w:tbl>
    <w:bookmarkEnd w:id="60"/>
    <w:bookmarkStart w:id="61" w:name="uc-02-run-segmentation-inference"/>
    <w:p>
      <w:pPr>
        <w:pStyle w:val="Heading2"/>
      </w:pPr>
      <w:r>
        <w:t xml:space="preserve">UC-02: Run Segmentation Inference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A valid case exists (from UC-01); at least one model is promoted to</w:t>
            </w:r>
            <w:r>
              <w:t xml:space="preserve"> </w:t>
            </w:r>
            <w:r>
              <w:t xml:space="preserve">“</w:t>
            </w:r>
            <w:r>
              <w:t xml:space="preserve">active</w:t>
            </w:r>
            <w:r>
              <w:t xml:space="preserve">”</w:t>
            </w:r>
            <w:r>
              <w:t xml:space="preserve">.</w:t>
            </w:r>
          </w:p>
        </w:tc>
      </w:tr>
      <w:tr>
        <w:tc>
          <w:tcPr/>
          <w:p>
            <w:pPr>
              <w:pStyle w:val="Compact"/>
              <w:jc w:val="left"/>
            </w:pPr>
            <w:r>
              <w:t xml:space="preserve">Main Flow</w:t>
            </w:r>
          </w:p>
        </w:tc>
        <w:tc>
          <w:tcPr/>
          <w:p>
            <w:pPr>
              <w:pStyle w:val="Compact"/>
              <w:jc w:val="left"/>
            </w:pPr>
            <w:r>
              <w:t xml:space="preserve">1) User/API triggers inference. 2) System preprocesses the case. 3) System runs sliding-window inference with the active model. 4) System post-processes and stores the mask + summary. 5) Result is returned/displayed.</w:t>
            </w:r>
          </w:p>
        </w:tc>
      </w:tr>
      <w:tr>
        <w:tc>
          <w:tcPr/>
          <w:p>
            <w:pPr>
              <w:pStyle w:val="Compact"/>
              <w:jc w:val="left"/>
            </w:pPr>
            <w:r>
              <w:t xml:space="preserve">Alternate Flow</w:t>
            </w:r>
          </w:p>
        </w:tc>
        <w:tc>
          <w:tcPr/>
          <w:p>
            <w:pPr>
              <w:pStyle w:val="Compact"/>
              <w:jc w:val="left"/>
            </w:pPr>
            <w:r>
              <w:t xml:space="preserve">If preprocessing or inference fails, the case status is set to</w:t>
            </w:r>
            <w:r>
              <w:t xml:space="preserve"> </w:t>
            </w:r>
            <w:r>
              <w:t xml:space="preserve">“</w:t>
            </w:r>
            <w:r>
              <w:t xml:space="preserve">failed</w:t>
            </w:r>
            <w:r>
              <w:t xml:space="preserve">”</w:t>
            </w:r>
            <w:r>
              <w:t xml:space="preserve"> </w:t>
            </w:r>
            <w:r>
              <w:t xml:space="preserve">with a correlation ID for debugging; the caller is notified with a structured error.</w:t>
            </w:r>
          </w:p>
        </w:tc>
      </w:tr>
      <w:tr>
        <w:tc>
          <w:tcPr/>
          <w:p>
            <w:pPr>
              <w:pStyle w:val="Compact"/>
              <w:jc w:val="left"/>
            </w:pPr>
            <w:r>
              <w:t xml:space="preserve">Postcondition</w:t>
            </w:r>
          </w:p>
        </w:tc>
        <w:tc>
          <w:tcPr/>
          <w:p>
            <w:pPr>
              <w:pStyle w:val="Compact"/>
              <w:jc w:val="left"/>
            </w:pPr>
            <w:r>
              <w:t xml:space="preserve">A segmentation mask, per-region volumes, and a traceable model-version record exist for the case.</w:t>
            </w:r>
          </w:p>
        </w:tc>
      </w:tr>
    </w:tbl>
    <w:bookmarkEnd w:id="61"/>
    <w:bookmarkStart w:id="62" w:name="uc-03-review-segmentation-results"/>
    <w:p>
      <w:pPr>
        <w:pStyle w:val="Heading2"/>
      </w:pPr>
      <w:r>
        <w:t xml:space="preserve">UC-03: Review Segmentation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w:t>
            </w:r>
          </w:p>
        </w:tc>
      </w:tr>
      <w:tr>
        <w:tc>
          <w:tcPr/>
          <w:p>
            <w:pPr>
              <w:pStyle w:val="Compact"/>
              <w:jc w:val="left"/>
            </w:pPr>
            <w:r>
              <w:t xml:space="preserve">Precondition</w:t>
            </w:r>
          </w:p>
        </w:tc>
        <w:tc>
          <w:tcPr/>
          <w:p>
            <w:pPr>
              <w:pStyle w:val="Compact"/>
              <w:jc w:val="left"/>
            </w:pPr>
            <w:r>
              <w:t xml:space="preserve">Inference has completed for a case (UC-02).</w:t>
            </w:r>
          </w:p>
        </w:tc>
      </w:tr>
      <w:tr>
        <w:tc>
          <w:tcPr/>
          <w:p>
            <w:pPr>
              <w:pStyle w:val="Compact"/>
              <w:jc w:val="left"/>
            </w:pPr>
            <w:r>
              <w:t xml:space="preserve">Main Flow</w:t>
            </w:r>
          </w:p>
        </w:tc>
        <w:tc>
          <w:tcPr/>
          <w:p>
            <w:pPr>
              <w:pStyle w:val="Compact"/>
              <w:jc w:val="left"/>
            </w:pPr>
            <w:r>
              <w:t xml:space="preserve">1) User opens the viewer. 2) System renders slices with overlay toggles. 3) User scrolls through planes and toggles labels. 4) User optionally exports a report.</w:t>
            </w:r>
          </w:p>
        </w:tc>
      </w:tr>
      <w:tr>
        <w:tc>
          <w:tcPr/>
          <w:p>
            <w:pPr>
              <w:pStyle w:val="Compact"/>
              <w:jc w:val="left"/>
            </w:pPr>
            <w:r>
              <w:t xml:space="preserve">Postcondition</w:t>
            </w:r>
          </w:p>
        </w:tc>
        <w:tc>
          <w:tcPr/>
          <w:p>
            <w:pPr>
              <w:pStyle w:val="Compact"/>
              <w:jc w:val="left"/>
            </w:pPr>
            <w:r>
              <w:t xml:space="preserve">User has reviewed the segmentation and optionally has a downloaded report.</w:t>
            </w:r>
          </w:p>
        </w:tc>
      </w:tr>
    </w:tbl>
    <w:bookmarkEnd w:id="62"/>
    <w:bookmarkStart w:id="63" w:name="uc-04-train-and-promote-a-new-model"/>
    <w:p>
      <w:pPr>
        <w:pStyle w:val="Heading2"/>
      </w:pPr>
      <w:r>
        <w:t xml:space="preserve">UC-04: Train and Promote a New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ML Engineer</w:t>
            </w:r>
          </w:p>
        </w:tc>
      </w:tr>
      <w:tr>
        <w:tc>
          <w:tcPr/>
          <w:p>
            <w:pPr>
              <w:pStyle w:val="Compact"/>
              <w:jc w:val="left"/>
            </w:pPr>
            <w:r>
              <w:t xml:space="preserve">Precondition</w:t>
            </w:r>
          </w:p>
        </w:tc>
        <w:tc>
          <w:tcPr/>
          <w:p>
            <w:pPr>
              <w:pStyle w:val="Compact"/>
              <w:jc w:val="left"/>
            </w:pPr>
            <w:r>
              <w:t xml:space="preserve">A versioned, preprocessed training dataset and fold manifest exist.</w:t>
            </w:r>
          </w:p>
        </w:tc>
      </w:tr>
      <w:tr>
        <w:tc>
          <w:tcPr/>
          <w:p>
            <w:pPr>
              <w:pStyle w:val="Compact"/>
              <w:jc w:val="left"/>
            </w:pPr>
            <w:r>
              <w:t xml:space="preserve">Main Flow</w:t>
            </w:r>
          </w:p>
        </w:tc>
        <w:tc>
          <w:tcPr/>
          <w:p>
            <w:pPr>
              <w:pStyle w:val="Compact"/>
              <w:jc w:val="left"/>
            </w:pPr>
            <w:r>
              <w:t xml:space="preserve">1) Engineer launches a training run with a config. 2) System trains, checkpoints, and logs metrics per fold. 3) Engineer reviews cross-validated Dice/HD95 against the quality gate (Section 5). 4) If the gate is met, engineer promotes the model version to</w:t>
            </w:r>
            <w:r>
              <w:t xml:space="preserve"> </w:t>
            </w:r>
            <w:r>
              <w:t xml:space="preserve">“</w:t>
            </w:r>
            <w:r>
              <w:t xml:space="preserve">active</w:t>
            </w:r>
            <w:r>
              <w:t xml:space="preserve">”</w:t>
            </w:r>
            <w:r>
              <w:t xml:space="preserve"> </w:t>
            </w:r>
            <w:r>
              <w:t xml:space="preserve">in the registry.</w:t>
            </w:r>
          </w:p>
        </w:tc>
      </w:tr>
      <w:tr>
        <w:tc>
          <w:tcPr/>
          <w:p>
            <w:pPr>
              <w:pStyle w:val="Compact"/>
              <w:jc w:val="left"/>
            </w:pPr>
            <w:r>
              <w:t xml:space="preserve">Alternate Flow</w:t>
            </w:r>
          </w:p>
        </w:tc>
        <w:tc>
          <w:tcPr/>
          <w:p>
            <w:pPr>
              <w:pStyle w:val="Compact"/>
              <w:jc w:val="left"/>
            </w:pPr>
            <w:r>
              <w:t xml:space="preserve">If the quality gate is not met, the model is retained in the registry as</w:t>
            </w:r>
            <w:r>
              <w:t xml:space="preserve"> </w:t>
            </w:r>
            <w:r>
              <w:t xml:space="preserve">“</w:t>
            </w:r>
            <w:r>
              <w:t xml:space="preserve">archived</w:t>
            </w:r>
            <w:r>
              <w:t xml:space="preserve">”</w:t>
            </w:r>
            <w:r>
              <w:t xml:space="preserve"> </w:t>
            </w:r>
            <w:r>
              <w:t xml:space="preserve">but not promoted.</w:t>
            </w:r>
          </w:p>
        </w:tc>
      </w:tr>
      <w:tr>
        <w:tc>
          <w:tcPr/>
          <w:p>
            <w:pPr>
              <w:pStyle w:val="Compact"/>
              <w:jc w:val="left"/>
            </w:pPr>
            <w:r>
              <w:t xml:space="preserve">Postcondition</w:t>
            </w:r>
          </w:p>
        </w:tc>
        <w:tc>
          <w:tcPr/>
          <w:p>
            <w:pPr>
              <w:pStyle w:val="Compact"/>
              <w:jc w:val="left"/>
            </w:pPr>
            <w:r>
              <w:t xml:space="preserve">A new model version is available, and — if promoted — becomes the default for future inference calls, with the promotion recorded in the audit log.</w:t>
            </w:r>
          </w:p>
        </w:tc>
      </w:tr>
    </w:tbl>
    <w:bookmarkEnd w:id="63"/>
    <w:bookmarkEnd w:id="64"/>
    <w:bookmarkStart w:id="69" w:name="model-evaluation-requirements"/>
    <w:p>
      <w:pPr>
        <w:pStyle w:val="Heading1"/>
      </w:pPr>
      <w:r>
        <w:t xml:space="preserve">9 Model &amp; Evaluation Requirements</w:t>
      </w:r>
    </w:p>
    <w:bookmarkStart w:id="65" w:name="candidate-architectures"/>
    <w:p>
      <w:pPr>
        <w:pStyle w:val="Heading2"/>
      </w:pPr>
      <w:r>
        <w:t xml:space="preserve">9.1 Candidate Architectures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Role</w:t>
            </w:r>
          </w:p>
        </w:tc>
        <w:tc>
          <w:tcPr/>
          <w:p>
            <w:pPr>
              <w:pStyle w:val="Compact"/>
              <w:jc w:val="left"/>
            </w:pPr>
            <w:r>
              <w:rPr>
                <w:bCs/>
                <w:b/>
              </w:rPr>
              <w:t xml:space="preserve">Rationale</w:t>
            </w:r>
          </w:p>
        </w:tc>
      </w:tr>
      <w:tr>
        <w:tc>
          <w:tcPr/>
          <w:p>
            <w:pPr>
              <w:pStyle w:val="Compact"/>
              <w:jc w:val="left"/>
            </w:pPr>
            <w:r>
              <w:t xml:space="preserve">3D U-Net (from scratch, via MONAI)</w:t>
            </w:r>
          </w:p>
        </w:tc>
        <w:tc>
          <w:tcPr/>
          <w:p>
            <w:pPr>
              <w:pStyle w:val="Compact"/>
              <w:jc w:val="left"/>
            </w:pPr>
            <w:r>
              <w:t xml:space="preserve">Baseline</w:t>
            </w:r>
          </w:p>
        </w:tc>
        <w:tc>
          <w:tcPr/>
          <w:p>
            <w:pPr>
              <w:pStyle w:val="Compact"/>
              <w:jc w:val="left"/>
            </w:pPr>
            <w:r>
              <w:t xml:space="preserve">Well-understood, demonstrates fundamentals; fast to iterate.</w:t>
            </w:r>
          </w:p>
        </w:tc>
      </w:tr>
      <w:tr>
        <w:tc>
          <w:tcPr/>
          <w:p>
            <w:pPr>
              <w:pStyle w:val="Compact"/>
              <w:jc w:val="left"/>
            </w:pPr>
            <w:r>
              <w:t xml:space="preserve">nnU-Net</w:t>
            </w:r>
          </w:p>
        </w:tc>
        <w:tc>
          <w:tcPr/>
          <w:p>
            <w:pPr>
              <w:pStyle w:val="Compact"/>
              <w:jc w:val="left"/>
            </w:pPr>
            <w:r>
              <w:t xml:space="preserve">Primary benchmark model</w:t>
            </w:r>
          </w:p>
        </w:tc>
        <w:tc>
          <w:tcPr/>
          <w:p>
            <w:pPr>
              <w:pStyle w:val="Compact"/>
              <w:jc w:val="left"/>
            </w:pPr>
            <w:r>
              <w:t xml:space="preserve">Self-configuring, state-of-the-art on BraTS-style tasks; strong credibility signal when used correctly, not just run out-of-the-box.</w:t>
            </w:r>
          </w:p>
        </w:tc>
      </w:tr>
      <w:tr>
        <w:tc>
          <w:tcPr/>
          <w:p>
            <w:pPr>
              <w:pStyle w:val="Compact"/>
              <w:jc w:val="left"/>
            </w:pPr>
            <w:r>
              <w:t xml:space="preserve">Swin-UNETR (optional)</w:t>
            </w:r>
          </w:p>
        </w:tc>
        <w:tc>
          <w:tcPr/>
          <w:p>
            <w:pPr>
              <w:pStyle w:val="Compact"/>
              <w:jc w:val="left"/>
            </w:pPr>
            <w:r>
              <w:t xml:space="preserve">Stretch / novelty model</w:t>
            </w:r>
          </w:p>
        </w:tc>
        <w:tc>
          <w:tcPr/>
          <w:p>
            <w:pPr>
              <w:pStyle w:val="Compact"/>
              <w:jc w:val="left"/>
            </w:pPr>
            <w:r>
              <w:t xml:space="preserve">Transformer-based encoder; used to demonstrate architecture comparison and justify design trade-offs.</w:t>
            </w:r>
          </w:p>
        </w:tc>
      </w:tr>
    </w:tbl>
    <w:bookmarkEnd w:id="65"/>
    <w:bookmarkStart w:id="66" w:name="training-configuration"/>
    <w:p>
      <w:pPr>
        <w:pStyle w:val="Heading2"/>
      </w:pPr>
      <w:r>
        <w:t xml:space="preserve">9.2 Training Configuration</w:t>
      </w:r>
    </w:p>
    <w:p>
      <w:pPr>
        <w:numPr>
          <w:ilvl w:val="0"/>
          <w:numId w:val="1012"/>
        </w:numPr>
        <w:pStyle w:val="Compact"/>
      </w:pPr>
      <w:r>
        <w:t xml:space="preserve">Loss function: Dice loss + Cross-Entropy (weighted composite, default 1:1).</w:t>
      </w:r>
    </w:p>
    <w:p>
      <w:pPr>
        <w:numPr>
          <w:ilvl w:val="0"/>
          <w:numId w:val="1012"/>
        </w:numPr>
        <w:pStyle w:val="Compact"/>
      </w:pPr>
      <w:r>
        <w:t xml:space="preserve">Optimizer: AdamW with cosine-annealing or polynomial learning-rate decay.</w:t>
      </w:r>
    </w:p>
    <w:p>
      <w:pPr>
        <w:numPr>
          <w:ilvl w:val="0"/>
          <w:numId w:val="1012"/>
        </w:numPr>
        <w:pStyle w:val="Compact"/>
      </w:pPr>
      <w:r>
        <w:t xml:space="preserve">Patch size: 128×128×128 (configurable); batch size determined by available VRAM.</w:t>
      </w:r>
    </w:p>
    <w:p>
      <w:pPr>
        <w:numPr>
          <w:ilvl w:val="0"/>
          <w:numId w:val="1012"/>
        </w:numPr>
        <w:pStyle w:val="Compact"/>
      </w:pPr>
      <w:r>
        <w:t xml:space="preserve">Sliding-window inference: 50% patch overlap, Gaussian importance weighting.</w:t>
      </w:r>
    </w:p>
    <w:p>
      <w:pPr>
        <w:numPr>
          <w:ilvl w:val="0"/>
          <w:numId w:val="1012"/>
        </w:numPr>
        <w:pStyle w:val="Compact"/>
      </w:pPr>
      <w:r>
        <w:t xml:space="preserve">Cross-validation: 5-fold, patient-level split, stratified where feasible by tumor grade/site.</w:t>
      </w:r>
    </w:p>
    <w:p>
      <w:pPr>
        <w:numPr>
          <w:ilvl w:val="0"/>
          <w:numId w:val="1012"/>
        </w:numPr>
        <w:pStyle w:val="Compact"/>
      </w:pPr>
      <w:r>
        <w:t xml:space="preserve">Early stopping on validation Dice plateau (configurable patience). Rev. 1.1: patience is measured in epochs without validation-Dice improvement. Full sliding-window validation runs every val_interval epochs (default 5) and always on the final epoch — per-epoch full-volume validation does not fit the 30 GPU-hrs/week free-tier quota (Section 2.5).</w:t>
      </w:r>
    </w:p>
    <w:bookmarkEnd w:id="66"/>
    <w:bookmarkStart w:id="67" w:name="evaluation-metrics"/>
    <w:p>
      <w:pPr>
        <w:pStyle w:val="Heading2"/>
      </w:pPr>
      <w:r>
        <w:t xml:space="preserve">9.3 Evaluation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Reported Per</w:t>
            </w:r>
          </w:p>
        </w:tc>
      </w:tr>
      <w:tr>
        <w:tc>
          <w:tcPr/>
          <w:p>
            <w:pPr>
              <w:pStyle w:val="Compact"/>
              <w:jc w:val="left"/>
            </w:pPr>
            <w:r>
              <w:t xml:space="preserve">Dice Similarity Coefficient</w:t>
            </w:r>
          </w:p>
        </w:tc>
        <w:tc>
          <w:tcPr/>
          <w:p>
            <w:pPr>
              <w:pStyle w:val="Compact"/>
              <w:jc w:val="left"/>
            </w:pPr>
            <w:r>
              <w:t xml:space="preserve">2×│Prediction ∩ Ground Truth│ / (│Prediction│ + │Ground Truth│)</w:t>
            </w:r>
          </w:p>
        </w:tc>
        <w:tc>
          <w:tcPr/>
          <w:p>
            <w:pPr>
              <w:pStyle w:val="Compact"/>
              <w:jc w:val="left"/>
            </w:pPr>
            <w:r>
              <w:t xml:space="preserve">ET, TC, WT, per fold, and mean ± std</w:t>
            </w:r>
          </w:p>
        </w:tc>
      </w:tr>
      <w:tr>
        <w:tc>
          <w:tcPr/>
          <w:p>
            <w:pPr>
              <w:pStyle w:val="Compact"/>
              <w:jc w:val="left"/>
            </w:pPr>
            <w:r>
              <w:t xml:space="preserve">HD95</w:t>
            </w:r>
          </w:p>
        </w:tc>
        <w:tc>
          <w:tcPr/>
          <w:p>
            <w:pPr>
              <w:pStyle w:val="Compact"/>
              <w:jc w:val="left"/>
            </w:pPr>
            <w:r>
              <w:t xml:space="preserve">95th-percentile Hausdorff distance in mm — penalizes boundary outliers more robustly than max Hausdorff.</w:t>
            </w:r>
          </w:p>
        </w:tc>
        <w:tc>
          <w:tcPr/>
          <w:p>
            <w:pPr>
              <w:pStyle w:val="Compact"/>
              <w:jc w:val="left"/>
            </w:pPr>
            <w:r>
              <w:t xml:space="preserve">ET, TC, WT</w:t>
            </w:r>
          </w:p>
        </w:tc>
      </w:tr>
      <w:tr>
        <w:tc>
          <w:tcPr/>
          <w:p>
            <w:pPr>
              <w:pStyle w:val="Compact"/>
              <w:jc w:val="left"/>
            </w:pPr>
            <w:r>
              <w:t xml:space="preserve">Sensitivity / Specificity</w:t>
            </w:r>
          </w:p>
        </w:tc>
        <w:tc>
          <w:tcPr/>
          <w:p>
            <w:pPr>
              <w:pStyle w:val="Compact"/>
              <w:jc w:val="left"/>
            </w:pPr>
            <w:r>
              <w:t xml:space="preserve">Voxel-wise true positive / true negative rates.</w:t>
            </w:r>
          </w:p>
        </w:tc>
        <w:tc>
          <w:tcPr/>
          <w:p>
            <w:pPr>
              <w:pStyle w:val="Compact"/>
              <w:jc w:val="left"/>
            </w:pPr>
            <w:r>
              <w:t xml:space="preserve">ET, TC, WT</w:t>
            </w:r>
          </w:p>
        </w:tc>
      </w:tr>
      <w:tr>
        <w:tc>
          <w:tcPr/>
          <w:p>
            <w:pPr>
              <w:pStyle w:val="Compact"/>
              <w:jc w:val="left"/>
            </w:pPr>
            <w:r>
              <w:t xml:space="preserve">Inference latency</w:t>
            </w:r>
          </w:p>
        </w:tc>
        <w:tc>
          <w:tcPr/>
          <w:p>
            <w:pPr>
              <w:pStyle w:val="Compact"/>
              <w:jc w:val="left"/>
            </w:pPr>
            <w:r>
              <w:t xml:space="preserve">Wall-clock time for full-volume sliding-window inference.</w:t>
            </w:r>
          </w:p>
        </w:tc>
        <w:tc>
          <w:tcPr/>
          <w:p>
            <w:pPr>
              <w:pStyle w:val="Compact"/>
              <w:jc w:val="left"/>
            </w:pPr>
            <w:r>
              <w:t xml:space="preserve">Per hardware profile (GPU/CPU)</w:t>
            </w:r>
          </w:p>
        </w:tc>
      </w:tr>
    </w:tbl>
    <w:bookmarkEnd w:id="67"/>
    <w:bookmarkStart w:id="68" w:name="model-quality-gate-for-promotion"/>
    <w:p>
      <w:pPr>
        <w:pStyle w:val="Heading2"/>
      </w:pPr>
      <w:r>
        <w:t xml:space="preserve">9.4 Model Quality Gate for Promotion</w:t>
      </w:r>
    </w:p>
    <w:p>
      <w:pPr>
        <w:pStyle w:val="FirstParagraph"/>
      </w:pPr>
      <w:r>
        <w:rPr>
          <w:bCs/>
          <w:b/>
        </w:rPr>
        <w:t xml:space="preserve">Promotion gate:</w:t>
      </w:r>
      <w:r>
        <w:t xml:space="preserve"> </w:t>
      </w:r>
      <w:r>
        <w:t xml:space="preserve">A model version may only be promoted to</w:t>
      </w:r>
      <w:r>
        <w:t xml:space="preserve"> </w:t>
      </w:r>
      <w:r>
        <w:t xml:space="preserve">“</w:t>
      </w:r>
      <w:r>
        <w:t xml:space="preserve">active</w:t>
      </w:r>
      <w:r>
        <w:t xml:space="preserve">”</w:t>
      </w:r>
      <w:r>
        <w:t xml:space="preserve"> </w:t>
      </w:r>
      <w:r>
        <w:t xml:space="preserve">in the registry if it meets the accuracy thresholds defined in Section 5 (Non-Functional Requirements) on held-out cross-validation folds, and passes the qualitative failure-case review described in Section 11.</w:t>
      </w:r>
    </w:p>
    <w:bookmarkEnd w:id="68"/>
    <w:bookmarkEnd w:id="69"/>
    <w:bookmarkStart w:id="74" w:name="deployment-architecture"/>
    <w:p>
      <w:pPr>
        <w:pStyle w:val="Heading1"/>
      </w:pPr>
      <w:r>
        <w:t xml:space="preserve">10 Deployment Architecture</w:t>
      </w:r>
    </w:p>
    <w:bookmarkStart w:id="70" w:name="containerization"/>
    <w:p>
      <w:pPr>
        <w:pStyle w:val="Heading2"/>
      </w:pPr>
      <w:r>
        <w:t xml:space="preserve">10.1 Containerization</w:t>
      </w:r>
    </w:p>
    <w:p>
      <w:pPr>
        <w:numPr>
          <w:ilvl w:val="0"/>
          <w:numId w:val="1013"/>
        </w:numPr>
        <w:pStyle w:val="Compact"/>
      </w:pPr>
      <w:r>
        <w:t xml:space="preserve">Separate Docker images for: training environment, inference API service, and frontend.</w:t>
      </w:r>
    </w:p>
    <w:p>
      <w:pPr>
        <w:numPr>
          <w:ilvl w:val="0"/>
          <w:numId w:val="1013"/>
        </w:numPr>
        <w:pStyle w:val="Compact"/>
      </w:pPr>
      <w:r>
        <w:t xml:space="preserve">Inference image built on an NVIDIA CUDA runtime base; multi-stage build to keep final image lean.</w:t>
      </w:r>
    </w:p>
    <w:p>
      <w:pPr>
        <w:numPr>
          <w:ilvl w:val="0"/>
          <w:numId w:val="1013"/>
        </w:numPr>
        <w:pStyle w:val="Compact"/>
      </w:pPr>
      <w:r>
        <w:rPr>
          <w:rStyle w:val="VerbatimChar"/>
        </w:rPr>
        <w:t xml:space="preserve">docker-compose.yml</w:t>
      </w:r>
      <w:r>
        <w:t xml:space="preserve"> </w:t>
      </w:r>
      <w:r>
        <w:t xml:space="preserve">orchestrates: API service, frontend, PostgreSQL, MinIO, and (optionally) Prometheus/Grafana for local/all-in-one deployment.</w:t>
      </w:r>
    </w:p>
    <w:bookmarkEnd w:id="70"/>
    <w:bookmarkStart w:id="71" w:name="model-export-serving"/>
    <w:p>
      <w:pPr>
        <w:pStyle w:val="Heading2"/>
      </w:pPr>
      <w:r>
        <w:t xml:space="preserve">10.2 Model Export &amp; Serving</w:t>
      </w:r>
    </w:p>
    <w:p>
      <w:pPr>
        <w:numPr>
          <w:ilvl w:val="0"/>
          <w:numId w:val="1014"/>
        </w:numPr>
        <w:pStyle w:val="Compact"/>
      </w:pPr>
      <w:r>
        <w:t xml:space="preserve">Trained PyTorch checkpoints exported to TorchScript and/or ONNX for inference-time portability and speed.</w:t>
      </w:r>
    </w:p>
    <w:p>
      <w:pPr>
        <w:numPr>
          <w:ilvl w:val="0"/>
          <w:numId w:val="1014"/>
        </w:numPr>
        <w:pStyle w:val="Compact"/>
      </w:pPr>
      <w:r>
        <w:t xml:space="preserve">FastAPI service loads the currently</w:t>
      </w:r>
      <w:r>
        <w:t xml:space="preserve"> </w:t>
      </w:r>
      <w:r>
        <w:t xml:space="preserve">“</w:t>
      </w:r>
      <w:r>
        <w:t xml:space="preserve">active</w:t>
      </w:r>
      <w:r>
        <w:t xml:space="preserve">”</w:t>
      </w:r>
      <w:r>
        <w:t xml:space="preserve"> </w:t>
      </w:r>
      <w:r>
        <w:t xml:space="preserve">model from the registry at startup and on a hot-reload signal when a new version is promoted.</w:t>
      </w:r>
    </w:p>
    <w:p>
      <w:pPr>
        <w:numPr>
          <w:ilvl w:val="0"/>
          <w:numId w:val="1014"/>
        </w:numPr>
        <w:pStyle w:val="Compact"/>
      </w:pPr>
      <w:r>
        <w:t xml:space="preserve">Optional: NVIDIA Triton Inference Server for multi-model, multi-version concurrent serving at higher scale.</w:t>
      </w:r>
    </w:p>
    <w:bookmarkEnd w:id="71"/>
    <w:bookmarkStart w:id="72" w:name="cicd-pipeline"/>
    <w:p>
      <w:pPr>
        <w:pStyle w:val="Heading2"/>
      </w:pPr>
      <w:r>
        <w:t xml:space="preserve">10.3 CI/CD Pipeline</w:t>
      </w:r>
    </w:p>
    <w:p>
      <w:pPr>
        <w:numPr>
          <w:ilvl w:val="0"/>
          <w:numId w:val="1015"/>
        </w:numPr>
        <w:pStyle w:val="Compact"/>
      </w:pPr>
      <w:r>
        <w:t xml:space="preserve">On pull request: lint (ruff/flake8), type-check, run unit tests (preprocessing, post-processing, API contract tests).</w:t>
      </w:r>
    </w:p>
    <w:p>
      <w:pPr>
        <w:numPr>
          <w:ilvl w:val="0"/>
          <w:numId w:val="1015"/>
        </w:numPr>
        <w:pStyle w:val="Compact"/>
      </w:pPr>
      <w:r>
        <w:t xml:space="preserve">On merge to main: build Docker images, run a model smoke test (tiny synthetic volume through the full inference path), push images to the container registry.</w:t>
      </w:r>
    </w:p>
    <w:p>
      <w:pPr>
        <w:numPr>
          <w:ilvl w:val="0"/>
          <w:numId w:val="1015"/>
        </w:numPr>
        <w:pStyle w:val="Compact"/>
      </w:pPr>
      <w:r>
        <w:t xml:space="preserve">Manual/approval-gated step: deploy the new API image to staging; run integration tests against staging.</w:t>
      </w:r>
    </w:p>
    <w:p>
      <w:pPr>
        <w:numPr>
          <w:ilvl w:val="0"/>
          <w:numId w:val="1015"/>
        </w:numPr>
        <w:pStyle w:val="Compact"/>
      </w:pPr>
      <w:r>
        <w:t xml:space="preserve">Manual promotion: deploy to production and update the active model pointer, with rollback documented as a one-command action.</w:t>
      </w:r>
    </w:p>
    <w:bookmarkEnd w:id="72"/>
    <w:bookmarkStart w:id="73" w:name="monitoring-observability"/>
    <w:p>
      <w:pPr>
        <w:pStyle w:val="Heading2"/>
      </w:pPr>
      <w:r>
        <w:t xml:space="preserve">10.4 Monitoring &amp; Observability</w:t>
      </w:r>
    </w:p>
    <w:p>
      <w:pPr>
        <w:numPr>
          <w:ilvl w:val="0"/>
          <w:numId w:val="1016"/>
        </w:numPr>
        <w:pStyle w:val="Compact"/>
      </w:pPr>
      <w:r>
        <w:t xml:space="preserve">Prometheus scrapes API latency, request counts, error rates, and GPU utilization.</w:t>
      </w:r>
    </w:p>
    <w:p>
      <w:pPr>
        <w:numPr>
          <w:ilvl w:val="0"/>
          <w:numId w:val="1016"/>
        </w:numPr>
        <w:pStyle w:val="Compact"/>
      </w:pPr>
      <w:r>
        <w:t xml:space="preserve">Grafana dashboard: latency percentiles, throughput, input-drift score trend, model version in use.</w:t>
      </w:r>
    </w:p>
    <w:p>
      <w:pPr>
        <w:numPr>
          <w:ilvl w:val="0"/>
          <w:numId w:val="1016"/>
        </w:numPr>
        <w:pStyle w:val="Compact"/>
      </w:pPr>
      <w:r>
        <w:t xml:space="preserve">Structured JSON logs (request ID, case ID, model version, timing) shipped to a log aggregator.</w:t>
      </w:r>
    </w:p>
    <w:p>
      <w:pPr>
        <w:numPr>
          <w:ilvl w:val="0"/>
          <w:numId w:val="1016"/>
        </w:numPr>
        <w:pStyle w:val="Compact"/>
      </w:pPr>
      <w:r>
        <w:t xml:space="preserve">Alerting thresholds configured for p95 latency breach, elevated error rate, and drift-score breach.</w:t>
      </w:r>
    </w:p>
    <w:bookmarkEnd w:id="73"/>
    <w:bookmarkEnd w:id="74"/>
    <w:bookmarkStart w:id="75" w:name="testing-strategy"/>
    <w:p>
      <w:pPr>
        <w:pStyle w:val="Heading1"/>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 Level</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Unit tests</w:t>
            </w:r>
          </w:p>
        </w:tc>
        <w:tc>
          <w:tcPr/>
          <w:p>
            <w:pPr>
              <w:pStyle w:val="Compact"/>
              <w:jc w:val="left"/>
            </w:pPr>
            <w:r>
              <w:t xml:space="preserve">Preprocessing functions, post-processing functions, metric calculations, API request/response schemas.</w:t>
            </w:r>
          </w:p>
        </w:tc>
        <w:tc>
          <w:tcPr/>
          <w:p>
            <w:pPr>
              <w:pStyle w:val="Compact"/>
              <w:jc w:val="left"/>
            </w:pPr>
            <w:r>
              <w:t xml:space="preserve">Test that resampling preserves label integrity via nearest-neighbor interpolation.</w:t>
            </w:r>
          </w:p>
        </w:tc>
      </w:tr>
      <w:tr>
        <w:tc>
          <w:tcPr/>
          <w:p>
            <w:pPr>
              <w:pStyle w:val="Compact"/>
              <w:jc w:val="left"/>
            </w:pPr>
            <w:r>
              <w:t xml:space="preserve">Integration tests</w:t>
            </w:r>
          </w:p>
        </w:tc>
        <w:tc>
          <w:tcPr/>
          <w:p>
            <w:pPr>
              <w:pStyle w:val="Compact"/>
              <w:jc w:val="left"/>
            </w:pPr>
            <w:r>
              <w:t xml:space="preserve">Full preprocessing → inference → post-processing chain on a small synthetic or sample volume.</w:t>
            </w:r>
          </w:p>
        </w:tc>
        <w:tc>
          <w:tcPr/>
          <w:p>
            <w:pPr>
              <w:pStyle w:val="Compact"/>
              <w:jc w:val="left"/>
            </w:pPr>
            <w:r>
              <w:t xml:space="preserve">Upload a sample case through the API and assert a valid mask is returned.</w:t>
            </w:r>
          </w:p>
        </w:tc>
      </w:tr>
      <w:tr>
        <w:tc>
          <w:tcPr/>
          <w:p>
            <w:pPr>
              <w:pStyle w:val="Compact"/>
              <w:jc w:val="left"/>
            </w:pPr>
            <w:r>
              <w:t xml:space="preserve">Model validation</w:t>
            </w:r>
          </w:p>
        </w:tc>
        <w:tc>
          <w:tcPr/>
          <w:p>
            <w:pPr>
              <w:pStyle w:val="Compact"/>
              <w:jc w:val="left"/>
            </w:pPr>
            <w:r>
              <w:t xml:space="preserve">Cross-validated Dice/HD95 against the quality gate; failure-case slice review by the engineer.</w:t>
            </w:r>
          </w:p>
        </w:tc>
        <w:tc>
          <w:tcPr/>
          <w:p>
            <w:pPr>
              <w:pStyle w:val="Compact"/>
              <w:jc w:val="left"/>
            </w:pPr>
            <w:r>
              <w:t xml:space="preserve">5-fold CV report compared against BraTS published baselines.</w:t>
            </w:r>
          </w:p>
        </w:tc>
      </w:tr>
      <w:tr>
        <w:tc>
          <w:tcPr/>
          <w:p>
            <w:pPr>
              <w:pStyle w:val="Compact"/>
              <w:jc w:val="left"/>
            </w:pPr>
            <w:r>
              <w:t xml:space="preserve">Load / performance tests</w:t>
            </w:r>
          </w:p>
        </w:tc>
        <w:tc>
          <w:tcPr/>
          <w:p>
            <w:pPr>
              <w:pStyle w:val="Compact"/>
              <w:jc w:val="left"/>
            </w:pPr>
            <w:r>
              <w:t xml:space="preserve">Concurrent request handling, latency under load.</w:t>
            </w:r>
          </w:p>
        </w:tc>
        <w:tc>
          <w:tcPr/>
          <w:p>
            <w:pPr>
              <w:pStyle w:val="Compact"/>
              <w:jc w:val="left"/>
            </w:pPr>
            <w:r>
              <w:t xml:space="preserve">20 concurrent inference requests; assert p95 latency within budget.</w:t>
            </w:r>
          </w:p>
        </w:tc>
      </w:tr>
      <w:tr>
        <w:tc>
          <w:tcPr/>
          <w:p>
            <w:pPr>
              <w:pStyle w:val="Compact"/>
              <w:jc w:val="left"/>
            </w:pPr>
            <w:r>
              <w:t xml:space="preserve">Security tests</w:t>
            </w:r>
          </w:p>
        </w:tc>
        <w:tc>
          <w:tcPr/>
          <w:p>
            <w:pPr>
              <w:pStyle w:val="Compact"/>
              <w:jc w:val="left"/>
            </w:pPr>
            <w:r>
              <w:t xml:space="preserve">Auth enforcement, input-size limits, malformed-file handling.</w:t>
            </w:r>
          </w:p>
        </w:tc>
        <w:tc>
          <w:tcPr/>
          <w:p>
            <w:pPr>
              <w:pStyle w:val="Compact"/>
              <w:jc w:val="left"/>
            </w:pPr>
            <w:r>
              <w:t xml:space="preserve">Attempt upload without an API key; assert 401 response.</w:t>
            </w:r>
          </w:p>
        </w:tc>
      </w:tr>
      <w:tr>
        <w:tc>
          <w:tcPr/>
          <w:p>
            <w:pPr>
              <w:pStyle w:val="Compact"/>
              <w:jc w:val="left"/>
            </w:pPr>
            <w:r>
              <w:t xml:space="preserve">User acceptance testing (UAT)</w:t>
            </w:r>
          </w:p>
        </w:tc>
        <w:tc>
          <w:tcPr/>
          <w:p>
            <w:pPr>
              <w:pStyle w:val="Compact"/>
              <w:jc w:val="left"/>
            </w:pPr>
            <w:r>
              <w:t xml:space="preserve">End-to-end manual walkthrough of upload → view → export against the use cases in Section 8.</w:t>
            </w:r>
          </w:p>
        </w:tc>
        <w:tc>
          <w:tcPr/>
          <w:p>
            <w:pPr>
              <w:pStyle w:val="Compact"/>
              <w:jc w:val="left"/>
            </w:pPr>
            <w:r>
              <w:t xml:space="preserve">A reviewer completes UC-01 through UC-04 without confusion.</w:t>
            </w:r>
          </w:p>
        </w:tc>
      </w:tr>
    </w:tbl>
    <w:p>
      <w:pPr>
        <w:pStyle w:val="BodyText"/>
      </w:pPr>
      <w:r>
        <w:t xml:space="preserve">A regression test suite shall run automatically on every CI build. Model-quality regression (a promoted model performing worse than the previously active one on the standard validation set) shall block promotion automatically where feasible, and shall be manually reviewed otherwise.</w:t>
      </w:r>
    </w:p>
    <w:bookmarkEnd w:id="75"/>
    <w:bookmarkStart w:id="76" w:name="project-plan-and-milestones"/>
    <w:p>
      <w:pPr>
        <w:pStyle w:val="Heading1"/>
      </w:pPr>
      <w:r>
        <w:t xml:space="preserve">12 Project Plan and Milestones</w:t>
      </w:r>
    </w:p>
    <w:p>
      <w:pPr>
        <w:pStyle w:val="FirstParagraph"/>
      </w:pPr>
      <w:r>
        <w:rPr>
          <w:bCs/>
          <w:b/>
        </w:rPr>
        <w:t xml:space="preserve">Schedule basis:</w:t>
      </w:r>
      <w:r>
        <w:t xml:space="preserve"> </w:t>
      </w:r>
      <w:r>
        <w:t xml:space="preserve">Phases 2–3 below assume training on free-tier cloud GPU notebooks (Kaggle: 30 GPU-hrs/week, 12-hr session cap; Colab free tier as supplement) rather than a continuously-available local GPU. Durations are therefore expressed as calendar weeks gated by weekly quota resets, not continuous compute-days — training work is checkpoint-resume across multiple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Deliverables</w:t>
            </w:r>
          </w:p>
        </w:tc>
        <w:tc>
          <w:tcPr/>
          <w:p>
            <w:pPr>
              <w:pStyle w:val="Compact"/>
              <w:jc w:val="left"/>
            </w:pPr>
            <w:r>
              <w:rPr>
                <w:bCs/>
                <w:b/>
              </w:rPr>
              <w:t xml:space="preserve">Approx. Duration</w:t>
            </w:r>
          </w:p>
        </w:tc>
      </w:tr>
      <w:tr>
        <w:tc>
          <w:tcPr/>
          <w:p>
            <w:pPr>
              <w:pStyle w:val="Compact"/>
              <w:jc w:val="left"/>
            </w:pPr>
            <w:r>
              <w:t xml:space="preserve">1. Setup &amp; Data</w:t>
            </w:r>
          </w:p>
        </w:tc>
        <w:tc>
          <w:tcPr/>
          <w:p>
            <w:pPr>
              <w:pStyle w:val="Compact"/>
              <w:jc w:val="left"/>
            </w:pPr>
            <w:r>
              <w:t xml:space="preserve">Repo scaffolding, BraTS access (Kaggle-hosted dataset preferred), data audit, preprocessing pipeline, patient-level split manifest.</w:t>
            </w:r>
          </w:p>
        </w:tc>
        <w:tc>
          <w:tcPr/>
          <w:p>
            <w:pPr>
              <w:pStyle w:val="Compact"/>
              <w:jc w:val="left"/>
            </w:pPr>
            <w:r>
              <w:t xml:space="preserve">Week 1–2</w:t>
            </w:r>
          </w:p>
        </w:tc>
      </w:tr>
      <w:tr>
        <w:tc>
          <w:tcPr/>
          <w:p>
            <w:pPr>
              <w:pStyle w:val="Compact"/>
              <w:jc w:val="left"/>
            </w:pPr>
            <w:r>
              <w:t xml:space="preserve">2. Baseline Model</w:t>
            </w:r>
          </w:p>
        </w:tc>
        <w:tc>
          <w:tcPr/>
          <w:p>
            <w:pPr>
              <w:pStyle w:val="Compact"/>
              <w:jc w:val="left"/>
            </w:pPr>
            <w:r>
              <w:t xml:space="preserve">3D U-Net training loop (96³ patches, AMP, checkpoint-resume), MONAI integration, cross-validated Dice on Kaggle/Colab free-tier GPU, experiment tracking wired up.</w:t>
            </w:r>
          </w:p>
        </w:tc>
        <w:tc>
          <w:tcPr/>
          <w:p>
            <w:pPr>
              <w:pStyle w:val="Compact"/>
              <w:jc w:val="left"/>
            </w:pPr>
            <w:r>
              <w:t xml:space="preserve">Week 3–5</w:t>
            </w:r>
          </w:p>
        </w:tc>
      </w:tr>
      <w:tr>
        <w:tc>
          <w:tcPr/>
          <w:p>
            <w:pPr>
              <w:pStyle w:val="Compact"/>
              <w:jc w:val="left"/>
            </w:pPr>
            <w:r>
              <w:t xml:space="preserve">3. Model Improvement</w:t>
            </w:r>
          </w:p>
        </w:tc>
        <w:tc>
          <w:tcPr/>
          <w:p>
            <w:pPr>
              <w:pStyle w:val="Compact"/>
              <w:jc w:val="left"/>
            </w:pPr>
            <w:r>
              <w:t xml:space="preserve">nnU-Net benchmark run (epoch-capped to fit quota), hyperparameter tuning, error analysis on failure cases, quality-gate pass.</w:t>
            </w:r>
          </w:p>
        </w:tc>
        <w:tc>
          <w:tcPr/>
          <w:p>
            <w:pPr>
              <w:pStyle w:val="Compact"/>
              <w:jc w:val="left"/>
            </w:pPr>
            <w:r>
              <w:t xml:space="preserve">Week 6–8</w:t>
            </w:r>
          </w:p>
        </w:tc>
      </w:tr>
      <w:tr>
        <w:tc>
          <w:tcPr/>
          <w:p>
            <w:pPr>
              <w:pStyle w:val="Compact"/>
              <w:jc w:val="left"/>
            </w:pPr>
            <w:r>
              <w:t xml:space="preserve">4. Serving Layer</w:t>
            </w:r>
          </w:p>
        </w:tc>
        <w:tc>
          <w:tcPr/>
          <w:p>
            <w:pPr>
              <w:pStyle w:val="Compact"/>
              <w:jc w:val="left"/>
            </w:pPr>
            <w:r>
              <w:t xml:space="preserve">Model export (ONNX/TorchScript), FastAPI inference service, sliding-window + post-processing in production code path.</w:t>
            </w:r>
          </w:p>
        </w:tc>
        <w:tc>
          <w:tcPr/>
          <w:p>
            <w:pPr>
              <w:pStyle w:val="Compact"/>
              <w:jc w:val="left"/>
            </w:pPr>
            <w:r>
              <w:t xml:space="preserve">Week 9</w:t>
            </w:r>
          </w:p>
        </w:tc>
      </w:tr>
      <w:tr>
        <w:tc>
          <w:tcPr/>
          <w:p>
            <w:pPr>
              <w:pStyle w:val="Compact"/>
              <w:jc w:val="left"/>
            </w:pPr>
            <w:r>
              <w:t xml:space="preserve">5. Frontend</w:t>
            </w:r>
          </w:p>
        </w:tc>
        <w:tc>
          <w:tcPr/>
          <w:p>
            <w:pPr>
              <w:pStyle w:val="Compact"/>
              <w:jc w:val="left"/>
            </w:pPr>
            <w:r>
              <w:t xml:space="preserve">Upload UI, slice viewer with overlay, report export.</w:t>
            </w:r>
          </w:p>
        </w:tc>
        <w:tc>
          <w:tcPr/>
          <w:p>
            <w:pPr>
              <w:pStyle w:val="Compact"/>
              <w:jc w:val="left"/>
            </w:pPr>
            <w:r>
              <w:t xml:space="preserve">Week 10</w:t>
            </w:r>
          </w:p>
        </w:tc>
      </w:tr>
      <w:tr>
        <w:tc>
          <w:tcPr/>
          <w:p>
            <w:pPr>
              <w:pStyle w:val="Compact"/>
              <w:jc w:val="left"/>
            </w:pPr>
            <w:r>
              <w:t xml:space="preserve">6. Deployment &amp; Ops</w:t>
            </w:r>
          </w:p>
        </w:tc>
        <w:tc>
          <w:tcPr/>
          <w:p>
            <w:pPr>
              <w:pStyle w:val="Compact"/>
              <w:jc w:val="left"/>
            </w:pPr>
            <w:r>
              <w:t xml:space="preserve">Dockerization, docker-compose stack, CI/CD pipeline, monitoring dashboard.</w:t>
            </w:r>
          </w:p>
        </w:tc>
        <w:tc>
          <w:tcPr/>
          <w:p>
            <w:pPr>
              <w:pStyle w:val="Compact"/>
              <w:jc w:val="left"/>
            </w:pPr>
            <w:r>
              <w:t xml:space="preserve">Week 11</w:t>
            </w:r>
          </w:p>
        </w:tc>
      </w:tr>
      <w:tr>
        <w:tc>
          <w:tcPr/>
          <w:p>
            <w:pPr>
              <w:pStyle w:val="Compact"/>
              <w:jc w:val="left"/>
            </w:pPr>
            <w:r>
              <w:t xml:space="preserve">7. Testing &amp; Hardening</w:t>
            </w:r>
          </w:p>
        </w:tc>
        <w:tc>
          <w:tcPr/>
          <w:p>
            <w:pPr>
              <w:pStyle w:val="Compact"/>
              <w:jc w:val="left"/>
            </w:pPr>
            <w:r>
              <w:t xml:space="preserve">Full test suite, load test, security pass, documentation, UAT walkthrough.</w:t>
            </w:r>
          </w:p>
        </w:tc>
        <w:tc>
          <w:tcPr/>
          <w:p>
            <w:pPr>
              <w:pStyle w:val="Compact"/>
              <w:jc w:val="left"/>
            </w:pPr>
            <w:r>
              <w:t xml:space="preserve">Week 12</w:t>
            </w:r>
          </w:p>
        </w:tc>
      </w:tr>
      <w:tr>
        <w:tc>
          <w:tcPr/>
          <w:p>
            <w:pPr>
              <w:pStyle w:val="Compact"/>
              <w:jc w:val="left"/>
            </w:pPr>
            <w:r>
              <w:t xml:space="preserve">8. Polish &amp; Presentation</w:t>
            </w:r>
          </w:p>
        </w:tc>
        <w:tc>
          <w:tcPr/>
          <w:p>
            <w:pPr>
              <w:pStyle w:val="Compact"/>
              <w:jc w:val="left"/>
            </w:pPr>
            <w:r>
              <w:t xml:space="preserve">README, architecture diagrams, demo video/write-up, portfolio packaging.</w:t>
            </w:r>
          </w:p>
        </w:tc>
        <w:tc>
          <w:tcPr/>
          <w:p>
            <w:pPr>
              <w:pStyle w:val="Compact"/>
              <w:jc w:val="left"/>
            </w:pPr>
            <w:r>
              <w:t xml:space="preserve">Week 13</w:t>
            </w:r>
          </w:p>
        </w:tc>
      </w:tr>
    </w:tbl>
    <w:p>
      <w:pPr>
        <w:pStyle w:val="BodyText"/>
      </w:pPr>
      <w:r>
        <w:t xml:space="preserve">Compared to a locally-owned GPU workflow, Phases 2–3 (model training) stretch from roughly two weeks to five, since progress is gated by weekly GPU-hour quota rather than continuous access. Total project duration extends from ~11 to ~13 weeks accordingly; Phases 4 onward are unaffected since they do not require GPU training time.</w:t>
      </w:r>
    </w:p>
    <w:bookmarkEnd w:id="76"/>
    <w:bookmarkStart w:id="77" w:name="risk-analysis"/>
    <w:p>
      <w:pPr>
        <w:pStyle w:val="Heading1"/>
      </w:pPr>
      <w:r>
        <w:t xml:space="preserve">13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GPU memory insufficient for 3D patch training on a free-tier 16 GB T4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smaller patch size (96³/64³), mixed precision, gradient accumulation; reduce batch size to 1–2.</w:t>
            </w:r>
          </w:p>
        </w:tc>
      </w:tr>
      <w:tr>
        <w:tc>
          <w:tcPr/>
          <w:p>
            <w:pPr>
              <w:pStyle w:val="Compact"/>
              <w:jc w:val="left"/>
            </w:pPr>
            <w:r>
              <w:t xml:space="preserve">Free-tier notebook session ends mid-training (Kaggle 12-hr cap / Colab disconnect)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Checkpoint model + optimizer state at least once per epoch to persistent storage; resume automatically from latest checkpoint on next session; log all runs to an external tracker (W&amp;B) so progress survives a lost session.</w:t>
            </w:r>
          </w:p>
        </w:tc>
      </w:tr>
      <w:tr>
        <w:tc>
          <w:tcPr/>
          <w:p>
            <w:pPr>
              <w:pStyle w:val="Compact"/>
              <w:jc w:val="left"/>
            </w:pPr>
            <w:r>
              <w:t xml:space="preserve">Weekly GPU-hour quota (Kaggle: 30 hrs) exhausted before a training phase completes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Plan training in multiple weekly-quota chunks (see Section 12); supplement with Colab free tier in parallel; reduce CV folds or dataset subset size if needed to fit budget.</w:t>
            </w:r>
          </w:p>
        </w:tc>
      </w:tr>
      <w:tr>
        <w:tc>
          <w:tcPr/>
          <w:p>
            <w:pPr>
              <w:pStyle w:val="Compact"/>
              <w:jc w:val="left"/>
            </w:pPr>
            <w:r>
              <w:t xml:space="preserve">Data leakage via improper train/val/test split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Enforce patient-level split at the manifest level; add an automated check in CI that asserts no case ID overlap across folds.</w:t>
            </w:r>
          </w:p>
        </w:tc>
      </w:tr>
      <w:tr>
        <w:tc>
          <w:tcPr/>
          <w:p>
            <w:pPr>
              <w:pStyle w:val="Compact"/>
              <w:jc w:val="left"/>
            </w:pPr>
            <w:r>
              <w:t xml:space="preserve">Model underperforms published Dice baselines due to reduced epoch budget on free-tier compute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from nnU-Net’s proven default configuration before customizing; cap epochs deliberately with early stopping rather than an arbitrary cutoff; document any CV-fold or dataset-subset reduction alongside reported metrics.</w:t>
            </w:r>
          </w:p>
        </w:tc>
      </w:tr>
      <w:tr>
        <w:tc>
          <w:tcPr/>
          <w:p>
            <w:pPr>
              <w:pStyle w:val="Compact"/>
              <w:jc w:val="left"/>
            </w:pPr>
            <w:r>
              <w:t xml:space="preserve">BraTS license/access delays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Register for dataset access early (Phase 1); prefer the Kaggle-hosted public copy where available as an interim/primary source.</w:t>
            </w:r>
          </w:p>
        </w:tc>
      </w:tr>
      <w:tr>
        <w:tc>
          <w:tcPr/>
          <w:p>
            <w:pPr>
              <w:pStyle w:val="Compact"/>
              <w:jc w:val="left"/>
            </w:pPr>
            <w:r>
              <w:t xml:space="preserve">Inference latency exceeds budget on CPU fallback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Document GPU as the recommended path; optimize patch overlap/stride for CPU mode as a secondary tuning pass.</w:t>
            </w:r>
          </w:p>
        </w:tc>
      </w:tr>
      <w:tr>
        <w:tc>
          <w:tcPr/>
          <w:p>
            <w:pPr>
              <w:pStyle w:val="Compact"/>
              <w:jc w:val="left"/>
            </w:pPr>
            <w:r>
              <w:t xml:space="preserve">Scope creep (trying to cover too many modalities/tasks)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Lock scope to BraTS brain-tumor segmentation only for v1; log extensions as future work.</w:t>
            </w:r>
          </w:p>
        </w:tc>
      </w:tr>
      <w:tr>
        <w:tc>
          <w:tcPr/>
          <w:p>
            <w:pPr>
              <w:pStyle w:val="Compact"/>
              <w:jc w:val="left"/>
            </w:pPr>
            <w:r>
              <w:t xml:space="preserve">Misinterpretation as a clinical-grade tool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Mandatory non-clinical-use disclaimer in UI/API (Section 14); no diagnostic claims in documentation.</w:t>
            </w:r>
          </w:p>
        </w:tc>
      </w:tr>
    </w:tbl>
    <w:bookmarkEnd w:id="77"/>
    <w:bookmarkStart w:id="82" w:name="Xc6f9d8297517c1fc89d19415e5826ec0041c029"/>
    <w:p>
      <w:pPr>
        <w:pStyle w:val="Heading1"/>
      </w:pPr>
      <w:r>
        <w:t xml:space="preserve">14 Ethical, Legal, and Regulatory Considerations</w:t>
      </w:r>
    </w:p>
    <w:p>
      <w:pPr>
        <w:pStyle w:val="FirstParagraph"/>
      </w:pPr>
      <w:r>
        <w:rPr>
          <w:bCs/>
          <w:b/>
        </w:rPr>
        <w:t xml:space="preserve">Mandatory disclaimer:</w:t>
      </w:r>
      <w:r>
        <w:t xml:space="preserve"> </w:t>
      </w:r>
      <w:r>
        <w:t xml:space="preserve">This system is a research and educational pipeline. It is NOT a certified medical device, has NOT received regulatory clearance (e.g., FDA, CE), and MUST NOT be used for actual clinical diagnosis, treatment planning, or any decision affecting patient care.</w:t>
      </w:r>
    </w:p>
    <w:bookmarkStart w:id="78" w:name="regulatory-positioning"/>
    <w:p>
      <w:pPr>
        <w:pStyle w:val="Heading2"/>
      </w:pPr>
      <w:r>
        <w:t xml:space="preserve">14.1 Regulatory Positioning</w:t>
      </w:r>
    </w:p>
    <w:p>
      <w:pPr>
        <w:pStyle w:val="FirstParagraph"/>
      </w:pPr>
      <w:r>
        <w:t xml:space="preserve">The Pipeline is explicitly positioned as a research/portfolio artifact. No claims of clinical validation, regulatory clearance, or diagnostic accuracy suitable for patient care are made anywhere in the system’s documentation, UI, or API responses. Any future path toward clinical use would require a formal quality management system, clinical validation studies, and regulatory submission — out of scope for this project.</w:t>
      </w:r>
    </w:p>
    <w:bookmarkEnd w:id="78"/>
    <w:bookmarkStart w:id="79" w:name="data-privacy"/>
    <w:p>
      <w:pPr>
        <w:pStyle w:val="Heading2"/>
      </w:pPr>
      <w:r>
        <w:t xml:space="preserve">14.2 Data Privacy</w:t>
      </w:r>
    </w:p>
    <w:p>
      <w:pPr>
        <w:numPr>
          <w:ilvl w:val="0"/>
          <w:numId w:val="1017"/>
        </w:numPr>
        <w:pStyle w:val="Compact"/>
      </w:pPr>
      <w:r>
        <w:t xml:space="preserve">BraTS data is used strictly under its research-use license and is not redistributed.</w:t>
      </w:r>
    </w:p>
    <w:p>
      <w:pPr>
        <w:numPr>
          <w:ilvl w:val="0"/>
          <w:numId w:val="1017"/>
        </w:numPr>
        <w:pStyle w:val="Compact"/>
      </w:pPr>
      <w:r>
        <w:t xml:space="preserve">User-uploaded scans (outside the benchmark) are treated as potentially sensitive: encrypted at rest, access-controlled, and deletable on request.</w:t>
      </w:r>
    </w:p>
    <w:p>
      <w:pPr>
        <w:numPr>
          <w:ilvl w:val="0"/>
          <w:numId w:val="1017"/>
        </w:numPr>
        <w:pStyle w:val="Compact"/>
      </w:pPr>
      <w:r>
        <w:t xml:space="preserve">No identifying metadata is required for the pipeline to function; users are advised to de-identify uploads before submission.</w:t>
      </w:r>
    </w:p>
    <w:bookmarkEnd w:id="79"/>
    <w:bookmarkStart w:id="80" w:name="bias-and-fairness"/>
    <w:p>
      <w:pPr>
        <w:pStyle w:val="Heading2"/>
      </w:pPr>
      <w:r>
        <w:t xml:space="preserve">14.3 Bias and Fairness</w:t>
      </w:r>
    </w:p>
    <w:p>
      <w:pPr>
        <w:numPr>
          <w:ilvl w:val="0"/>
          <w:numId w:val="1018"/>
        </w:numPr>
        <w:pStyle w:val="Compact"/>
      </w:pPr>
      <w:r>
        <w:t xml:space="preserve">The BraTS cohort’s demographic and institutional composition is documented as a known limitation; model performance may vary across scanner types, field strengths, and populations not well represented in the training data.</w:t>
      </w:r>
    </w:p>
    <w:p>
      <w:pPr>
        <w:numPr>
          <w:ilvl w:val="0"/>
          <w:numId w:val="1018"/>
        </w:numPr>
        <w:pStyle w:val="Compact"/>
      </w:pPr>
      <w:r>
        <w:t xml:space="preserve">Failure-case review (Section 11) explicitly includes checking for systematic underperformance on any identifiable subgroup present in the metadata.</w:t>
      </w:r>
    </w:p>
    <w:bookmarkEnd w:id="80"/>
    <w:bookmarkStart w:id="81" w:name="intellectual-property"/>
    <w:p>
      <w:pPr>
        <w:pStyle w:val="Heading2"/>
      </w:pPr>
      <w:r>
        <w:t xml:space="preserve">14.4 Intellectual Property</w:t>
      </w:r>
    </w:p>
    <w:p>
      <w:pPr>
        <w:numPr>
          <w:ilvl w:val="0"/>
          <w:numId w:val="1019"/>
        </w:numPr>
        <w:pStyle w:val="Compact"/>
      </w:pPr>
      <w:r>
        <w:t xml:space="preserve">The project’s own code is released under a license chosen by the author (e.g., MIT/Apache-2.0), stated in the repository.</w:t>
      </w:r>
    </w:p>
    <w:p>
      <w:pPr>
        <w:numPr>
          <w:ilvl w:val="0"/>
          <w:numId w:val="1019"/>
        </w:numPr>
        <w:pStyle w:val="Compact"/>
      </w:pPr>
      <w:r>
        <w:t xml:space="preserve">Third-party dependencies (PyTorch, MONAI, nnU-Net, etc.) retain their own licenses, which shall be checked for compatibility before release.</w:t>
      </w:r>
    </w:p>
    <w:bookmarkEnd w:id="81"/>
    <w:bookmarkEnd w:id="82"/>
    <w:bookmarkStart w:id="88" w:name="appendices"/>
    <w:p>
      <w:pPr>
        <w:pStyle w:val="Heading1"/>
      </w:pPr>
      <w:r>
        <w:t xml:space="preserve">15 Appendices</w:t>
      </w:r>
    </w:p>
    <w:bookmarkStart w:id="83" w:name="appendix-a-glossary"/>
    <w:p>
      <w:pPr>
        <w:pStyle w:val="Heading2"/>
      </w:pPr>
      <w:r>
        <w:t xml:space="preserve">Appendix A — Glossary</w:t>
      </w:r>
    </w:p>
    <w:p>
      <w:pPr>
        <w:pStyle w:val="FirstParagraph"/>
      </w:pPr>
      <w:r>
        <w:t xml:space="preserve">See Section 1.4, Definitions, Acronyms and Abbreviations, for the full glossary used throughout this document.</w:t>
      </w:r>
    </w:p>
    <w:bookmarkEnd w:id="83"/>
    <w:bookmarkStart w:id="84" w:name="appendix-b-full-reference-list"/>
    <w:p>
      <w:pPr>
        <w:pStyle w:val="Heading2"/>
      </w:pPr>
      <w:r>
        <w:t xml:space="preserve">Appendix B — Full Reference List</w:t>
      </w:r>
    </w:p>
    <w:p>
      <w:pPr>
        <w:pStyle w:val="FirstParagraph"/>
      </w:pPr>
      <w:r>
        <w:t xml:space="preserve">See Section 1.5, References.</w:t>
      </w:r>
    </w:p>
    <w:bookmarkEnd w:id="84"/>
    <w:bookmarkStart w:id="85" w:name="Xddefb96b72a2dea5a14ea02901c381e656ec19d"/>
    <w:p>
      <w:pPr>
        <w:pStyle w:val="Heading2"/>
      </w:pPr>
      <w:r>
        <w:t xml:space="preserve">Appendix C — Requirement Traceability Summary</w:t>
      </w:r>
    </w:p>
    <w:p>
      <w:pPr>
        <w:pStyle w:val="FirstParagraph"/>
      </w:pPr>
      <w:r>
        <w:t xml:space="preserve">Every functional requirement in Section 4 carries a unique ID (FR-x.y) intended to be referenced directly in code comments, test names, and pull request descriptions (e.g.,</w:t>
      </w:r>
      <w:r>
        <w:t xml:space="preserve"> </w:t>
      </w:r>
      <w:r>
        <w:t xml:space="preserve">“</w:t>
      </w:r>
      <w:r>
        <w:t xml:space="preserve">Implements FR-4.2</w:t>
      </w:r>
      <w:r>
        <w:t xml:space="preserve">”</w:t>
      </w:r>
      <w:r>
        <w:t xml:space="preserve">), so that test coverage and implementation status can be traced back to this specification at any point in development.</w:t>
      </w:r>
    </w:p>
    <w:bookmarkEnd w:id="85"/>
    <w:bookmarkStart w:id="86" w:name="appendix-d-document-change-control"/>
    <w:p>
      <w:pPr>
        <w:pStyle w:val="Heading2"/>
      </w:pPr>
      <w:r>
        <w:t xml:space="preserve">Appendix D — Document Change Control</w:t>
      </w:r>
    </w:p>
    <w:p>
      <w:pPr>
        <w:pStyle w:val="FirstParagraph"/>
      </w:pPr>
      <w:r>
        <w:t xml:space="preserve">Future revisions to this SRS shall increment the version number in the Document Control table (front matter) and record the change summary there. Material changes to scope (Section 1.2) or the model quality gate (Section 9.4) require re-approval per the Approval table in the front matter.</w:t>
      </w:r>
    </w:p>
    <w:bookmarkEnd w:id="86"/>
    <w:bookmarkStart w:id="87" w:name="X5f2268ccd72008c1a8abb756ce7aa5f2ba29fc8"/>
    <w:p>
      <w:pPr>
        <w:pStyle w:val="Heading2"/>
      </w:pPr>
      <w:r>
        <w:t xml:space="preserve">Appendix E — Recorded Implementation Decisions (Rev. 1.1, extended in Rev. 1.2)</w:t>
      </w:r>
    </w:p>
    <w:p>
      <w:pPr>
        <w:pStyle w:val="FirstParagraph"/>
      </w:pPr>
      <w:r>
        <w:t xml:space="preserve">The following decisions were made during implementation where this SRS was silent or offered alternatives. Each is also recorded as a dated comment at the point of implementation in the codebase.</w:t>
      </w:r>
    </w:p>
    <w:p>
      <w:pPr>
        <w:numPr>
          <w:ilvl w:val="0"/>
          <w:numId w:val="1020"/>
        </w:numPr>
      </w:pPr>
      <w:r>
        <w:t xml:space="preserve">Experiment tracker: Weights &amp; Biases (project brats-segmentation). All</w:t>
      </w:r>
      <w:r>
        <w:t xml:space="preserve"> </w:t>
      </w:r>
      <w:r>
        <w:t xml:space="preserve">“</w:t>
      </w:r>
      <w:r>
        <w:t xml:space="preserve">MLflow or W&amp;B</w:t>
      </w:r>
      <w:r>
        <w:t xml:space="preserve">”</w:t>
      </w:r>
      <w:r>
        <w:t xml:space="preserve"> </w:t>
      </w:r>
      <w:r>
        <w:t xml:space="preserve">alternatives in this document resolve to W&amp;B (FR-3.4, Sections 3.1, 6.3).</w:t>
      </w:r>
    </w:p>
    <w:p>
      <w:pPr>
        <w:numPr>
          <w:ilvl w:val="0"/>
          <w:numId w:val="1020"/>
        </w:numPr>
      </w:pPr>
      <w:r>
        <w:t xml:space="preserve">Dataset: BraTS2020 Kaggle-hosted release (369 cases; 368 valid after audit, 1 excluded for a missing file), rather than BraTS2021 (Sections 2.6, 7.1–7.2).</w:t>
      </w:r>
    </w:p>
    <w:p>
      <w:pPr>
        <w:numPr>
          <w:ilvl w:val="0"/>
          <w:numId w:val="1020"/>
        </w:numPr>
      </w:pPr>
      <w:r>
        <w:t xml:space="preserve">Validation frequency: full sliding-window validation every val_interval epochs (default 5) and always on the final epoch, sized to the 30 GPU-hrs/week quota (FR-3.3, Section 9.2).</w:t>
      </w:r>
    </w:p>
    <w:p>
      <w:pPr>
        <w:numPr>
          <w:ilvl w:val="0"/>
          <w:numId w:val="1020"/>
        </w:numPr>
      </w:pPr>
      <w:r>
        <w:t xml:space="preserve">Early stopping: patience measured in epochs without validation-Dice improvement; counter persisted in checkpoints for session-resume correctness (Section 9.2, FR-3.7).</w:t>
      </w:r>
    </w:p>
    <w:p>
      <w:pPr>
        <w:numPr>
          <w:ilvl w:val="0"/>
          <w:numId w:val="1020"/>
        </w:numPr>
      </w:pPr>
      <w:r>
        <w:t xml:space="preserve">Top-K checkpoints: improved-Dice checkpoints named fold{i}_best_e{epoch}_d{dice}.pt; only the keep_top_k highest-Dice files retained (FR-3.3).</w:t>
      </w:r>
    </w:p>
    <w:p>
      <w:pPr>
        <w:numPr>
          <w:ilvl w:val="0"/>
          <w:numId w:val="1020"/>
        </w:numPr>
      </w:pPr>
      <w:r>
        <w:t xml:space="preserve">Case IDs:</w:t>
      </w:r>
      <w:r>
        <w:t xml:space="preserve"> </w:t>
      </w:r>
      <w:r>
        <w:t xml:space="preserve">“</w:t>
      </w:r>
      <w:r>
        <w:t xml:space="preserve">case_</w:t>
      </w:r>
      <w:r>
        <w:t xml:space="preserve">”</w:t>
      </w:r>
      <w:r>
        <w:t xml:space="preserve"> </w:t>
      </w:r>
      <w:r>
        <w:t xml:space="preserve">+ 12-character UUID hex (FR-1.5 requires uniqueness; format was unspecified).</w:t>
      </w:r>
    </w:p>
    <w:p>
      <w:pPr>
        <w:numPr>
          <w:ilvl w:val="0"/>
          <w:numId w:val="1020"/>
        </w:numPr>
      </w:pPr>
      <w:r>
        <w:t xml:space="preserve">Interim storage: raw uploads persist to a local directory (CASE_STORAGE_DIR, default data/uploads/) instead of S3/MinIO; PostgreSQL metadata store deferred. External API behavior is unchanged and the storage backend remains swappable (Sections 2.4, 6.3). Training checkpoints persist via Kaggle notebook version commits (decision of 30-Aug-2026).</w:t>
      </w:r>
    </w:p>
    <w:p>
      <w:pPr>
        <w:numPr>
          <w:ilvl w:val="0"/>
          <w:numId w:val="1020"/>
        </w:numPr>
      </w:pPr>
      <w:r>
        <w:t xml:space="preserve">Confidence summary (FR-4.5): mean winning-class softmax probability within each predicted region; 0 for absent regions.</w:t>
      </w:r>
    </w:p>
    <w:p>
      <w:pPr>
        <w:numPr>
          <w:ilvl w:val="0"/>
          <w:numId w:val="1020"/>
        </w:numPr>
      </w:pPr>
      <w:r>
        <w:t xml:space="preserve">Non-clinical-use disclaimer (Section 14) is embedded in every inference summary JSON, not only UI and API layers.</w:t>
      </w:r>
    </w:p>
    <w:p>
      <w:pPr>
        <w:numPr>
          <w:ilvl w:val="0"/>
          <w:numId w:val="1020"/>
        </w:numPr>
      </w:pPr>
      <w:r>
        <w:t xml:space="preserve">Report export (FR-6.5): implemented client-side in the frontend (jsPDF) rather than as a backend endpoint. Rationale: the slice-overlay snapshot must reflect the user’s current view state (slice position, label toggles, opacity), which exists only in the browser; a server-side render could not match it and would add API surface and dependencies. JSON export serializes the inference summary verbatim; the disclaimer field originates from the backend summary (see decision 9) and is authoritative. (Decision of 05-Sep-2026.)</w:t>
      </w:r>
    </w:p>
    <w:p>
      <w:pPr>
        <w:numPr>
          <w:ilvl w:val="0"/>
          <w:numId w:val="1020"/>
        </w:numPr>
      </w:pPr>
      <w:r>
        <w:t xml:space="preserve">Model listing (FR-5.4): implemented as a local checkpoint-directory scan (MODEL_DIR, default models/) with metadata parsed from the decision-№5 filename convention (fold{i}_best_e{epoch}_d{dice}.pt); the checkpoint named by MODEL_CHECKPOINT is marked active. Rationale: the model registry is deferred (decision №7), and the filename convention is already the authoritative local encoding of fold/epoch/Dice. Per-region ET/TC/WT metrics remain in W&amp;B; the endpoint reports only locally verifiable facts. Non-conforming .pt files are listed with null metadata. (Decision of 06-Sep-2026.)</w:t>
      </w:r>
    </w:p>
    <w:p>
      <w:pPr>
        <w:numPr>
          <w:ilvl w:val="0"/>
          <w:numId w:val="1020"/>
        </w:numPr>
      </w:pPr>
      <w:r>
        <w:t xml:space="preserve">API authentication and rate limiting (FR-5.6): implemented as a static API key in the X-API-Key header, enforced only when the API_KEY environment variable is set; when unset the API is open, so local development, tests, and the frontend dev proxy require no changes. Rate limiting is an in-memory sliding window per client (per key when authenticated, per client IP otherwise), configured by RATE_LIMIT_PER_MINUTE (default 60; 0 disables), returning 429 when exceeded. Both failure modes use the FR-5.7 structured error format. The limiter is single-process by design and swappable for a shared store (e.g. Redis) without changing the API surface. (Decision of 06-Sep-2026.)</w:t>
      </w:r>
    </w:p>
    <w:p>
      <w:pPr>
        <w:pStyle w:val="FirstParagraph"/>
      </w:pPr>
      <w:r>
        <w:t xml:space="preserve">PROPOSAL PENDING APPROVAL (material change per Appendix D): apply the Section 5/9.4 accuracy quality gate (mean Dice ≥ 0.85 WT / 0.80 TC / 0.75 ET) to the nnU-Net benchmark path only, and report the from-scratch 3D U-Net baseline as documented best-effort under free-tier compute. Rationale: the gate figures track published results from substantially larger compute budgets. Until approved, the gate as written in Sections 5 and 9.4 stands.</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2026-09-07T17:00:34Z</dcterms:created>
  <dcterms:modified xsi:type="dcterms:W3CDTF">2026-09-07T17:00:34Z</dcterms:modified>
</cp:coreProperties>
</file>

<file path=docProps/custom.xml><?xml version="1.0" encoding="utf-8"?>
<Properties xmlns="http://schemas.openxmlformats.org/officeDocument/2006/custom-properties" xmlns:vt="http://schemas.openxmlformats.org/officeDocument/2006/docPropsVTypes"/>
</file>