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IT401 IT Capstone requirements</w:t>
      </w:r>
    </w:p>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instrText xml:space="preserve"> TOC \o "1-3" \h \z \u </w:instrText>
            <w:fldChar w:fldCharType="separate"/>
          </w:r>
          <w:hyperlink w:anchor="_Toc90000001" w:history="1">
            <w:r>
              <w:t xml:space="preserve">1. Executive Summary</w:t>
              <w:tab/>
              <w:fldChar w:fldCharType="begin"/>
              <w:instrText xml:space="preserve"> PAGEREF _Toc90000001 \h </w:instrText>
              <w:fldChar w:fldCharType="separate"/>
              <w:t>3</w:t>
              <w:fldChar w:fldCharType="end"/>
            </w:r>
          </w:hyperlink>
        </w:p>
        <w:p>
          <w:pPr>
            <w:pStyle w:val="TOC1"/>
          </w:pPr>
          <w:hyperlink w:anchor="_Toc90000002" w:history="1">
            <w:r>
              <w:t xml:space="preserve">2. Project Overview &amp; Objectives</w:t>
              <w:tab/>
              <w:fldChar w:fldCharType="begin"/>
              <w:instrText xml:space="preserve"> PAGEREF _Toc90000002 \h </w:instrText>
              <w:fldChar w:fldCharType="separate"/>
              <w:t>3</w:t>
              <w:fldChar w:fldCharType="end"/>
            </w:r>
          </w:hyperlink>
        </w:p>
        <w:p>
          <w:pPr>
            <w:pStyle w:val="TOC2"/>
          </w:pPr>
          <w:hyperlink w:anchor="_Toc90000003" w:history="1">
            <w:r>
              <w:t xml:space="preserve">2.1 Objectives</w:t>
              <w:tab/>
              <w:fldChar w:fldCharType="begin"/>
              <w:instrText xml:space="preserve"> PAGEREF _Toc90000003 \h </w:instrText>
              <w:fldChar w:fldCharType="separate"/>
              <w:t>3</w:t>
              <w:fldChar w:fldCharType="end"/>
            </w:r>
          </w:hyperlink>
        </w:p>
        <w:p>
          <w:pPr>
            <w:pStyle w:val="TOC1"/>
          </w:pPr>
          <w:hyperlink w:anchor="_Toc90000004" w:history="1">
            <w:r>
              <w:t xml:space="preserve">3. Deliverables Summary</w:t>
              <w:tab/>
              <w:fldChar w:fldCharType="begin"/>
              <w:instrText xml:space="preserve"> PAGEREF _Toc90000004 \h </w:instrText>
              <w:fldChar w:fldCharType="separate"/>
              <w:t>4</w:t>
              <w:fldChar w:fldCharType="end"/>
            </w:r>
          </w:hyperlink>
        </w:p>
        <w:p>
          <w:pPr>
            <w:pStyle w:val="TOC2"/>
          </w:pPr>
          <w:hyperlink w:anchor="_Toc90000005" w:history="1">
            <w:r>
              <w:t xml:space="preserve">3.1 Deliverable 3 — Working Prototype</w:t>
              <w:tab/>
              <w:fldChar w:fldCharType="begin"/>
              <w:instrText xml:space="preserve"> PAGEREF _Toc90000005 \h </w:instrText>
              <w:fldChar w:fldCharType="separate"/>
              <w:t>4</w:t>
              <w:fldChar w:fldCharType="end"/>
            </w:r>
          </w:hyperlink>
        </w:p>
        <w:p>
          <w:pPr>
            <w:pStyle w:val="TOC2"/>
          </w:pPr>
          <w:hyperlink w:anchor="_Toc90000006" w:history="1">
            <w:r>
              <w:t xml:space="preserve">3.2 Deliverable 4 — Complete Project Report</w:t>
              <w:tab/>
              <w:fldChar w:fldCharType="begin"/>
              <w:instrText xml:space="preserve"> PAGEREF _Toc90000006 \h </w:instrText>
              <w:fldChar w:fldCharType="separate"/>
              <w:t>5</w:t>
              <w:fldChar w:fldCharType="end"/>
            </w:r>
          </w:hyperlink>
        </w:p>
        <w:p>
          <w:pPr>
            <w:pStyle w:val="TOC2"/>
          </w:pPr>
          <w:hyperlink w:anchor="_Toc90000007" w:history="1">
            <w:r>
              <w:t xml:space="preserve">3.3 Deliverable 5 — 100% Feature Completion</w:t>
              <w:tab/>
              <w:fldChar w:fldCharType="begin"/>
              <w:instrText xml:space="preserve"> PAGEREF _Toc90000007 \h </w:instrText>
              <w:fldChar w:fldCharType="separate"/>
              <w:t>5</w:t>
              <w:fldChar w:fldCharType="end"/>
            </w:r>
          </w:hyperlink>
        </w:p>
        <w:p>
          <w:pPr>
            <w:pStyle w:val="TOC2"/>
          </w:pPr>
          <w:hyperlink w:anchor="_Toc90000008" w:history="1">
            <w:r>
              <w:t xml:space="preserve">3.4 Extended Scope — The Billing Engine</w:t>
              <w:tab/>
              <w:fldChar w:fldCharType="begin"/>
              <w:instrText xml:space="preserve"> PAGEREF _Toc90000008 \h </w:instrText>
              <w:fldChar w:fldCharType="separate"/>
              <w:t>5</w:t>
              <w:fldChar w:fldCharType="end"/>
            </w:r>
          </w:hyperlink>
        </w:p>
        <w:p>
          <w:pPr>
            <w:pStyle w:val="TOC1"/>
          </w:pPr>
          <w:hyperlink w:anchor="_Toc90000009" w:history="1">
            <w:r>
              <w:t xml:space="preserve">4. System Architecture Summary</w:t>
              <w:tab/>
              <w:fldChar w:fldCharType="begin"/>
              <w:instrText xml:space="preserve"> PAGEREF _Toc90000009 \h </w:instrText>
              <w:fldChar w:fldCharType="separate"/>
              <w:t>6</w:t>
              <w:fldChar w:fldCharType="end"/>
            </w:r>
          </w:hyperlink>
        </w:p>
        <w:p>
          <w:pPr>
            <w:pStyle w:val="TOC1"/>
          </w:pPr>
          <w:hyperlink w:anchor="_Toc90000010" w:history="1">
            <w:r>
              <w:t xml:space="preserve">5. Key Features Delivered</w:t>
              <w:tab/>
              <w:fldChar w:fldCharType="begin"/>
              <w:instrText xml:space="preserve"> PAGEREF _Toc90000010 \h </w:instrText>
              <w:fldChar w:fldCharType="separate"/>
              <w:t>7</w:t>
              <w:fldChar w:fldCharType="end"/>
            </w:r>
          </w:hyperlink>
        </w:p>
        <w:p>
          <w:pPr>
            <w:pStyle w:val="TOC2"/>
          </w:pPr>
          <w:hyperlink w:anchor="_Toc90000011" w:history="1">
            <w:r>
              <w:t xml:space="preserve">5.1 By Role</w:t>
              <w:tab/>
              <w:fldChar w:fldCharType="begin"/>
              <w:instrText xml:space="preserve"> PAGEREF _Toc90000011 \h </w:instrText>
              <w:fldChar w:fldCharType="separate"/>
              <w:t>7</w:t>
              <w:fldChar w:fldCharType="end"/>
            </w:r>
          </w:hyperlink>
        </w:p>
        <w:p>
          <w:pPr>
            <w:pStyle w:val="TOC2"/>
          </w:pPr>
          <w:hyperlink w:anchor="_Toc90000012" w:history="1">
            <w:r>
              <w:t xml:space="preserve">5.2 Deliverable 5 Highlights</w:t>
              <w:tab/>
              <w:fldChar w:fldCharType="begin"/>
              <w:instrText xml:space="preserve"> PAGEREF _Toc90000012 \h </w:instrText>
              <w:fldChar w:fldCharType="separate"/>
              <w:t>7</w:t>
              <w:fldChar w:fldCharType="end"/>
            </w:r>
          </w:hyperlink>
        </w:p>
        <w:p>
          <w:pPr>
            <w:pStyle w:val="TOC2"/>
          </w:pPr>
          <w:hyperlink w:anchor="_Toc90000013" w:history="1">
            <w:r>
              <w:t xml:space="preserve">5.3 Billing Engine Highlights</w:t>
              <w:tab/>
              <w:fldChar w:fldCharType="begin"/>
              <w:instrText xml:space="preserve"> PAGEREF _Toc90000013 \h </w:instrText>
              <w:fldChar w:fldCharType="separate"/>
              <w:t>7</w:t>
              <w:fldChar w:fldCharType="end"/>
            </w:r>
          </w:hyperlink>
        </w:p>
        <w:p>
          <w:pPr>
            <w:pStyle w:val="TOC1"/>
          </w:pPr>
          <w:hyperlink w:anchor="_Toc90000014" w:history="1">
            <w:r>
              <w:t xml:space="preserve">6. Testing &amp; Quality Assurance Results</w:t>
              <w:tab/>
              <w:fldChar w:fldCharType="begin"/>
              <w:instrText xml:space="preserve"> PAGEREF _Toc90000014 \h </w:instrText>
              <w:fldChar w:fldCharType="separate"/>
              <w:t>7</w:t>
              <w:fldChar w:fldCharType="end"/>
            </w:r>
          </w:hyperlink>
        </w:p>
        <w:p>
          <w:pPr>
            <w:pStyle w:val="TOC2"/>
          </w:pPr>
          <w:hyperlink w:anchor="_Toc90000015" w:history="1">
            <w:r>
              <w:t xml:space="preserve">6.1 What the Suite Verifies</w:t>
              <w:tab/>
              <w:fldChar w:fldCharType="begin"/>
              <w:instrText xml:space="preserve"> PAGEREF _Toc90000015 \h </w:instrText>
              <w:fldChar w:fldCharType="separate"/>
              <w:t>8</w:t>
              <w:fldChar w:fldCharType="end"/>
            </w:r>
          </w:hyperlink>
        </w:p>
        <w:p>
          <w:pPr>
            <w:pStyle w:val="TOC1"/>
          </w:pPr>
          <w:hyperlink w:anchor="_Toc90000016" w:history="1">
            <w:r>
              <w:t xml:space="preserve">7. Challenges &amp; Lessons Learned</w:t>
              <w:tab/>
              <w:fldChar w:fldCharType="begin"/>
              <w:instrText xml:space="preserve"> PAGEREF _Toc90000016 \h </w:instrText>
              <w:fldChar w:fldCharType="separate"/>
              <w:t>8</w:t>
              <w:fldChar w:fldCharType="end"/>
            </w:r>
          </w:hyperlink>
        </w:p>
        <w:p>
          <w:pPr>
            <w:pStyle w:val="TOC1"/>
          </w:pPr>
          <w:hyperlink w:anchor="_Toc90000017" w:history="1">
            <w:r>
              <w:t xml:space="preserve">8. Conclusion &amp; Recommendations for Future Work</w:t>
              <w:tab/>
              <w:fldChar w:fldCharType="begin"/>
              <w:instrText xml:space="preserve"> PAGEREF _Toc90000017 \h </w:instrText>
              <w:fldChar w:fldCharType="separate"/>
              <w:t>9</w:t>
              <w:fldChar w:fldCharType="end"/>
            </w:r>
          </w:hyperlink>
        </w:p>
        <w:p>
          <w:pPr>
            <w:pStyle w:val="TOC2"/>
          </w:pPr>
          <w:hyperlink w:anchor="_Toc90000018" w:history="1">
            <w:r>
              <w:t xml:space="preserve">8.1 Recommendations for IT402 (Capstone Part 2)</w:t>
              <w:tab/>
              <w:fldChar w:fldCharType="begin"/>
              <w:instrText xml:space="preserve"> PAGEREF _Toc90000018 \h </w:instrText>
              <w:fldChar w:fldCharType="separate"/>
              <w:t>9</w:t>
              <w:fldChar w:fldCharType="end"/>
            </w:r>
          </w:hyperlink>
        </w:p>
        <w:p>
          <w:pPr>
            <w:pStyle w:val="TOC1"/>
          </w:pPr>
          <w:hyperlink w:anchor="_Toc90000019" w:history="1">
            <w:r>
              <w:t xml:space="preserve">Appendix: Project Statistics Summary</w:t>
              <w:tab/>
              <w:fldChar w:fldCharType="begin"/>
              <w:instrText xml:space="preserve"> PAGEREF _Toc90000019 \h </w:instrText>
              <w:fldChar w:fldCharType="separate"/>
              <w:t>11</w:t>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300"/>
      </w:pPr>
      <w:r>
        <w:rPr>
          <w:color w:val="1E293B"/>
          <w:sz w:val="21"/>
          <w:szCs w:val="21"/>
        </w:rPr>
        <w:t xml:space="preserve">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Deliverable 6 — a project demonstration video, a presentation video, and this final capstone report — closed out the formal capstone submission. Since then, the system has been further extended with a complete billing engine (Section 3.4): eight additional capabilities covering charges, metering, prorated and variable rent, automated billing, statements, receipts, and expense reporting, all built additively and fully tested. This report has been updated to describe that current, running state rather than the state at the moment of the original D6 submission.</w:t>
      </w:r>
    </w:p>
    <w:p>
      <w:pPr>
        <w:spacing w:after="180" w:line="300"/>
      </w:pPr>
      <w:r>
        <w:rPr>
          <w:color w:val="1E293B"/>
          <w:sz w:val="21"/>
          <w:szCs w:val="21"/>
        </w:rPr>
        <w:t xml:space="preserve">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204-test automated suite (all 204 passing on the latest run; one scheduler test self-skips on dates near month-end) with zero failures and 83% statement coverage, and it runs entirely offline — no paid external account (email, SMS, or payment provider) is required to build, run, or test it.</w:t>
      </w:r>
    </w:p>
    <w:p>
      <w:pPr>
        <w:spacing w:after="180" w:line="300"/>
      </w:pPr>
      <w:r>
        <w:rPr>
          <w:color w:val="1E293B"/>
          <w:sz w:val="21"/>
          <w:szCs w:val="21"/>
        </w:rPr>
        <w:t xml:space="preserve">The guiding principle across this project has been that a claim in the documentation should be a fact about the running system, not a target for it. Every number in this report — 25 use cases, 18 tables, 204 tests, 83%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2563EB"/>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A working Flask application implementing the SRS, with an initial automated test suite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Complete 7-chapter report (Introduction, OOA, OOD, Database Design, Software Development, Testing, Conclusion) plus Appendices A &amp; B, subsequently updated to reflect D5</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remaining SRS gaps closed: photo uploads, late fees, tenant blacklisting, ID documents,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D6, beyond the original SRS: charges, metering, pro rata rent, variable rent, auto billing, statements, receipts, expenses — 78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bl>
    <w:p>
      <w:pPr>
        <w:pStyle w:val="Heading2"/>
        <w:spacing w:after="150" w:before="300"/>
      </w:pPr>
      <w:bookmarkStart w:id="904" w:name="_Toc90000005"/>
      <w:r>
        <w:rPr>
          <w:b/>
          <w:bCs/>
          <w:color w:val="2563EB"/>
          <w:sz w:val="26"/>
          <w:szCs w:val="26"/>
        </w:rPr>
        <w:t xml:space="preserve">3.1 Deliverable 3 — Working Prototype</w:t>
      </w:r>
      <w:bookmarkEnd w:id="904"/>
    </w:p>
    <w:p>
      <w:pPr>
        <w:spacing w:after="180" w:line="300"/>
      </w:pPr>
      <w:r>
        <w:rPr>
          <w:color w:val="1E293B"/>
          <w:sz w:val="21"/>
          <w:szCs w:val="21"/>
        </w:rPr>
        <w:t xml:space="preserve">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w:t>
      </w:r>
    </w:p>
    <w:p>
      <w:pPr>
        <w:pStyle w:val="Heading2"/>
        <w:spacing w:after="150" w:before="300"/>
      </w:pPr>
      <w:bookmarkStart w:id="905" w:name="_Toc90000006"/>
      <w:r>
        <w:rPr>
          <w:b/>
          <w:bCs/>
          <w:color w:val="2563EB"/>
          <w:sz w:val="26"/>
          <w:szCs w:val="26"/>
        </w:rPr>
        <w:t xml:space="preserve">3.2 Deliverable 4 — Complete Project Report</w:t>
      </w:r>
      <w:bookmarkEnd w:id="905"/>
    </w:p>
    <w:p>
      <w:pPr>
        <w:spacing w:after="180" w:line="300"/>
      </w:pPr>
      <w:r>
        <w:rPr>
          <w:color w:val="1E293B"/>
          <w:sz w:val="21"/>
          <w:szCs w:val="21"/>
        </w:rPr>
        <w:t xml:space="preserve">Deliverable 4 documented the system in full: seven chapters covering requirements analysis, object-oriented analysis and design, database design, the software development process, testing methodology and results, and a conclusion, plus an Installation Guide and User Manual. When Deliverable 5 later closed additional feature gaps, Deliverable 4’s diagrams, chapter text, and appendices were regenerated and updated so the report continued to describe the real, current system rather than a stale snapshot of it.</w:t>
      </w:r>
    </w:p>
    <w:p>
      <w:pPr>
        <w:pStyle w:val="Heading2"/>
        <w:spacing w:after="150" w:before="300"/>
      </w:pPr>
      <w:bookmarkStart w:id="906" w:name="_Toc90000007"/>
      <w:r>
        <w:rPr>
          <w:b/>
          <w:bCs/>
          <w:color w:val="2563EB"/>
          <w:sz w:val="26"/>
          <w:szCs w:val="26"/>
        </w:rPr>
        <w:t xml:space="preserve">3.3 Deliverable 5 — 100% Feature Completion</w:t>
      </w:r>
      <w:bookmarkEnd w:id="906"/>
    </w:p>
    <w:p>
      <w:pPr>
        <w:spacing w:after="180" w:line="300"/>
      </w:pPr>
      <w:r>
        <w:rPr>
          <w:color w:val="1E293B"/>
          <w:sz w:val="21"/>
          <w:szCs w:val="21"/>
        </w:rPr>
        <w:t xml:space="preserve">An audit against the original SRS after the Deliverable 3 prototype identified eight real feature gaps. Each was closed and covered by its own automated test:</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pStyle w:val="Heading2"/>
        <w:spacing w:after="150" w:before="300"/>
      </w:pPr>
      <w:bookmarkStart w:id="907" w:name="_Toc90000008"/>
      <w:r>
        <w:rPr>
          <w:b/>
          <w:bCs/>
          <w:color w:val="2563EB"/>
          <w:sz w:val="26"/>
          <w:szCs w:val="26"/>
        </w:rPr>
        <w:t xml:space="preserve">3.4 Extended Scope — The Billing Engine</w:t>
      </w:r>
      <w:bookmarkEnd w:id="907"/>
    </w:p>
    <w:p>
      <w:pPr>
        <w:spacing w:after="180" w:line="300"/>
      </w:pPr>
      <w:r>
        <w:rPr>
          <w:color w:val="1E293B"/>
          <w:sz w:val="21"/>
          <w:szCs w:val="21"/>
        </w:rPr>
        <w:t xml:space="preserve">After Deliverable 6 was submitted, the project was extended with a complete billing engine — eight further capabilities going beyond the original SRS, each designed additively so the existing 124-test suite kept passing unmodified, and each covered by its own new test module (78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35 Jinja2 templates behind role-aware navigation, plus a shared design system in static/css/style.css</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security.py (RBAC, IDOR, validation, audit log),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18 SQLAlchemy models with String(36) UUID primary keys, naive UTC datetimes, and business logic (balances, numbering, occupancy, billing) on the model itself</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PostgreSQL (production) / SQLite (dev &amp; test), Redis (caching, rate limiting), Docker Compose,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2563EB"/>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2563EB"/>
          <w:sz w:val="26"/>
          <w:szCs w:val="26"/>
        </w:rPr>
        <w:t xml:space="preserve">5.2 Deliverable 5 Highlights</w:t>
      </w:r>
      <w:bookmarkEnd w:id="911"/>
    </w:p>
    <w:p>
      <w:pPr>
        <w:spacing w:after="180" w:line="300"/>
      </w:pPr>
      <w:r>
        <w:rPr>
          <w:color w:val="1E293B"/>
          <w:sz w:val="21"/>
          <w:szCs w:val="21"/>
        </w:rPr>
        <w:t xml:space="preserve">The eight feature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2563EB"/>
          <w:sz w:val="26"/>
          <w:szCs w:val="26"/>
        </w:rPr>
        <w:t xml:space="preserve">5.3 Billing Engine Highlights</w:t>
      </w:r>
      <w:bookmarkEnd w:id="912"/>
    </w:p>
    <w:p>
      <w:pPr>
        <w:spacing w:after="180" w:line="300"/>
      </w:pPr>
      <w:r>
        <w:rPr>
          <w:color w:val="1E293B"/>
          <w:sz w:val="21"/>
          <w:szCs w:val="21"/>
        </w:rPr>
        <w:t xml:space="preserve">The eight billing capabilities added after Deliverable 6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204</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204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 on the latest run (one scheduler test self-skips on dates near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83%</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bookmarkStart w:id="914" w:name="_Toc90000015"/>
      <w:r>
        <w:rPr>
          <w:b/>
          <w:bCs/>
          <w:color w:val="2563EB"/>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 xml:space="preserve">Deliverable 5 features: every one of the eight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78 tests in total, the single largest block of the suite.</w:t>
      </w:r>
    </w:p>
    <w:p>
      <w:pPr>
        <w:spacing w:after="180" w:line="300"/>
      </w:pPr>
      <w:r>
        <w:rPr>
          <w:color w:val="1E293B"/>
          <w:sz w:val="21"/>
          <w:szCs w:val="21"/>
        </w:rPr>
        <w:t xml:space="preserve">Coverage is concentrated in models.py (99%), security.py (92%), and the reports service (95%)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When Deliverable 5 closed additional feature gaps, Deliverables 3 and 4 were re-audited against the running code and their diagrams, numbers, and chapter text were regenerated rather than left stale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300"/>
      </w:pPr>
      <w:r>
        <w:rPr>
          <w:color w:val="1E293B"/>
          <w:sz w:val="21"/>
          <w:szCs w:val="21"/>
        </w:rPr>
        <w:t xml:space="preserve">RentalPro was carried from a requirements document, through a design, to a working prototype, a full project report, 100% feature completion, a demonstration and presentation package, and now an extended billing engine. Every claim in this document is backed by a running, tested system: 25 of 25 use cases implemented, each with a route and a covering test; the original 13-table database design implemented exactly as specified, since grown to 18 tables; all 204 automated tests passing with zero failures at 83% statement coverage; eight additional feature gaps closed in Deliverable 5; and eight further billing capabilities added afterward.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2563EB"/>
          <w:sz w:val="26"/>
          <w:szCs w:val="26"/>
        </w:rPr>
        <w:t xml:space="preserve">8.1 Recommendations for IT402 (Capstone Part 2)</w:t>
      </w:r>
      <w:bookmarkEnd w:id="917"/>
    </w:p>
    <w:p>
      <w:pPr>
        <w:pStyle w:val="ListParagraph"/>
        <w:numPr>
          <w:ilvl w:val="0"/>
          <w:numId w:val="2"/>
        </w:numPr>
        <w:spacing w:after="120" w:line="290"/>
      </w:pPr>
      <w:r>
        <w:rPr>
          <w:b/>
          <w:bCs/>
          <w:color w:val="0F172A"/>
          <w:sz w:val="21"/>
          <w:szCs w:val="21"/>
        </w:rPr>
        <w:t xml:space="preserve">Cloud file storage: </w:t>
      </w:r>
      <w:r>
        <w:rPr>
          <w:color w:val="1E293B"/>
          <w:sz w:val="21"/>
          <w:szCs w:val="21"/>
        </w:rPr>
        <w:t xml:space="preserve">replace the local uploads/ directory with S3-compatible object storage; this is already isolated behind a small storage.py interface, so the swap needs no route or template changes.</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 xml:space="preserve">Alembic-based schema migrations: </w:t>
      </w:r>
      <w:r>
        <w:rPr>
          <w:color w:val="1E293B"/>
          <w:sz w:val="21"/>
          <w:szCs w:val="21"/>
        </w:rPr>
        <w:t xml:space="preserve">replace the create_all() bootstrap used during development with a real migration path before a live database holds real tenant data.</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204</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204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83%</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Docker Compose (Flask/Gunicorn + PostgreSQL + Redis), GitHub Actions CI</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2026-09-23T06:58:32.807Z</dcterms:created>
  <dcterms:modified xsi:type="dcterms:W3CDTF">2026-09-23T06:58:32.818Z</dcterms:modified>
</cp:coreProperties>
</file>

<file path=docProps/custom.xml><?xml version="1.0" encoding="utf-8"?>
<Properties xmlns="http://schemas.openxmlformats.org/officeDocument/2006/custom-properties" xmlns:vt="http://schemas.openxmlformats.org/officeDocument/2006/docPropsVTypes"/>
</file>