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IT402 — IT Capstone II</w:t>
      </w:r>
    </w:p>
    <w:p>
      <w:pPr>
        <w:spacing w:before="100"/>
        <w:jc w:val="center"/>
      </w:pPr>
      <w:r>
        <w:rPr>
          <w:i/>
          <w:iCs/>
          <w:color w:val="475569"/>
          <w:sz w:val="21"/>
          <w:szCs w:val="21"/>
        </w:rPr>
        <w:t xml:space="preserve">IT402 Deliverable 3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IT402 IT Capstone II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4</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IT401 Deliverable 3 — Working Prototype</w:t>
              <w:tab/>
              <w:fldChar w:fldCharType="begin"/>
              <w:instrText xml:space="preserve"> PAGEREF _Toc90000005 \h </w:instrText>
              <w:fldChar w:fldCharType="separate"/>
              <w:t>5</w:t>
              <w:fldChar w:fldCharType="end"/>
            </w:r>
          </w:hyperlink>
        </w:p>
        <w:p>
          <w:pPr>
            <w:pStyle w:val="TOC2"/>
          </w:pPr>
          <w:hyperlink w:anchor="_Toc90000006" w:history="1">
            <w:r>
              <w:t xml:space="preserve">3.2 IT402 Deliverable 1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IT402 Deliverable 2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6</w:t>
              <w:fldChar w:fldCharType="end"/>
            </w:r>
          </w:hyperlink>
        </w:p>
        <w:p>
          <w:pPr>
            <w:pStyle w:val="TOC2"/>
          </w:pPr>
          <w:hyperlink w:anchor="_Toc90000030" w:history="1">
            <w:r>
              <w:t xml:space="preserve">3.5 Extended Scope — Usability, Localisation &amp; Harare Demo Data</w:t>
              <w:tab/>
              <w:fldChar w:fldCharType="begin"/>
              <w:instrText xml:space="preserve"> PAGEREF _Toc90000030 \h </w:instrText>
              <w:fldChar w:fldCharType="separate"/>
              <w:t>6</w:t>
              <w:fldChar w:fldCharType="end"/>
            </w:r>
          </w:hyperlink>
        </w:p>
        <w:p>
          <w:pPr>
            <w:pStyle w:val="TOC2"/>
          </w:pPr>
          <w:hyperlink w:anchor="_Toc90000032" w:history="1">
            <w:r>
              <w:t xml:space="preserve">3.6 Extended Scope — Full Arabic &amp; Production Hardening</w:t>
              <w:tab/>
              <w:fldChar w:fldCharType="begin"/>
              <w:instrText xml:space="preserve"> PAGEREF _Toc90000032 \h </w:instrText>
              <w:fldChar w:fldCharType="separate"/>
              <w:t>7</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8</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9</w:t>
              <w:fldChar w:fldCharType="end"/>
            </w:r>
          </w:hyperlink>
        </w:p>
        <w:p>
          <w:pPr>
            <w:pStyle w:val="TOC2"/>
          </w:pPr>
          <w:hyperlink w:anchor="_Toc90000011" w:history="1">
            <w:r>
              <w:t xml:space="preserve">5.1 By Role</w:t>
              <w:tab/>
              <w:fldChar w:fldCharType="begin"/>
              <w:instrText xml:space="preserve"> PAGEREF _Toc90000011 \h </w:instrText>
              <w:fldChar w:fldCharType="separate"/>
              <w:t>9</w:t>
              <w:fldChar w:fldCharType="end"/>
            </w:r>
          </w:hyperlink>
        </w:p>
        <w:p>
          <w:pPr>
            <w:pStyle w:val="TOC2"/>
          </w:pPr>
          <w:hyperlink w:anchor="_Toc90000012" w:history="1">
            <w:r>
              <w:t xml:space="preserve">5.2 IT402 Deliverable 2 Highlights</w:t>
              <w:tab/>
              <w:fldChar w:fldCharType="begin"/>
              <w:instrText xml:space="preserve"> PAGEREF _Toc90000012 \h </w:instrText>
              <w:fldChar w:fldCharType="separate"/>
              <w:t>9</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10</w:t>
              <w:fldChar w:fldCharType="end"/>
            </w:r>
          </w:hyperlink>
        </w:p>
        <w:p>
          <w:pPr>
            <w:pStyle w:val="TOC2"/>
          </w:pPr>
          <w:hyperlink w:anchor="_Toc90000031" w:history="1">
            <w:r>
              <w:t xml:space="preserve">5.4 Usability &amp; Localisation Highlights</w:t>
              <w:tab/>
              <w:fldChar w:fldCharType="begin"/>
              <w:instrText xml:space="preserve"> PAGEREF _Toc90000031 \h </w:instrText>
              <w:fldChar w:fldCharType="separate"/>
              <w:t>10</w:t>
              <w:fldChar w:fldCharType="end"/>
            </w:r>
          </w:hyperlink>
        </w:p>
        <w:p>
          <w:pPr>
            <w:pStyle w:val="TOC2"/>
          </w:pPr>
          <w:hyperlink w:anchor="_Toc90000033" w:history="1">
            <w:r>
              <w:t xml:space="preserve">5.5 Full Arabic &amp; Hardening Highlights</w:t>
              <w:tab/>
              <w:fldChar w:fldCharType="begin"/>
              <w:instrText xml:space="preserve"> PAGEREF _Toc90000033 \h </w:instrText>
              <w:fldChar w:fldCharType="separate"/>
              <w:t>10</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10</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11</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11</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12</w:t>
              <w:fldChar w:fldCharType="end"/>
            </w:r>
          </w:hyperlink>
        </w:p>
        <w:p>
          <w:pPr>
            <w:pStyle w:val="TOC2"/>
          </w:pPr>
          <w:hyperlink w:anchor="_Toc90000018" w:history="1">
            <w:r>
              <w:t xml:space="preserve">8.1 Recommendations Beyond IT402</w:t>
              <w:tab/>
              <w:fldChar w:fldCharType="begin"/>
              <w:instrText xml:space="preserve"> PAGEREF _Toc90000018 \h </w:instrText>
              <w:fldChar w:fldCharType="separate"/>
              <w:t>13</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14</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RentalPro is a Digital Rental Management System built to replace the spreadsheets, paper leases, and manual reminders that independent landlords and small property managers still rely on. The project was carried out across two courses and five prior deliverables — a Software Requirements Specification (IT401 Deliverable 1), a UML and database design (IT401 Deliverable 2), a working prototype application (IT401 Deliverable 3), a complete seven-chapter project report (IT402 Deliverable 1), and, closing every remaining gap against the original requirements, 100% feature completion (IT402 Deliverable 2). IT402 Deliverable 3 — a project demonstration video, a presentation video, and this final capstone report — closes out the formal capstone submission. Since the demonstration package was first prepared, the system has been further extended with a complete billing engine (Section 3.4): eight additional capabilities covering charges, metering, prorated and variable rent, automated billing, statements, receipts, and expense reporting, all built additively and fully tested. It has also gained usability and localisation work (Section 3.5): a property map, a redesigned interface with Harare photography, English, Shona and Arabic interface languages chosen from a language menu (with a right-to-left layout for Arabic), and a Harare-based demonstration portfolio. Most recently (Section 3.6), Arabic was extended to every screen, message, email, SMS and document, every amount now shows its currency, and the system was hardened for production with security headers, a required secret key, database migrations and optional cloud file storage. This report has been updated to describe that current, running state rather than the state when the demonstration package was first prepared.</w:t>
      </w:r>
    </w:p>
    <w:p>
      <w:pPr>
        <w:spacing w:after="180" w:line="300"/>
      </w:pPr>
      <w:r>
        <w:rPr>
          <w:color w:val="1E293B"/>
          <w:sz w:val="21"/>
          <w:szCs w:val="21"/>
        </w:rPr>
        <w:t>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305-test automated suite (all 305 passing on the latest run; one scheduler test self-skips on dates near month-end) with zero failures and 86% statement coverage, and it runs entirely offline — no paid external account (email, SMS, or payment provider) is required to build, run, or test it.</w:t>
      </w:r>
    </w:p>
    <w:p>
      <w:pPr>
        <w:spacing w:after="180" w:line="300"/>
      </w:pPr>
      <w:r>
        <w:rPr>
          <w:color w:val="1E293B"/>
          <w:sz w:val="21"/>
          <w:szCs w:val="21"/>
        </w:rPr>
        <w:t>The guiding principle across this project has been that a claim in the documentation should be a fact about the running system, not a target for it. Every number in this report — 25 use cases, 18 tables, 305 tests, 86%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in two courses, IT401 and IT402,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IT401 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IT401 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IT401 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A working Flask application implementing the SRS, with an initial automated test suite (93 tests, 77% coverage); its report records that build as submitted</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IT402 D1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Complete 7-chapter report (Introduction, OOA, OOD, Database Design, Software Development, Testing, Conclusion) plus Appendices A &amp; B, as submitted, with a closing appendix on later changes</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IT402 D2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11 remaining SRS gaps closed: unit editing, photo uploads, tenant ID and lease documents, late fees, tenant blacklisting,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IT402 D3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the first demo package, beyond the original SRS: charges, metering, pro rata rent, variable rent, auto billing, statements, receipts, expenses — 79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Usability &amp; Localisation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Property map, a redesigned top-bar interface with Harare photo backgrounds, English, Shona and Arabic interface languages with a right-to-left layout for Arabic, tenant-friendly unit labels, a logged-in redirect fix, and Harare demo data — 27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Extended Scope — Full Arabic &amp; Hardening</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Arabic across every screen, message, email, SMS and PDF; currency on every amount; security headers and a required secret key; Alembic migrations; optional S3 file storage; deployment to Render</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Complete</w:t>
            </w:r>
          </w:p>
        </w:tc>
      </w:tr>
    </w:tbl>
    <w:p>
      <w:pPr>
        <w:pStyle w:val="Heading2"/>
        <w:spacing w:after="150" w:before="300"/>
      </w:pPr>
      <w:bookmarkStart w:id="904" w:name="_Toc90000005"/>
      <w:r>
        <w:rPr>
          <w:b/>
          <w:bCs/>
          <w:color w:val="2563EB"/>
          <w:sz w:val="26"/>
          <w:szCs w:val="26"/>
        </w:rPr>
        <w:t xml:space="preserve">3.1 IT401 Deliverable 3 — Working Prototype</w:t>
      </w:r>
      <w:bookmarkEnd w:id="904"/>
    </w:p>
    <w:p>
      <w:pPr>
        <w:spacing w:after="180" w:line="300"/>
      </w:pPr>
      <w:r>
        <w:rPr>
          <w:color w:val="1E293B"/>
          <w:sz w:val="21"/>
          <w:szCs w:val="21"/>
        </w:rPr>
        <w:t>IT401 Deliverable 3 turned the IT401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 Its report stands exactly as submitted, recording that build: 93 tests at 77% coverage.</w:t>
      </w:r>
    </w:p>
    <w:p>
      <w:pPr>
        <w:pStyle w:val="Heading2"/>
        <w:spacing w:after="150" w:before="300"/>
      </w:pPr>
      <w:bookmarkStart w:id="905" w:name="_Toc90000006"/>
      <w:r>
        <w:rPr>
          <w:b/>
          <w:bCs/>
          <w:color w:val="2563EB"/>
          <w:sz w:val="26"/>
          <w:szCs w:val="26"/>
        </w:rPr>
        <w:t xml:space="preserve">3.2 IT402 Deliverable 1 — Complete Project Report</w:t>
      </w:r>
      <w:bookmarkEnd w:id="905"/>
    </w:p>
    <w:p>
      <w:pPr>
        <w:spacing w:after="180" w:line="300"/>
      </w:pPr>
      <w:r>
        <w:rPr>
          <w:color w:val="1E293B"/>
          <w:sz w:val="21"/>
          <w:szCs w:val="21"/>
        </w:rPr>
        <w:t>IT402 Deliverable 1 documented the system in full: seven chapters covering requirements analysis, object-oriented analysis and design, database design, the software development process, testing methodology and results, and a conclusion, plus an Installation Guide and User Manual. Like IT401 Deliverable 3, its main chapters keep the figures of that build (93 tests, 77% coverage); a closing appendix (Appendix C) summarises every change since, so the report never mixes two points in time.</w:t>
      </w:r>
    </w:p>
    <w:p>
      <w:pPr>
        <w:pStyle w:val="Heading2"/>
        <w:spacing w:after="150" w:before="300"/>
      </w:pPr>
      <w:bookmarkStart w:id="906" w:name="_Toc90000007"/>
      <w:r>
        <w:rPr>
          <w:b/>
          <w:bCs/>
          <w:color w:val="2563EB"/>
          <w:sz w:val="26"/>
          <w:szCs w:val="26"/>
        </w:rPr>
        <w:t xml:space="preserve">3.3 IT402 Deliverable 2 — 100% Feature Completion</w:t>
      </w:r>
      <w:bookmarkEnd w:id="906"/>
    </w:p>
    <w:p>
      <w:pPr>
        <w:spacing w:after="180" w:line="300"/>
      </w:pPr>
      <w:r>
        <w:rPr>
          <w:color w:val="1E293B"/>
          <w:sz w:val="21"/>
          <w:szCs w:val="21"/>
        </w:rPr>
        <w:t>An audit against the original SRS after the IT401 Deliverable 3 prototype identified eleven real gaps (listed in full in the IT402 Deliverable 2 report). Each was closed and covered by its own automated test:</w:t>
      </w:r>
    </w:p>
    <w:p>
      <w:pPr>
        <w:pStyle w:val="ListParagraph"/>
        <w:numPr>
          <w:ilvl w:val="0"/>
          <w:numId w:val="2"/>
        </w:numPr>
        <w:spacing w:after="120" w:line="290"/>
      </w:pPr>
      <w:r>
        <w:rPr>
          <w:color w:val="1E293B"/>
          <w:sz w:val="21"/>
          <w:szCs w:val="21"/>
        </w:rPr>
        <w:t>Editing an existing unit’s details and status, which could previously only be created.</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Lease document download, for management and for the tenant themselves.</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spacing w:after="180" w:line="300"/>
      </w:pPr>
      <w:r>
        <w:rPr>
          <w:color w:val="1E293B"/>
          <w:sz w:val="21"/>
          <w:szCs w:val="21"/>
        </w:rPr>
        <w:t xml:space="preserve">The IT402 Deliverable 2 report later traced all 44 functional requirements individually and found two only partly met: the full tenant history of each unit (FR-015) and a maintenance summary of open, in-progress and closed requests per property per period (FR-036). Both were completed in September 2026 — a History page on every unit and a Maintenance Summary on the Reports page — with 13 new tests. All 44 requirements are now met, two of them (FR-021 overdue notices and FR-044 welcome emails) deliberately in a different way from the SRS wording.</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the demonstration package was first prepared, the project was extended with a complete billing engine — eight further capabilities going beyond the original SRS, each designed additively so the existing 124-test suite kept passing unmodified, and each covered by its own new test module (79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2"/>
        <w:spacing w:after="150" w:before="300"/>
      </w:pPr>
      <w:bookmarkStart w:id="930" w:name="_Toc90000030"/>
      <w:r>
        <w:rPr>
          <w:b/>
          <w:bCs/>
          <w:color w:val="2563EB"/>
          <w:sz w:val="26"/>
          <w:szCs w:val="26"/>
        </w:rPr>
        <w:t xml:space="preserve">3.5 Extended Scope — Usability, Localisation &amp; Harare Demo Data</w:t>
      </w:r>
      <w:bookmarkEnd w:id="930"/>
    </w:p>
    <w:p>
      <w:pPr>
        <w:spacing w:after="180" w:line="300"/>
      </w:pPr>
      <w:r>
        <w:rPr>
          <w:color w:val="1E293B"/>
          <w:sz w:val="21"/>
          <w:szCs w:val="21"/>
        </w:rPr>
        <w:t xml:space="preserve">The most recent round of work focused on how the system looks and reads to the people who would actually use it — landlords, managers and tenants in Harare — rather than on new business rules. Each change was made additively, behind the existing tests, with its own new tests:</w:t>
      </w:r>
    </w:p>
    <w:p>
      <w:pPr>
        <w:pStyle w:val="ListParagraph"/>
        <w:numPr>
          <w:ilvl w:val="0"/>
          <w:numId w:val="2"/>
        </w:numPr>
        <w:spacing w:after="120" w:line="290"/>
      </w:pPr>
      <w:r>
        <w:rPr>
          <w:color w:val="1E293B"/>
          <w:sz w:val="21"/>
          <w:szCs w:val="21"/>
        </w:rPr>
        <w:t xml:space="preserve">Property map: every property can carry map coordinates, set by clicking a map on the Add/Edit Property forms. A property's detail page shows its pin, and a portfolio map (/properties/map) plots every located property with a popup linking back to it. Leaflet is vendored into the app rather than loaded from a CDN (8 tests).</w:t>
      </w:r>
    </w:p>
    <w:p>
      <w:pPr>
        <w:pStyle w:val="ListParagraph"/>
        <w:numPr>
          <w:ilvl w:val="0"/>
          <w:numId w:val="2"/>
        </w:numPr>
        <w:spacing w:after="120" w:line="290"/>
      </w:pPr>
      <w:r>
        <w:rPr>
          <w:color w:val="1E293B"/>
          <w:sz w:val="21"/>
          <w:szCs w:val="21"/>
        </w:rPr>
        <w:t xml:space="preserve">Redesigned interface: the sidebar was replaced by a horizontal top navigation bar with a soft blue-to-burgundy gradient. The login page is a full-screen photograph of the Harare skyline with a translucent sign-in card, and each section of the app has its own Harare photograph behind it — the skyline for the dashboard, reports and admin pages, an aerial view for properties, and a night street scene for tenants, rent, maintenance and the tenant portal. Cards and tables stay solid white and page titles are white with a soft shadow, so content stays readable.</w:t>
      </w:r>
    </w:p>
    <w:p>
      <w:pPr>
        <w:pStyle w:val="ListParagraph"/>
        <w:numPr>
          <w:ilvl w:val="0"/>
          <w:numId w:val="2"/>
        </w:numPr>
        <w:spacing w:after="120" w:line="290"/>
      </w:pPr>
      <w:r>
        <w:rPr>
          <w:color w:val="1E293B"/>
          <w:sz w:val="21"/>
          <w:szCs w:val="21"/>
        </w:rPr>
        <w:t>English, Shona and Arabic: a language button in the top bar and on the login page shows the current language and opens a list of English, ChiShona and Arabic. A small built-in translator (backend/i18n.py) looks each interface phrase up in the Shona or Arabic table (98 phrases each at the time) and falls back to English for anything not yet translated. Arabic pages are laid out right to left: the navigation starts from the right and tables read from right to left, and the stylesheet aligns text to the start of the line so one stylesheet serves both directions. The choice is kept in the session and survives logging in and out. Navigation, login, the dashboards, the main list pages, the tenant portal and status badges were translated in this round, and Arabic was completed in Section 3.6; data — property names, addresses, suburbs, cities and people's names — is never translated, and a test enforces that in both languages (14 tests).</w:t>
      </w:r>
    </w:p>
    <w:p>
      <w:pPr>
        <w:pStyle w:val="ListParagraph"/>
        <w:numPr>
          <w:ilvl w:val="0"/>
          <w:numId w:val="2"/>
        </w:numPr>
        <w:spacing w:after="120" w:line="290"/>
      </w:pPr>
      <w:r>
        <w:rPr>
          <w:color w:val="1E293B"/>
          <w:sz w:val="21"/>
          <w:szCs w:val="21"/>
        </w:rPr>
        <w:t xml:space="preserve">Tenant-friendly unit labels: the tenant dashboard and Pay Rent page name the property and unit (for example “Avondale Heights · Unit 101”) instead of an internal unit code (1 test).</w:t>
      </w:r>
    </w:p>
    <w:p>
      <w:pPr>
        <w:pStyle w:val="ListParagraph"/>
        <w:numPr>
          <w:ilvl w:val="0"/>
          <w:numId w:val="2"/>
        </w:numPr>
        <w:spacing w:after="120" w:line="290"/>
      </w:pPr>
      <w:r>
        <w:rPr>
          <w:color w:val="1E293B"/>
          <w:sz w:val="21"/>
          <w:szCs w:val="21"/>
        </w:rPr>
        <w:t xml:space="preserve">Logged-in redirect fix: opening the home page, the login page, or a password-reset or invitation link while already signed in used to show an empty page; it now takes the user to their own dashboard, portal or work queue (4 tests).</w:t>
      </w:r>
    </w:p>
    <w:p>
      <w:pPr>
        <w:pStyle w:val="ListParagraph"/>
        <w:numPr>
          <w:ilvl w:val="0"/>
          <w:numId w:val="2"/>
        </w:numPr>
        <w:spacing w:after="120" w:line="290"/>
      </w:pPr>
      <w:r>
        <w:rPr>
          <w:color w:val="1E293B"/>
          <w:sz w:val="21"/>
          <w:szCs w:val="21"/>
        </w:rPr>
        <w:t xml:space="preserve">Harare demonstration data: the seed data now describes a Harare portfolio — five properties in Avondale, the CBD, Eastlea and Vainona, each with map coordinates; 16 units; nine tenants with Zimbabwean names, national IDs and +263 phone numbers; a payment history for every lease with three tenants in arrears; and the administrator account in the author's name.</w:t>
      </w:r>
    </w:p>
    <w:p>
      <w:pPr>
        <w:spacing w:after="180" w:line="300"/>
      </w:pPr>
      <w:r>
        <w:rPr>
          <w:color w:val="1E293B"/>
          <w:sz w:val="21"/>
          <w:szCs w:val="21"/>
        </w:rPr>
        <w:t>The SRS originally described multi-language support as Arabic and English. Both are now implemented, together with Shona: Shona, the most widely spoken language in Harare, serves the landlords, managers and tenants the system was built for, and Arabic serves Arabic-speaking residents and property owners in Zimbabwe. The translation mechanism is language-neutral, so a further language, such as Ndebele, only needs a new phrase table. The Shona and Arabic wording has not yet been reviewed by native speakers.</w:t>
      </w:r>
    </w:p>
    <w:p>
      <w:pPr>
        <w:pStyle w:val="Heading2"/>
        <w:spacing w:after="150" w:before="300"/>
      </w:pPr>
      <w:bookmarkStart w:id="932" w:name="_Toc90000032"/>
      <w:r>
        <w:rPr>
          <w:b/>
          <w:bCs/>
          <w:color w:val="2563EB"/>
          <w:sz w:val="26"/>
          <w:szCs w:val="26"/>
        </w:rPr>
        <w:t>3.6 Extended Scope — Full Arabic &amp; Production Hardening</w:t>
      </w:r>
      <w:bookmarkEnd w:id="932"/>
    </w:p>
    <w:p>
      <w:pPr>
        <w:spacing w:after="180" w:line="300"/>
      </w:pPr>
      <w:r>
        <w:rPr>
          <w:color w:val="1E293B"/>
          <w:sz w:val="21"/>
          <w:szCs w:val="21"/>
        </w:rPr>
        <w:t>The final round of work finished the language support and prepared the system for a live deployment, which followed on Render. As before, every change was additive and covered by new tests — 54 for the language and hardening work, across six test modules, and 7 for the Render deployment:</w:t>
      </w:r>
    </w:p>
    <w:p>
      <w:pPr>
        <w:pStyle w:val="ListParagraph"/>
        <w:numPr>
          <w:ilvl w:val="0"/>
          <w:numId w:val="2"/>
        </w:numPr>
        <w:spacing w:after="120" w:line="290"/>
      </w:pPr>
      <w:r>
        <w:rPr>
          <w:color w:val="1E293B"/>
          <w:sz w:val="21"/>
          <w:szCs w:val="21"/>
        </w:rPr>
        <w:t>Arabic on every screen: every page, form option, flash message and validation error now goes through the translator — over 600 phrases. Stored codes (payment methods, expense categories, unit types, roles) are shown as words in the reader's language, and a test fails if any text shown or sent by the app has no Arabic entry.</w:t>
      </w:r>
    </w:p>
    <w:p>
      <w:pPr>
        <w:pStyle w:val="ListParagraph"/>
        <w:numPr>
          <w:ilvl w:val="0"/>
          <w:numId w:val="2"/>
        </w:numPr>
        <w:spacing w:after="120" w:line="290"/>
      </w:pPr>
      <w:r>
        <w:rPr>
          <w:color w:val="1E293B"/>
          <w:sz w:val="21"/>
          <w:szCs w:val="21"/>
        </w:rPr>
        <w:t>Emails and SMS in each user's language: each user's language choice is saved to their account (a new users.language column), follows them to any browser, and is used for every email and SMS — including those sent by the nightly scheduler jobs, where there is no browser session to take it from.</w:t>
      </w:r>
    </w:p>
    <w:p>
      <w:pPr>
        <w:pStyle w:val="ListParagraph"/>
        <w:numPr>
          <w:ilvl w:val="0"/>
          <w:numId w:val="2"/>
        </w:numPr>
        <w:spacing w:after="120" w:line="290"/>
      </w:pPr>
      <w:r>
        <w:rPr>
          <w:color w:val="1E293B"/>
          <w:sz w:val="21"/>
          <w:szCs w:val="21"/>
        </w:rPr>
        <w:t>Arabic PDFs and spreadsheets: statements, receipts and reports are written in the reader's language. ReportLab draws text exactly as given, so Arabic PDFs use the bundled DejaVu Sans font, join the letters into their connected forms (arabic-reshaper), put each line into right-to-left order (python-bidi), mirror the tables, and keep dates, codes and amounts in their own order. Arabic Excel sheets open right to left, and the CSV export carries a byte-order mark so Excel reads Arabic headings.</w:t>
      </w:r>
    </w:p>
    <w:p>
      <w:pPr>
        <w:pStyle w:val="ListParagraph"/>
        <w:numPr>
          <w:ilvl w:val="0"/>
          <w:numId w:val="2"/>
        </w:numPr>
        <w:spacing w:after="120" w:line="290"/>
      </w:pPr>
      <w:r>
        <w:rPr>
          <w:color w:val="1E293B"/>
          <w:sz w:val="21"/>
          <w:szCs w:val="21"/>
        </w:rPr>
        <w:t>Currency everywhere: every amount — on screens, in messages, emails and PDFs — is shown the same way, as “USD 1,250.00”, using the property's own currency; portfolio totals show a currency only when every property shares it.</w:t>
      </w:r>
    </w:p>
    <w:p>
      <w:pPr>
        <w:pStyle w:val="ListParagraph"/>
        <w:numPr>
          <w:ilvl w:val="0"/>
          <w:numId w:val="2"/>
        </w:numPr>
        <w:spacing w:after="120" w:line="290"/>
      </w:pPr>
      <w:r>
        <w:rPr>
          <w:color w:val="1E293B"/>
          <w:sz w:val="21"/>
          <w:szCs w:val="21"/>
        </w:rPr>
        <w:t>Security headers and a required secret key: every response carries a strict Content-Security-Policy (scripts and styles from this site only, with all inline code moved into static files), X-Frame-Options, nosniff, a strict Referrer-Policy and HSTS over HTTPS. The session cookie is HttpOnly and SameSite, and HTTPS-only when configured. The application refuses to start with a missing or published SECRET_KEY, which would otherwise let anyone forge a login. An open redirect in the login and language-switch links and four colour-contrast failures were also fixed.</w:t>
      </w:r>
    </w:p>
    <w:p>
      <w:pPr>
        <w:pStyle w:val="ListParagraph"/>
        <w:numPr>
          <w:ilvl w:val="0"/>
          <w:numId w:val="2"/>
        </w:numPr>
        <w:spacing w:after="120" w:line="290"/>
      </w:pPr>
      <w:r>
        <w:rPr>
          <w:color w:val="1E293B"/>
          <w:sz w:val="21"/>
          <w:szCs w:val="21"/>
        </w:rPr>
        <w:t>Database migrations: Alembic (Flask-Migrate) now manages the schema. flask create-db applies pending migrations, and a database created earlier by db.create_all() is recognised and adopted with its data; a test fails if the models and the migrations ever describe different schemas.</w:t>
      </w:r>
    </w:p>
    <w:p>
      <w:pPr>
        <w:pStyle w:val="ListParagraph"/>
        <w:numPr>
          <w:ilvl w:val="0"/>
          <w:numId w:val="2"/>
        </w:numPr>
        <w:spacing w:after="120" w:line="290"/>
      </w:pPr>
      <w:r>
        <w:rPr>
          <w:color w:val="1E293B"/>
          <w:sz w:val="21"/>
          <w:szCs w:val="21"/>
        </w:rPr>
        <w:t>Cloud file storage: uploads can be kept in an S3-compatible bucket (AWS S3, Cloudflare R2, MinIO) instead of the server's disk, so they survive redeploys. Files stay private — they are streamed through the app after its permission checks, never exposed by a public link.</w:t>
      </w:r>
    </w:p>
    <w:p>
      <w:pPr>
        <w:pStyle w:val="ListParagraph"/>
        <w:numPr>
          <w:ilvl w:val="0"/>
          <w:numId w:val="2"/>
        </w:numPr>
        <w:spacing w:after="120" w:line="290"/>
      </w:pPr>
      <w:r>
        <w:rPr>
          <w:color w:val="1E293B"/>
          <w:sz w:val="21"/>
          <w:szCs w:val="21"/>
        </w:rPr>
        <w:t>Deployment to Render: render.yaml deploys the Docker image and a PostgreSQL database to Render, served over HTTPS. Behind the host's proxy the app recognises HTTPS and each visitor's own address (TRUST_FORWARDED_PROTO and CLIENT_IP_HEADER, both off by default, since a directly reached app could otherwise be fooled by forged headers), database URLs name the installed PostgreSQL driver, and only one Gunicorn worker runs the background jobs, so no notice is sent twice.</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IT401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40 Jinja2 templates behind a role-aware top navigation bar with an English/Shona/Arabic language menu, plus a shared design system in static/css/style.css and all page scripts in static/js (no inline code)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security.py (RBAC, IDOR, validation, audit log), web_security.py (security headers, secret-key check), i18n.py (English/Shona/Arabic translation, right-to-left for Arabic, currency formatting),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18 SQLAlchemy models with String(36) UUID primary keys, naive UTC datetimes, and business logic (balances, numbering, occupancy, billing) on the model itself; the schema is managed by Alembic migrations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PostgreSQL (production) / SQLite (dev &amp; test), Redis (caching, rate limiting), Docker Compose, uploads on local disk or in an S3-compatible bucket, with a dev-mode fallback for SendGrid, Twilio, and Stripe</w:t>
            </w:r>
          </w:p>
        </w:tc>
      </w:tr>
    </w:tbl>
    <w:p>
      <w:pPr>
        <w:spacing w:after="180" w:line="300"/>
      </w:pPr>
      <w:r>
        <w:rPr>
          <w:color w:val="1E293B"/>
          <w:sz w:val="21"/>
          <w:szCs w:val="21"/>
        </w:rPr>
        <w:t xml:space="preserve">Two documented, deliberate substitutions from the IT401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IT402 Deliverable 2 Highlights</w:t>
      </w:r>
      <w:bookmarkEnd w:id="911"/>
    </w:p>
    <w:p>
      <w:pPr>
        <w:spacing w:after="180" w:line="300"/>
      </w:pPr>
      <w:r>
        <w:rPr>
          <w:color w:val="1E293B"/>
          <w:sz w:val="21"/>
          <w:szCs w:val="21"/>
        </w:rPr>
        <w:t>The eleven gaps closed in IT402 Deliverable 2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the first demonstration package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2"/>
        <w:spacing w:after="150" w:before="300"/>
      </w:pPr>
      <w:bookmarkStart w:id="931" w:name="_Toc90000031"/>
      <w:r>
        <w:rPr>
          <w:b/>
          <w:bCs/>
          <w:color w:val="2563EB"/>
          <w:sz w:val="26"/>
          <w:szCs w:val="26"/>
        </w:rPr>
        <w:t xml:space="preserve">5.4 Usability &amp; Localisation Highlights</w:t>
      </w:r>
      <w:bookmarkEnd w:id="931"/>
    </w:p>
    <w:p>
      <w:pPr>
        <w:spacing w:after="180" w:line="300"/>
      </w:pPr>
      <w:r>
        <w:rPr>
          <w:color w:val="1E293B"/>
          <w:sz w:val="21"/>
          <w:szCs w:val="21"/>
        </w:rPr>
        <w:t xml:space="preserve">The usability and localisation work (Section 3.5) changed what every role sees rather than what the system can do: a map of the whole portfolio, a cleaner top-bar layout with Harare photography, and a choice of English, Shona or Arabic, so a Harare tenant can check a balance or pay rent in Shona, and an Arabic-speaking tenant can do the same in Arabic, laid out right to left. It sits on the same role-scoped routes described in Section 5.1, and demonstrating the system with a realistic Harare portfolio makes every dashboard, report and rent tracker figure meaningful.</w:t>
      </w:r>
    </w:p>
    <w:p>
      <w:pPr>
        <w:pStyle w:val="Heading2"/>
        <w:spacing w:after="150" w:before="300"/>
      </w:pPr>
      <w:bookmarkStart w:id="933" w:name="_Toc90000033"/>
      <w:r>
        <w:rPr>
          <w:b/>
          <w:bCs/>
          <w:color w:val="2563EB"/>
          <w:sz w:val="26"/>
          <w:szCs w:val="26"/>
        </w:rPr>
        <w:t>5.5 Full Arabic &amp; Hardening Highlights</w:t>
      </w:r>
      <w:bookmarkEnd w:id="933"/>
    </w:p>
    <w:p>
      <w:pPr>
        <w:spacing w:after="180" w:line="300"/>
      </w:pPr>
      <w:r>
        <w:rPr>
          <w:color w:val="1E293B"/>
          <w:sz w:val="21"/>
          <w:szCs w:val="21"/>
        </w:rPr>
        <w:t>The final round (Section 3.6) made the Arabic interface complete — an Arabic-speaking tenant now sees every screen, message, email, SMS and PDF in Arabic — and closed the gap between a working system and a deployable one: strict security headers, a required secret key, schema migrations that protect live data, and file storage that survives a redeploy.</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305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305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86%</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IT402 Deliverable 2 features: every one of the eleven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79 tests in total, the single largest block of the suite.</w:t>
      </w:r>
    </w:p>
    <w:p>
      <w:pPr>
        <w:pStyle w:val="ListParagraph"/>
        <w:numPr>
          <w:ilvl w:val="0"/>
          <w:numId w:val="2"/>
        </w:numPr>
        <w:spacing w:after="120" w:line="290"/>
      </w:pPr>
      <w:r>
        <w:rPr>
          <w:color w:val="1E293B"/>
          <w:sz w:val="21"/>
          <w:szCs w:val="21"/>
        </w:rPr>
        <w:t xml:space="preserve">Usability &amp; localisation: the three languages (English by default, switching to Shona and to Arabic, right-to-left for Arabic only, the choice surviving login, the language menu, no open redirect, placeholders kept, Arabic covering every Shona phrase, place names never translated), the property map, the logged-in redirect and the tenant unit labels — 27 tests.</w:t>
      </w:r>
    </w:p>
    <w:p>
      <w:pPr>
        <w:pStyle w:val="ListParagraph"/>
        <w:numPr>
          <w:ilvl w:val="0"/>
          <w:numId w:val="2"/>
        </w:numPr>
        <w:spacing w:after="120" w:line="290"/>
      </w:pPr>
      <w:r>
        <w:rPr>
          <w:color w:val="1E293B"/>
          <w:sz w:val="21"/>
          <w:szCs w:val="21"/>
        </w:rPr>
        <w:t xml:space="preserve">Requirement completion: the tenant history per unit (FR-015) and the maintenance summary per period (FR-036), including access for each role and date-range handling — 13 tests (tests/test_unit_history_and_maintenance_summary.py).</w:t>
      </w:r>
    </w:p>
    <w:p>
      <w:pPr>
        <w:pStyle w:val="ListParagraph"/>
        <w:numPr>
          <w:ilvl w:val="0"/>
          <w:numId w:val="2"/>
        </w:numPr>
        <w:spacing w:after="120" w:line="290"/>
      </w:pPr>
      <w:r>
        <w:rPr>
          <w:color w:val="1E293B"/>
          <w:sz w:val="21"/>
          <w:szCs w:val="21"/>
        </w:rPr>
        <w:t>Full Arabic &amp; hardening: Arabic coverage of every phrase the app shows or sends, emails and SMS in the recipient's language, Arabic PDFs, Excel and CSV, currency formatting, security headers, the secret-key check, cookie flags, the translated rate-limit page, migrations matching the models, database adoption, and S3 storage — 54 tests (tests/test_translated_documents.py, test_web_security.py, test_migrations.py, test_money.py, test_storage.py and additions to test_i18n.py).</w:t>
      </w:r>
    </w:p>
    <w:p>
      <w:pPr>
        <w:spacing w:after="180" w:line="300"/>
      </w:pPr>
      <w:r>
        <w:rPr>
          <w:color w:val="1E293B"/>
          <w:sz w:val="21"/>
          <w:szCs w:val="21"/>
        </w:rPr>
        <w:t>Coverage is concentrated in models.py (99%), security.py (92%), the reports service (96%), and the new web-security module (100%)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IT401 Deliverable 2’s microservice-style package diagram to a layered monolith (Section 4); when IT401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Every figure is produced by running the code. IT401 Deliverable 3 stands exactly as submitted; IT402 Deliverable 1 keeps the figures of its own build in its main chapters, with one clearly marked closing appendix on later changes; and later reports describe each change in its own section, so no report mixes two points in time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Adding two more languages late in the project — one of them written right to left — without a translation library and without translating the data by mistake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Wrapped only interface text in a small _() helper with an English fallback, so the app works at every stage of translation; switched Arabic pages to right to left and aligned text to the start of the line so one stylesheet serves both directions; kept names and places as plain data, and added a test that fails if a Harare place name is ever changed or given a Shona or Arabic entry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Right-to-left Arabic in PDFs, where the PDF library draws text exactly as given</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Joined the letters with arabic-reshaper and reordered each line with python-bidi, wrapping long lines before reordering so paragraphs still read top to bottom; isolated dates, codes and amounts so they keep their order; mirrored brackets by hand after finding the bidi library reorders text without mirroring them; and checked the rendered pages visually, not just by test</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RentalPro was carried from a requirements document, through a design, to a working prototype, a full project report, 100% feature completion, a demonstration and presentation package, an extended billing engine, a localised, Harare-focused interface, full Arabic and production hardening, and finally deployment to Render. Every claim in this document is backed by a running, tested system: 25 of 25 use cases implemented, each with a route and a covering test; the original 13-table database design implemented exactly as specified, since grown to 18 tables; all 305 automated tests passing with zero failures at 86% statement coverage; eleven feature gaps closed in IT402 Deliverable 2, and the two requirements it left partly met completed afterwards; eight further billing capabilities added afterward; an English, Shona and Arabic interface, with Arabic reaching every screen, message and document; security headers, schema migrations, cloud file storage and a Render deployment; and a property map with Harare demonstration data.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Beyond IT402</w:t>
      </w:r>
      <w:bookmarkEnd w:id="917"/>
    </w:p>
    <w:p>
      <w:pPr>
        <w:pStyle w:val="ListParagraph"/>
        <w:numPr>
          <w:ilvl w:val="0"/>
          <w:numId w:val="2"/>
        </w:numPr>
        <w:spacing w:after="120" w:line="290"/>
      </w:pPr>
      <w:r>
        <w:rPr>
          <w:b/>
          <w:bCs/>
          <w:color w:val="0F172A"/>
          <w:sz w:val="21"/>
          <w:szCs w:val="21"/>
        </w:rPr>
        <w:t>Native-speaker review: have Arabic and Shona speakers check the wording, and extend Shona beyond the main screens it covers today (untranslated Shona text falls back to English).</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Live production use: render.yaml deploys the app and a PostgreSQL database to Render over HTTPS; running it with real tenants still needs uploads in an S3 bucket (the server's own disk does not survive a redeploy) and a database plan that keeps data long term.</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pStyle w:val="ListParagraph"/>
        <w:numPr>
          <w:ilvl w:val="0"/>
          <w:numId w:val="2"/>
        </w:numPr>
        <w:spacing w:after="120" w:line="290"/>
      </w:pPr>
      <w:r>
        <w:rPr>
          <w:b/>
          <w:bCs/>
          <w:color w:val="1E293B"/>
          <w:sz w:val="21"/>
          <w:szCs w:val="21"/>
        </w:rPr>
        <w:t>Two-factor sign-in for the Owner, Manager and Administrator roles, which can see the most data.</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40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305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305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86%</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IT402 Deliverable 2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11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IT402 Deliverable 2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Usability &amp; localisation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27</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Tenant history &amp; maintenance summary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13</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Full Arabic &amp; hardening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54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Render deployment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7</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SRS functional requirements met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44 / 44 (FR-021 and FR-044 by design in a different way)</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Interface languages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3 (English, Shona, Arabic — Arabic across every screen, message and document)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Demo portfolio</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Harare properties, 16 units, 9 tenants</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Docker Compose (Flask/Gunicorn + PostgreSQL + Redis), GitHub Actions CI, Alembic migrations, optional S3 file storage, Render (render.yaml)</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