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59F2" w14:textId="77777777" w:rsidR="002C59AB" w:rsidRDefault="002C59AB" w:rsidP="002C59A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Social Accessibility:</w:t>
      </w:r>
    </w:p>
    <w:p w14:paraId="7E1199B6" w14:textId="77777777" w:rsidR="002C59AB" w:rsidRPr="0062569E" w:rsidRDefault="002C59AB" w:rsidP="002C59AB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62569E">
        <w:rPr>
          <w:rFonts w:asciiTheme="majorHAnsi" w:hAnsiTheme="majorHAnsi"/>
          <w:b/>
          <w:bCs/>
          <w:sz w:val="28"/>
          <w:szCs w:val="28"/>
        </w:rPr>
        <w:t>Digital Divide</w:t>
      </w:r>
    </w:p>
    <w:p w14:paraId="0442E49D" w14:textId="77777777" w:rsidR="002C59AB" w:rsidRDefault="002C59AB" w:rsidP="002C59A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Our </w:t>
      </w:r>
      <w:r w:rsidRPr="00026D46">
        <w:rPr>
          <w:rFonts w:asciiTheme="majorHAnsi" w:hAnsiTheme="majorHAnsi"/>
          <w:sz w:val="28"/>
          <w:szCs w:val="28"/>
        </w:rPr>
        <w:t xml:space="preserve">app </w:t>
      </w:r>
      <w:r>
        <w:rPr>
          <w:rFonts w:asciiTheme="majorHAnsi" w:hAnsiTheme="majorHAnsi"/>
          <w:sz w:val="28"/>
          <w:szCs w:val="28"/>
        </w:rPr>
        <w:t xml:space="preserve">isn’t </w:t>
      </w:r>
      <w:r w:rsidRPr="00026D46">
        <w:rPr>
          <w:rFonts w:asciiTheme="majorHAnsi" w:hAnsiTheme="majorHAnsi"/>
          <w:sz w:val="28"/>
          <w:szCs w:val="28"/>
        </w:rPr>
        <w:t>useable for patients without smartphones or reliable 4G/5G may be excluded from remote Long</w:t>
      </w:r>
      <w:r w:rsidRPr="00893EEC">
        <w:rPr>
          <w:rFonts w:asciiTheme="majorHAnsi" w:hAnsiTheme="majorHAnsi"/>
          <w:sz w:val="28"/>
          <w:szCs w:val="28"/>
        </w:rPr>
        <w:t xml:space="preserve"> COVID triage and rehabilitation.</w:t>
      </w:r>
    </w:p>
    <w:p w14:paraId="15491A81" w14:textId="77777777" w:rsidR="002C59AB" w:rsidRPr="002E10EF" w:rsidRDefault="002C59AB" w:rsidP="002C59AB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893EEC">
        <w:rPr>
          <w:rFonts w:asciiTheme="majorHAnsi" w:hAnsiTheme="majorHAnsi"/>
          <w:b/>
          <w:bCs/>
          <w:sz w:val="28"/>
          <w:szCs w:val="28"/>
        </w:rPr>
        <w:t>POUR Principles</w:t>
      </w:r>
    </w:p>
    <w:p w14:paraId="308A7492" w14:textId="77777777" w:rsidR="002C59AB" w:rsidRDefault="002C59AB" w:rsidP="002C59AB">
      <w:pPr>
        <w:ind w:left="360"/>
        <w:rPr>
          <w:rFonts w:asciiTheme="majorHAnsi" w:hAnsiTheme="majorHAnsi"/>
          <w:sz w:val="28"/>
          <w:szCs w:val="28"/>
        </w:rPr>
      </w:pPr>
      <w:r w:rsidRPr="002E10EF">
        <w:rPr>
          <w:rFonts w:asciiTheme="majorHAnsi" w:hAnsiTheme="majorHAnsi"/>
          <w:sz w:val="28"/>
          <w:szCs w:val="28"/>
        </w:rPr>
        <w:t>The</w:t>
      </w:r>
      <w:r>
        <w:rPr>
          <w:rFonts w:asciiTheme="majorHAnsi" w:hAnsiTheme="majorHAnsi"/>
          <w:sz w:val="28"/>
          <w:szCs w:val="28"/>
        </w:rPr>
        <w:t xml:space="preserve"> Elaros mobile</w:t>
      </w:r>
      <w:r w:rsidRPr="002E10EF">
        <w:rPr>
          <w:rFonts w:asciiTheme="majorHAnsi" w:hAnsiTheme="majorHAnsi"/>
          <w:sz w:val="28"/>
          <w:szCs w:val="28"/>
        </w:rPr>
        <w:t xml:space="preserve"> app must be Perceivable and Operable for users with visual </w:t>
      </w:r>
      <w:r>
        <w:rPr>
          <w:rFonts w:asciiTheme="majorHAnsi" w:hAnsiTheme="majorHAnsi"/>
          <w:sz w:val="28"/>
          <w:szCs w:val="28"/>
        </w:rPr>
        <w:t xml:space="preserve">impairment </w:t>
      </w:r>
      <w:r w:rsidRPr="002E10EF">
        <w:rPr>
          <w:rFonts w:asciiTheme="majorHAnsi" w:hAnsiTheme="majorHAnsi"/>
          <w:sz w:val="28"/>
          <w:szCs w:val="28"/>
        </w:rPr>
        <w:t>issues caused by fatigue.</w:t>
      </w:r>
    </w:p>
    <w:p w14:paraId="53B6C8DC" w14:textId="77777777" w:rsidR="002C59AB" w:rsidRDefault="002C59AB" w:rsidP="002C59AB">
      <w:pPr>
        <w:ind w:left="360"/>
        <w:rPr>
          <w:rFonts w:asciiTheme="majorHAnsi" w:hAnsiTheme="majorHAnsi"/>
          <w:sz w:val="28"/>
          <w:szCs w:val="28"/>
        </w:rPr>
      </w:pPr>
    </w:p>
    <w:p w14:paraId="730C3E16" w14:textId="3C6ECA87" w:rsidR="002C59AB" w:rsidRPr="002C59AB" w:rsidRDefault="002C59AB" w:rsidP="002C59AB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44E6F">
        <w:rPr>
          <w:rFonts w:asciiTheme="majorHAnsi" w:hAnsiTheme="majorHAnsi"/>
          <w:b/>
          <w:bCs/>
          <w:sz w:val="28"/>
          <w:szCs w:val="28"/>
          <w:u w:val="single"/>
        </w:rPr>
        <w:t>Ethical Issues:</w:t>
      </w:r>
    </w:p>
    <w:p w14:paraId="7EC5F655" w14:textId="77777777" w:rsidR="002C59AB" w:rsidRDefault="002C59AB" w:rsidP="002C59AB">
      <w:pPr>
        <w:rPr>
          <w:rFonts w:asciiTheme="majorHAnsi" w:hAnsiTheme="majorHAnsi"/>
          <w:b/>
          <w:bCs/>
          <w:sz w:val="28"/>
          <w:szCs w:val="28"/>
        </w:rPr>
      </w:pPr>
      <w:r w:rsidRPr="0060169A">
        <w:rPr>
          <w:rFonts w:asciiTheme="majorHAnsi" w:hAnsiTheme="majorHAnsi"/>
          <w:b/>
          <w:bCs/>
          <w:sz w:val="28"/>
          <w:szCs w:val="28"/>
        </w:rPr>
        <w:t>3.</w:t>
      </w:r>
      <w:r>
        <w:rPr>
          <w:rFonts w:asciiTheme="majorHAnsi" w:hAnsiTheme="majorHAnsi"/>
          <w:b/>
          <w:bCs/>
          <w:sz w:val="28"/>
          <w:szCs w:val="28"/>
        </w:rPr>
        <w:t xml:space="preserve"> Reliability of measurements:</w:t>
      </w:r>
    </w:p>
    <w:p w14:paraId="0B88055B" w14:textId="77777777" w:rsidR="002C59AB" w:rsidRDefault="002C59AB" w:rsidP="002C59A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Issue:</w:t>
      </w:r>
    </w:p>
    <w:p w14:paraId="7C422BE0" w14:textId="77777777" w:rsidR="002C59AB" w:rsidRDefault="002C59AB" w:rsidP="002C59AB">
      <w:pPr>
        <w:rPr>
          <w:rFonts w:asciiTheme="majorHAnsi" w:hAnsiTheme="majorHAnsi"/>
          <w:sz w:val="28"/>
          <w:szCs w:val="28"/>
        </w:rPr>
      </w:pPr>
      <w:r w:rsidRPr="006762B5">
        <w:rPr>
          <w:rFonts w:asciiTheme="majorHAnsi" w:hAnsiTheme="majorHAnsi"/>
          <w:sz w:val="28"/>
          <w:szCs w:val="28"/>
        </w:rPr>
        <w:t xml:space="preserve">If </w:t>
      </w:r>
      <w:r>
        <w:rPr>
          <w:rFonts w:asciiTheme="majorHAnsi" w:hAnsiTheme="majorHAnsi"/>
          <w:sz w:val="28"/>
          <w:szCs w:val="28"/>
        </w:rPr>
        <w:t>E</w:t>
      </w:r>
      <w:r w:rsidRPr="006762B5">
        <w:rPr>
          <w:rFonts w:asciiTheme="majorHAnsi" w:hAnsiTheme="majorHAnsi"/>
          <w:sz w:val="28"/>
          <w:szCs w:val="28"/>
        </w:rPr>
        <w:t xml:space="preserve">laros app </w:t>
      </w:r>
      <w:r>
        <w:rPr>
          <w:rFonts w:asciiTheme="majorHAnsi" w:hAnsiTheme="majorHAnsi"/>
          <w:sz w:val="28"/>
          <w:szCs w:val="28"/>
        </w:rPr>
        <w:t>produces inaccurate, inconvenient, and invalid measurements, this might make users’ decisions difficult based on reliability.</w:t>
      </w:r>
    </w:p>
    <w:p w14:paraId="119A3CF2" w14:textId="77777777" w:rsidR="002C59AB" w:rsidRPr="00AF2103" w:rsidRDefault="002C59AB" w:rsidP="002C59AB">
      <w:pPr>
        <w:rPr>
          <w:rFonts w:asciiTheme="majorHAnsi" w:hAnsiTheme="majorHAnsi"/>
          <w:b/>
          <w:bCs/>
          <w:sz w:val="28"/>
          <w:szCs w:val="28"/>
        </w:rPr>
      </w:pPr>
      <w:r w:rsidRPr="00AF2103">
        <w:rPr>
          <w:rFonts w:asciiTheme="majorHAnsi" w:hAnsiTheme="majorHAnsi"/>
          <w:b/>
          <w:bCs/>
          <w:sz w:val="28"/>
          <w:szCs w:val="28"/>
        </w:rPr>
        <w:t>Solution:</w:t>
      </w:r>
    </w:p>
    <w:p w14:paraId="6520BA19" w14:textId="77777777" w:rsidR="002C59AB" w:rsidRDefault="002C59AB" w:rsidP="002C59A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We produce consistent testing for the scoring algorithm logic and provide limitations that inform the user about potential variability in results and errors to improve measurement accuracy over time.</w:t>
      </w:r>
    </w:p>
    <w:p w14:paraId="20258737" w14:textId="77777777" w:rsidR="002C59AB" w:rsidRDefault="002C59AB" w:rsidP="002C59AB">
      <w:pPr>
        <w:rPr>
          <w:rFonts w:asciiTheme="majorHAnsi" w:hAnsiTheme="majorHAnsi"/>
          <w:sz w:val="28"/>
          <w:szCs w:val="28"/>
        </w:rPr>
      </w:pPr>
    </w:p>
    <w:p w14:paraId="589D6401" w14:textId="77777777" w:rsidR="002C59AB" w:rsidRDefault="002C59AB" w:rsidP="002C59AB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34581D">
        <w:rPr>
          <w:rFonts w:asciiTheme="majorHAnsi" w:hAnsiTheme="majorHAnsi"/>
          <w:b/>
          <w:bCs/>
          <w:sz w:val="28"/>
          <w:szCs w:val="28"/>
          <w:u w:val="single"/>
        </w:rPr>
        <w:t>Legal Issues</w:t>
      </w:r>
    </w:p>
    <w:p w14:paraId="4C0DB446" w14:textId="3C15E967" w:rsidR="002C59AB" w:rsidRDefault="002C59AB" w:rsidP="002C59AB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Issue:</w:t>
      </w:r>
    </w:p>
    <w:p w14:paraId="54F3F39C" w14:textId="03729E29" w:rsidR="002C59AB" w:rsidRDefault="002C59AB" w:rsidP="002C59A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Informed consent must be provided by </w:t>
      </w:r>
      <w:r w:rsidR="00B97CE5">
        <w:rPr>
          <w:rFonts w:asciiTheme="majorHAnsi" w:hAnsiTheme="majorHAnsi"/>
          <w:sz w:val="28"/>
          <w:szCs w:val="28"/>
        </w:rPr>
        <w:t>users;</w:t>
      </w:r>
      <w:r>
        <w:rPr>
          <w:rFonts w:asciiTheme="majorHAnsi" w:hAnsiTheme="majorHAnsi"/>
          <w:sz w:val="28"/>
          <w:szCs w:val="28"/>
        </w:rPr>
        <w:t xml:space="preserve"> they must legally consent to data collection and processing.</w:t>
      </w:r>
    </w:p>
    <w:p w14:paraId="7FA12618" w14:textId="77777777" w:rsidR="002C59AB" w:rsidRPr="00AF2103" w:rsidRDefault="002C59AB" w:rsidP="002C59AB">
      <w:pPr>
        <w:rPr>
          <w:rFonts w:asciiTheme="majorHAnsi" w:hAnsiTheme="majorHAnsi"/>
          <w:b/>
          <w:bCs/>
          <w:sz w:val="28"/>
          <w:szCs w:val="28"/>
        </w:rPr>
      </w:pPr>
      <w:r w:rsidRPr="00AF2103">
        <w:rPr>
          <w:rFonts w:asciiTheme="majorHAnsi" w:hAnsiTheme="majorHAnsi"/>
          <w:b/>
          <w:bCs/>
          <w:sz w:val="28"/>
          <w:szCs w:val="28"/>
        </w:rPr>
        <w:t>Solution:</w:t>
      </w:r>
    </w:p>
    <w:p w14:paraId="77046B9C" w14:textId="6A6DA7B1" w:rsidR="002C59AB" w:rsidRDefault="002C59AB" w:rsidP="002C59A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Use explicit opt-in consent forms with clear language and allow users to withdraw consent at any time.</w:t>
      </w:r>
    </w:p>
    <w:p w14:paraId="6F11331D" w14:textId="77777777" w:rsidR="002C59AB" w:rsidRPr="002C59AB" w:rsidRDefault="002C59AB" w:rsidP="002C59AB">
      <w:pPr>
        <w:rPr>
          <w:rFonts w:asciiTheme="majorHAnsi" w:hAnsiTheme="majorHAnsi"/>
          <w:sz w:val="28"/>
          <w:szCs w:val="28"/>
        </w:rPr>
      </w:pPr>
    </w:p>
    <w:p w14:paraId="3544209E" w14:textId="77777777" w:rsidR="002C59AB" w:rsidRPr="00A65BBB" w:rsidRDefault="002C59AB" w:rsidP="002C59AB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65BBB">
        <w:rPr>
          <w:rFonts w:asciiTheme="majorHAnsi" w:hAnsiTheme="majorHAnsi"/>
          <w:b/>
          <w:bCs/>
          <w:sz w:val="28"/>
          <w:szCs w:val="28"/>
          <w:u w:val="single"/>
        </w:rPr>
        <w:t>Professional Issues:</w:t>
      </w:r>
    </w:p>
    <w:p w14:paraId="5222BEAD" w14:textId="77777777" w:rsidR="00B012BD" w:rsidRDefault="00B012BD" w:rsidP="00B012BD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Issue:</w:t>
      </w:r>
    </w:p>
    <w:p w14:paraId="0B9D86AC" w14:textId="38159AE5" w:rsidR="002C59AB" w:rsidRDefault="008503CF" w:rsidP="002C59A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Healthcare professionals using Elaros</w:t>
      </w:r>
      <w:r w:rsidR="00103EC0">
        <w:rPr>
          <w:rFonts w:asciiTheme="majorHAnsi" w:hAnsiTheme="majorHAnsi"/>
          <w:sz w:val="28"/>
          <w:szCs w:val="28"/>
        </w:rPr>
        <w:t xml:space="preserve"> app may rely on app-generated data (e.g system scores or reports). If data is inaccurate or misinter</w:t>
      </w:r>
      <w:r w:rsidR="00714777">
        <w:rPr>
          <w:rFonts w:asciiTheme="majorHAnsi" w:hAnsiTheme="majorHAnsi"/>
          <w:sz w:val="28"/>
          <w:szCs w:val="28"/>
        </w:rPr>
        <w:t>preted by any chance, it raises concern for who is responsible for clinical decesions</w:t>
      </w:r>
      <w:r w:rsidR="00D30756">
        <w:rPr>
          <w:rFonts w:asciiTheme="majorHAnsi" w:hAnsiTheme="majorHAnsi"/>
          <w:sz w:val="28"/>
          <w:szCs w:val="28"/>
        </w:rPr>
        <w:t>—app provider or the clinician.</w:t>
      </w:r>
    </w:p>
    <w:p w14:paraId="61C9AEBF" w14:textId="77777777" w:rsidR="00D30756" w:rsidRPr="00AF2103" w:rsidRDefault="00D30756" w:rsidP="00D30756">
      <w:pPr>
        <w:rPr>
          <w:rFonts w:asciiTheme="majorHAnsi" w:hAnsiTheme="majorHAnsi"/>
          <w:b/>
          <w:bCs/>
          <w:sz w:val="28"/>
          <w:szCs w:val="28"/>
        </w:rPr>
      </w:pPr>
      <w:r w:rsidRPr="00AF2103">
        <w:rPr>
          <w:rFonts w:asciiTheme="majorHAnsi" w:hAnsiTheme="majorHAnsi"/>
          <w:b/>
          <w:bCs/>
          <w:sz w:val="28"/>
          <w:szCs w:val="28"/>
        </w:rPr>
        <w:t>Solution:</w:t>
      </w:r>
    </w:p>
    <w:p w14:paraId="5B9120B8" w14:textId="5D2EF647" w:rsidR="00D30756" w:rsidRPr="008503CF" w:rsidRDefault="00D30756" w:rsidP="002C59A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Clearly define roles and responsibilities</w:t>
      </w:r>
      <w:r w:rsidR="00005947">
        <w:rPr>
          <w:rFonts w:asciiTheme="majorHAnsi" w:hAnsiTheme="majorHAnsi"/>
          <w:sz w:val="28"/>
          <w:szCs w:val="28"/>
        </w:rPr>
        <w:t>. Clinicians should use the app as a support tool, not a replacement for professional judgement</w:t>
      </w:r>
      <w:r w:rsidR="00272647">
        <w:rPr>
          <w:rFonts w:asciiTheme="majorHAnsi" w:hAnsiTheme="majorHAnsi"/>
          <w:sz w:val="28"/>
          <w:szCs w:val="28"/>
        </w:rPr>
        <w:t>. Hence elaros will include disclaimers and guidance for proper use.</w:t>
      </w:r>
    </w:p>
    <w:p w14:paraId="1EACFCD7" w14:textId="77777777" w:rsidR="002C59AB" w:rsidRPr="000E5B40" w:rsidRDefault="002C59AB" w:rsidP="002C59AB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0E5B40">
        <w:rPr>
          <w:rFonts w:asciiTheme="majorHAnsi" w:hAnsiTheme="majorHAnsi"/>
          <w:b/>
          <w:bCs/>
          <w:sz w:val="28"/>
          <w:szCs w:val="28"/>
          <w:u w:val="single"/>
        </w:rPr>
        <w:t>References:</w:t>
      </w:r>
    </w:p>
    <w:p w14:paraId="6D6C7B8D" w14:textId="77777777" w:rsidR="002C59AB" w:rsidRDefault="002C59AB" w:rsidP="002C59AB">
      <w:pPr>
        <w:ind w:left="360"/>
        <w:rPr>
          <w:rFonts w:asciiTheme="majorHAnsi" w:hAnsiTheme="majorHAnsi"/>
          <w:sz w:val="28"/>
          <w:szCs w:val="28"/>
        </w:rPr>
      </w:pPr>
      <w:r w:rsidRPr="002E10EF">
        <w:rPr>
          <w:rFonts w:asciiTheme="majorHAnsi" w:hAnsiTheme="majorHAnsi"/>
          <w:sz w:val="28"/>
          <w:szCs w:val="28"/>
        </w:rPr>
        <w:t xml:space="preserve">World Wide Web Consortium. (2023). </w:t>
      </w:r>
      <w:r w:rsidRPr="002E10EF">
        <w:rPr>
          <w:rFonts w:asciiTheme="majorHAnsi" w:hAnsiTheme="majorHAnsi"/>
          <w:i/>
          <w:iCs/>
          <w:sz w:val="28"/>
          <w:szCs w:val="28"/>
        </w:rPr>
        <w:t xml:space="preserve">Web </w:t>
      </w:r>
      <w:r>
        <w:rPr>
          <w:rFonts w:asciiTheme="majorHAnsi" w:hAnsiTheme="majorHAnsi"/>
          <w:i/>
          <w:iCs/>
          <w:sz w:val="28"/>
          <w:szCs w:val="28"/>
        </w:rPr>
        <w:t>Content Accessibility Guidelines</w:t>
      </w:r>
      <w:r w:rsidRPr="002E10EF">
        <w:rPr>
          <w:rFonts w:asciiTheme="majorHAnsi" w:hAnsiTheme="majorHAnsi"/>
          <w:i/>
          <w:iCs/>
          <w:sz w:val="28"/>
          <w:szCs w:val="28"/>
        </w:rPr>
        <w:t xml:space="preserve"> (WCAG) 2.2</w:t>
      </w:r>
      <w:r w:rsidRPr="002E10EF">
        <w:rPr>
          <w:rFonts w:asciiTheme="majorHAnsi" w:hAnsiTheme="majorHAnsi"/>
          <w:sz w:val="28"/>
          <w:szCs w:val="28"/>
        </w:rPr>
        <w:t xml:space="preserve">. </w:t>
      </w:r>
      <w:hyperlink r:id="rId5" w:tgtFrame="_blank" w:history="1">
        <w:r w:rsidRPr="002E10EF">
          <w:rPr>
            <w:rStyle w:val="Hyperlink"/>
            <w:rFonts w:asciiTheme="majorHAnsi" w:hAnsiTheme="majorHAnsi"/>
            <w:sz w:val="28"/>
            <w:szCs w:val="28"/>
          </w:rPr>
          <w:t>https://www.w3.org/TR/WCAG22/</w:t>
        </w:r>
      </w:hyperlink>
    </w:p>
    <w:p w14:paraId="75CCB9F2" w14:textId="77777777" w:rsidR="002C59AB" w:rsidRDefault="002C59AB" w:rsidP="002C59AB">
      <w:pPr>
        <w:ind w:left="360"/>
        <w:rPr>
          <w:rFonts w:asciiTheme="majorHAnsi" w:hAnsiTheme="majorHAnsi"/>
          <w:sz w:val="28"/>
          <w:szCs w:val="28"/>
        </w:rPr>
      </w:pPr>
      <w:r w:rsidRPr="00E1641B">
        <w:rPr>
          <w:rFonts w:asciiTheme="majorHAnsi" w:hAnsiTheme="majorHAnsi"/>
          <w:sz w:val="28"/>
          <w:szCs w:val="28"/>
        </w:rPr>
        <w:t xml:space="preserve">Good Things Foundation. (2023). </w:t>
      </w:r>
      <w:r w:rsidRPr="00E1641B">
        <w:rPr>
          <w:rFonts w:asciiTheme="majorHAnsi" w:hAnsiTheme="majorHAnsi"/>
          <w:i/>
          <w:iCs/>
          <w:sz w:val="28"/>
          <w:szCs w:val="28"/>
        </w:rPr>
        <w:t>The digital divide in the UK</w:t>
      </w:r>
      <w:r w:rsidRPr="00E1641B">
        <w:rPr>
          <w:rFonts w:asciiTheme="majorHAnsi" w:hAnsiTheme="majorHAnsi"/>
          <w:sz w:val="28"/>
          <w:szCs w:val="28"/>
        </w:rPr>
        <w:t xml:space="preserve">. </w:t>
      </w:r>
      <w:hyperlink r:id="rId6" w:tgtFrame="_blank" w:history="1">
        <w:r w:rsidRPr="00E1641B">
          <w:rPr>
            <w:rStyle w:val="Hyperlink"/>
            <w:rFonts w:asciiTheme="majorHAnsi" w:hAnsiTheme="majorHAnsi"/>
            <w:sz w:val="28"/>
            <w:szCs w:val="28"/>
          </w:rPr>
          <w:t>https://www.goodthingsfoundation.org/the-digital-divide/</w:t>
        </w:r>
      </w:hyperlink>
    </w:p>
    <w:p w14:paraId="4A065E24" w14:textId="77777777" w:rsidR="002C59AB" w:rsidRDefault="002C59AB" w:rsidP="002C59AB">
      <w:pPr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Information</w:t>
      </w:r>
      <w:r w:rsidRPr="00367BE6">
        <w:rPr>
          <w:rFonts w:asciiTheme="majorHAnsi" w:hAnsiTheme="majorHAnsi"/>
          <w:sz w:val="28"/>
          <w:szCs w:val="28"/>
        </w:rPr>
        <w:t xml:space="preserve"> Commissioner’s Office. (2018). </w:t>
      </w:r>
      <w:r w:rsidRPr="00367BE6">
        <w:rPr>
          <w:rFonts w:asciiTheme="majorHAnsi" w:hAnsiTheme="majorHAnsi"/>
          <w:i/>
          <w:iCs/>
          <w:sz w:val="28"/>
          <w:szCs w:val="28"/>
        </w:rPr>
        <w:t>Guide to the General Data Protection Regulation (GDPR)</w:t>
      </w:r>
      <w:r w:rsidRPr="00367BE6">
        <w:rPr>
          <w:rFonts w:asciiTheme="majorHAnsi" w:hAnsiTheme="majorHAnsi"/>
          <w:sz w:val="28"/>
          <w:szCs w:val="28"/>
        </w:rPr>
        <w:t xml:space="preserve">. </w:t>
      </w:r>
      <w:hyperlink r:id="rId7" w:tgtFrame="_blank" w:history="1">
        <w:r w:rsidRPr="00367BE6">
          <w:rPr>
            <w:rStyle w:val="Hyperlink"/>
            <w:rFonts w:asciiTheme="majorHAnsi" w:hAnsiTheme="majorHAnsi"/>
            <w:sz w:val="28"/>
            <w:szCs w:val="28"/>
          </w:rPr>
          <w:t>https://ico.org.uk/for-organisations/guide-to-data-protection/guide-to-the-general-data-protection-regulation-gdpr/</w:t>
        </w:r>
      </w:hyperlink>
    </w:p>
    <w:p w14:paraId="71567433" w14:textId="77777777" w:rsidR="002C59AB" w:rsidRDefault="002C59AB" w:rsidP="002C59AB">
      <w:pPr>
        <w:ind w:left="360"/>
        <w:rPr>
          <w:rFonts w:asciiTheme="majorHAnsi" w:hAnsiTheme="majorHAnsi"/>
          <w:sz w:val="28"/>
          <w:szCs w:val="28"/>
        </w:rPr>
      </w:pPr>
      <w:r w:rsidRPr="00D7389F">
        <w:rPr>
          <w:rFonts w:asciiTheme="majorHAnsi" w:hAnsiTheme="majorHAnsi"/>
          <w:sz w:val="28"/>
          <w:szCs w:val="28"/>
        </w:rPr>
        <w:t xml:space="preserve">NHS. (2021). </w:t>
      </w:r>
      <w:r w:rsidRPr="00D7389F">
        <w:rPr>
          <w:rFonts w:asciiTheme="majorHAnsi" w:hAnsiTheme="majorHAnsi"/>
          <w:i/>
          <w:iCs/>
          <w:sz w:val="28"/>
          <w:szCs w:val="28"/>
        </w:rPr>
        <w:t>Digital technology assessment criteria (DTAC)</w:t>
      </w:r>
      <w:r w:rsidRPr="00D7389F">
        <w:rPr>
          <w:rFonts w:asciiTheme="majorHAnsi" w:hAnsiTheme="majorHAnsi"/>
          <w:sz w:val="28"/>
          <w:szCs w:val="28"/>
        </w:rPr>
        <w:t xml:space="preserve">. </w:t>
      </w:r>
      <w:hyperlink r:id="rId8" w:tgtFrame="_new" w:history="1">
        <w:r w:rsidRPr="00D7389F">
          <w:rPr>
            <w:rStyle w:val="Hyperlink"/>
            <w:rFonts w:asciiTheme="majorHAnsi" w:hAnsiTheme="majorHAnsi"/>
            <w:sz w:val="28"/>
            <w:szCs w:val="28"/>
          </w:rPr>
          <w:t>https://www.nhsx.nhs.uk/key-tools-and-info/digital-technology-assessment-criteria-dtac/</w:t>
        </w:r>
      </w:hyperlink>
    </w:p>
    <w:p w14:paraId="1CB4C2AA" w14:textId="77777777" w:rsidR="002C59AB" w:rsidRPr="002E10EF" w:rsidRDefault="002C59AB" w:rsidP="002C59AB">
      <w:pPr>
        <w:ind w:left="360"/>
        <w:rPr>
          <w:rFonts w:asciiTheme="majorHAnsi" w:hAnsiTheme="majorHAnsi"/>
          <w:sz w:val="28"/>
          <w:szCs w:val="28"/>
        </w:rPr>
      </w:pPr>
      <w:hyperlink r:id="rId9" w:history="1">
        <w:r w:rsidRPr="00E41400">
          <w:rPr>
            <w:rStyle w:val="Hyperlink"/>
            <w:rFonts w:asciiTheme="majorHAnsi" w:hAnsiTheme="majorHAnsi"/>
            <w:sz w:val="28"/>
            <w:szCs w:val="28"/>
          </w:rPr>
          <w:t>How does communication heal? Pathways linking clinician–patient communication to health outcomes - ScienceDirect</w:t>
        </w:r>
      </w:hyperlink>
    </w:p>
    <w:p w14:paraId="2F9CB69C" w14:textId="77777777" w:rsidR="00A1543C" w:rsidRDefault="00A1543C"/>
    <w:sectPr w:rsidR="00A15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F03D1"/>
    <w:multiLevelType w:val="hybridMultilevel"/>
    <w:tmpl w:val="9C0E6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0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AB"/>
    <w:rsid w:val="00005947"/>
    <w:rsid w:val="00103EC0"/>
    <w:rsid w:val="00272647"/>
    <w:rsid w:val="002C59AB"/>
    <w:rsid w:val="00714777"/>
    <w:rsid w:val="008503CF"/>
    <w:rsid w:val="00A1543C"/>
    <w:rsid w:val="00A9263B"/>
    <w:rsid w:val="00B012BD"/>
    <w:rsid w:val="00B97CE5"/>
    <w:rsid w:val="00D30756"/>
    <w:rsid w:val="00E5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4D55"/>
  <w15:chartTrackingRefBased/>
  <w15:docId w15:val="{9F93B644-0610-4DFC-9EF5-6D563D74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9AB"/>
  </w:style>
  <w:style w:type="paragraph" w:styleId="Heading1">
    <w:name w:val="heading 1"/>
    <w:basedOn w:val="Normal"/>
    <w:next w:val="Normal"/>
    <w:link w:val="Heading1Char"/>
    <w:uiPriority w:val="9"/>
    <w:qFormat/>
    <w:rsid w:val="002C5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9A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hsx.nhs.uk/key-tools-and-info/digital-technology-assessment-criteria-dta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co.org.uk/for-organisations/guide-to-data-protection/guide-to-the-general-data-protection-regulation-gdp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goodthingsfoundation.org/the-digital-divid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.org/TR/WCAG22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738399108006319?via%3Di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Mysha Iqbal</dc:creator>
  <cp:keywords/>
  <dc:description/>
  <cp:lastModifiedBy>Mysha Iqbal</cp:lastModifiedBy>
  <cp:revision>10</cp:revision>
  <dcterms:created xsi:type="dcterms:W3CDTF">2026-03-25T10:02:00Z</dcterms:created>
  <dcterms:modified xsi:type="dcterms:W3CDTF">2026-03-25T10:18:00Z</dcterms:modified>
</cp:coreProperties>
</file>