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Inter" w:hAnsi="Inter"/>
          <w:b/>
          <w:color w:val="064354"/>
          <w:sz w:val="52"/>
        </w:rPr>
        <w:t>AATZY CONSTRUCTION APP</w:t>
      </w:r>
    </w:p>
    <w:p>
      <w:pPr>
        <w:spacing w:after="480"/>
      </w:pPr>
      <w:r>
        <w:rPr>
          <w:rFonts w:ascii="Inter" w:hAnsi="Inter"/>
          <w:color w:val="0B6780"/>
          <w:sz w:val="26"/>
        </w:rPr>
        <w:t>Comprehensive Technology Stack Analysis &amp; Architectural Rationale</w:t>
      </w:r>
    </w:p>
    <w:p>
      <w:pPr>
        <w:pBdr>
          <w:bottom w:val="single" w:sz="12" w:space="1" w:color="0B6780"/>
        </w:pBdr>
        <w:spacing w:after="480"/>
      </w:pPr>
    </w:p>
    <w:p>
      <w:pPr>
        <w:spacing w:before="360" w:after="120"/>
      </w:pPr>
      <w:r>
        <w:rPr>
          <w:b/>
          <w:color w:val="064354"/>
          <w:sz w:val="36"/>
        </w:rPr>
        <w:t>1. Executive Summary</w:t>
      </w:r>
    </w:p>
    <w:p>
      <w:r>
        <w:t>This document provides a highly detailed analysis of the full-stack technology architecture powering the Aatzy Construction Platform. Designed to streamline operations in the construction industry, this platform connects property owners (Consumers) with construction firms, materials vendors, and independent contractors (Providers).</w:t>
      </w:r>
    </w:p>
    <w:p>
      <w:r>
        <w:t>The application leverages a monorepo setup, hosting a high-performance cross-platform Flutter mobile application and a React-based Next.js 16 web administration dashboard with a built-in RESTful API backend. By integrating serverless database capabilities, automated transactional workflows, and advanced state management, the Aatzy platform delivers a modern, robust, and highly scalable user experience.</w:t>
      </w:r>
    </w:p>
    <w:p>
      <w:pPr>
        <w:spacing w:before="360" w:after="120"/>
      </w:pPr>
      <w:r>
        <w:rPr>
          <w:b/>
          <w:color w:val="064354"/>
          <w:sz w:val="36"/>
        </w:rPr>
        <w:t>2. Mobile Frontend Stack</w:t>
      </w:r>
    </w:p>
    <w:p>
      <w:r>
        <w:t>The mobile frontend is built on Google's Flutter framework, enabling native cross-platform compilations from a single codebase. The core technologies and packages are detailed below:</w:t>
      </w:r>
    </w:p>
    <w:p>
      <w:pPr>
        <w:pStyle w:val="ListBullet"/>
        <w:spacing w:after="80"/>
      </w:pPr>
      <w:r>
        <w:rPr>
          <w:b/>
          <w:color w:val="0B6780"/>
        </w:rPr>
        <w:t>Flutter Framework (Dart SDK ^3.10.0):</w:t>
      </w:r>
      <w:r>
        <w:t xml:space="preserve"> Used as the core software development kit (SDK) to render native-performing components at 60fps+ directly to Android, iOS, and Web environments. It completely avoids performance overhead associated with JavaScript bridges.</w:t>
      </w:r>
    </w:p>
    <w:p>
      <w:pPr>
        <w:pStyle w:val="ListBullet"/>
        <w:spacing w:after="80"/>
      </w:pPr>
      <w:r>
        <w:rPr>
          <w:b/>
          <w:color w:val="0B6780"/>
        </w:rPr>
        <w:t>State Management via Riverpod (^3.3.1):</w:t>
      </w:r>
      <w:r>
        <w:t xml:space="preserve"> Handled using riverpod_annotation (^4.0.2) to provide a compile-time safe, testable, and robust architecture. Features like AuthNotifier and ThemeModeNotifier separate business logic from widgets cleanly.</w:t>
      </w:r>
    </w:p>
    <w:p>
      <w:pPr>
        <w:pStyle w:val="ListBullet"/>
        <w:spacing w:after="80"/>
      </w:pPr>
      <w:r>
        <w:rPr>
          <w:b/>
          <w:color w:val="0B6780"/>
        </w:rPr>
        <w:t>GoRouter Navigation (^17.2.3):</w:t>
      </w:r>
      <w:r>
        <w:t xml:space="preserve"> Provides a declarative navigation configuration, facilitating seamless deep linking (e.g., project-detail/:id, b2b-product-detail/:id), query parameter handling, and URL syncing on web layouts.</w:t>
      </w:r>
    </w:p>
    <w:p>
      <w:pPr>
        <w:pStyle w:val="ListBullet"/>
        <w:spacing w:after="80"/>
      </w:pPr>
      <w:r>
        <w:rPr>
          <w:b/>
          <w:color w:val="0B6780"/>
        </w:rPr>
        <w:t>fl_chart (^1.2.0):</w:t>
      </w:r>
      <w:r>
        <w:t xml:space="preserve"> Powering data-intensive features such as budget calculators, progress estimations, and work analytics with highly responsive animations.</w:t>
      </w:r>
    </w:p>
    <w:p>
      <w:pPr>
        <w:pStyle w:val="ListBullet"/>
        <w:spacing w:after="80"/>
      </w:pPr>
      <w:r>
        <w:rPr>
          <w:b/>
          <w:color w:val="0B6780"/>
        </w:rPr>
        <w:t>shared_preferences (^2.5.5):</w:t>
      </w:r>
      <w:r>
        <w:t xml:space="preserve"> Persists transient offline data like credentials, theme mode configurations (dark/light), and development-phase API endpoints locally on the device.</w:t>
      </w:r>
    </w:p>
    <w:p>
      <w:pPr>
        <w:spacing w:before="240" w:after="240"/>
        <w:ind w:left="576" w:right="576"/>
        <w:pBdr>
          <w:left w:val="single" w:sz="36" w:space="12" w:color="064354"/>
        </w:pBdr>
        <w:shd w:fill="F4F8F9"/>
      </w:pPr>
      <w:r>
        <w:rPr>
          <w:rFonts w:ascii="Inter" w:hAnsi="Inter"/>
          <w:i/>
          <w:color w:val="1F2C33"/>
          <w:sz w:val="21"/>
        </w:rPr>
        <w:t>Justification for Frontend Stack: Operating in the construction marketplace requires visual-heavy workflows (project photo uploads, portfolio galleries, milestone tracking). Flutter's compilation to native ARM/x86 code coupled with Riverpod state tracking guarantees low rendering latency even during image processing and chart calculations.</w:t>
      </w:r>
    </w:p>
    <w:p>
      <w:pPr>
        <w:spacing w:before="360" w:after="120"/>
      </w:pPr>
      <w:r>
        <w:rPr>
          <w:b/>
          <w:color w:val="064354"/>
          <w:sz w:val="36"/>
        </w:rPr>
        <w:t>3. Backend API Server</w:t>
      </w:r>
    </w:p>
    <w:p>
      <w:r>
        <w:t>The backend server is built natively as part of the Next.js framework, utilizing API route handlers inside the App Router framework. This allows the administrative web page and backend services to share deployment infrastructure.</w:t>
      </w:r>
    </w:p>
    <w:p>
      <w:pPr>
        <w:pStyle w:val="ListBullet"/>
        <w:spacing w:after="80"/>
      </w:pPr>
      <w:r>
        <w:rPr>
          <w:b/>
          <w:color w:val="0B6780"/>
        </w:rPr>
        <w:t>Next.js 16 (App Router):</w:t>
      </w:r>
      <w:r>
        <w:t xml:space="preserve"> Utilized as a full-stack runtime, writing server-side REST API handlers (route.ts) under src/app/api/ to isolate and serve individual modules (e.g., auth, users, projects, suppliers, chat).</w:t>
      </w:r>
    </w:p>
    <w:p>
      <w:pPr>
        <w:pStyle w:val="ListBullet"/>
        <w:spacing w:after="80"/>
      </w:pPr>
      <w:r>
        <w:rPr>
          <w:b/>
          <w:color w:val="0B6780"/>
        </w:rPr>
        <w:t>TypeScript (^5):</w:t>
      </w:r>
      <w:r>
        <w:t xml:space="preserve"> Enforces compile-time type validation, preventing production errors and facilitating clear contract alignments between frontend requests and database queries.</w:t>
      </w:r>
    </w:p>
    <w:p>
      <w:pPr>
        <w:pStyle w:val="ListBullet"/>
        <w:spacing w:after="80"/>
      </w:pPr>
      <w:r>
        <w:rPr>
          <w:b/>
          <w:color w:val="0B6780"/>
        </w:rPr>
        <w:t>Next.js Config (next.config.ts):</w:t>
      </w:r>
      <w:r>
        <w:t xml:space="preserve"> Enabled with CORS overrides allowing smooth requests from external mobile device emulators and local development hostlines.</w:t>
      </w:r>
    </w:p>
    <w:p>
      <w:pPr>
        <w:spacing w:before="360" w:after="120"/>
      </w:pPr>
      <w:r>
        <w:rPr>
          <w:b/>
          <w:color w:val="064354"/>
          <w:sz w:val="36"/>
        </w:rPr>
        <w:t>4. Database &amp; ORM Layer</w:t>
      </w:r>
    </w:p>
    <w:p>
      <w:r>
        <w:t>The application state and transaction records are persisted in a relational database with strict validation constraints, using Neon PostgreSQL and Prisma.</w:t>
      </w:r>
    </w:p>
    <w:p>
      <w:pPr>
        <w:pStyle w:val="ListBullet"/>
        <w:spacing w:after="80"/>
      </w:pPr>
      <w:r>
        <w:rPr>
          <w:b/>
          <w:color w:val="0B6780"/>
        </w:rPr>
        <w:t>PostgreSQL (Hosted on Neon):</w:t>
      </w:r>
      <w:r>
        <w:t xml:space="preserve"> Relational database offering full ACID compliance, serverless scale-to-zero capabilities, and rapid direct/pooled connections suitable for processing concurrent orders and chats.</w:t>
      </w:r>
    </w:p>
    <w:p>
      <w:pPr>
        <w:pStyle w:val="ListBullet"/>
        <w:spacing w:after="80"/>
      </w:pPr>
      <w:r>
        <w:rPr>
          <w:b/>
          <w:color w:val="0B6780"/>
        </w:rPr>
        <w:t>Prisma ORM (^6.19.3):</w:t>
      </w:r>
      <w:r>
        <w:t xml:space="preserve"> Offers object-relational mapping, letting developers write code-first database interactions. Prisma auto-generates type declarations matching the schema.prisma file (12 data models).</w:t>
      </w:r>
    </w:p>
    <w:p>
      <w:pPr>
        <w:pStyle w:val="ListBullet"/>
        <w:spacing w:after="80"/>
      </w:pPr>
      <w:r>
        <w:rPr>
          <w:b/>
          <w:color w:val="0B6780"/>
        </w:rPr>
        <w:t>Schema Models:</w:t>
      </w:r>
      <w:r>
        <w:t xml:space="preserve"> Encompasses models for Users, Providers, Projects, Quotes, Reviews, PortfolioImages, Products (B2B marketplace items), Inquiries, Messages, and MaterialNews.</w:t>
      </w:r>
    </w:p>
    <w:p>
      <w:pPr>
        <w:spacing w:before="240" w:after="240"/>
        <w:ind w:left="576" w:right="576"/>
        <w:pBdr>
          <w:left w:val="single" w:sz="36" w:space="12" w:color="064354"/>
        </w:pBdr>
        <w:shd w:fill="F4F8F9"/>
      </w:pPr>
      <w:r>
        <w:rPr>
          <w:rFonts w:ascii="Inter" w:hAnsi="Inter"/>
          <w:i/>
          <w:color w:val="1F2C33"/>
          <w:sz w:val="21"/>
        </w:rPr>
        <w:t>Justification for PostgreSQL &amp; Prisma: Marketplaces contain strict structural relations — e.g. an Inquiry cannot float independently; it must bind to a specific User (buyer), Provider (supplier), and Product. Relational databases enforce these constraints via foreign keys, while Prisma ensures typescript validation preventing backend crashes.</w:t>
      </w:r>
    </w:p>
    <w:p>
      <w:pPr>
        <w:spacing w:before="360" w:after="120"/>
      </w:pPr>
      <w:r>
        <w:rPr>
          <w:b/>
          <w:color w:val="064354"/>
          <w:sz w:val="36"/>
        </w:rPr>
        <w:t>5. Admin Panel &amp; Frontend Web</w:t>
      </w:r>
    </w:p>
    <w:p>
      <w:r>
        <w:t>The admin portal is a web-based dashboard that allows administrators to oversee operations, verify service providers, reject faulty listings, and view analytical reports.</w:t>
      </w:r>
    </w:p>
    <w:p>
      <w:pPr>
        <w:pStyle w:val="ListBullet"/>
        <w:spacing w:after="80"/>
      </w:pPr>
      <w:r>
        <w:rPr>
          <w:b/>
          <w:color w:val="0B6780"/>
        </w:rPr>
        <w:t>React 19 + Next.js App Router:</w:t>
      </w:r>
      <w:r>
        <w:t xml:space="preserve"> Employs React Server Components (RSC) to render heavy analytical tables directly on the server, significantly reducing frontend load times.</w:t>
      </w:r>
    </w:p>
    <w:p>
      <w:pPr>
        <w:pStyle w:val="ListBullet"/>
        <w:spacing w:after="80"/>
      </w:pPr>
      <w:r>
        <w:rPr>
          <w:b/>
          <w:color w:val="0B6780"/>
        </w:rPr>
        <w:t>Tailwind CSS v4:</w:t>
      </w:r>
      <w:r>
        <w:t xml:space="preserve"> Enables modern utility-first layouts, ensuring high responsiveness for screens displaying charts (DashboardAnalytics.tsx) and verification forms (ProviderReviewModal.tsx).</w:t>
      </w:r>
    </w:p>
    <w:p>
      <w:pPr>
        <w:pStyle w:val="ListBullet"/>
        <w:spacing w:after="80"/>
      </w:pPr>
      <w:r>
        <w:rPr>
          <w:b/>
          <w:color w:val="0B6780"/>
        </w:rPr>
        <w:t>Custom Modules:</w:t>
      </w:r>
      <w:r>
        <w:t xml:space="preserve"> Incorporates components for approving user registers, searching providers, managing leads, and tracking transactional updates.</w:t>
      </w:r>
    </w:p>
    <w:p>
      <w:pPr>
        <w:spacing w:before="360" w:after="120"/>
      </w:pPr>
      <w:r>
        <w:rPr>
          <w:b/>
          <w:color w:val="064354"/>
          <w:sz w:val="36"/>
        </w:rPr>
        <w:t>6. Third-Party Services &amp; Integrations</w:t>
      </w:r>
    </w:p>
    <w:p>
      <w:r>
        <w:t>To deliver advanced authentication and system communication channels, the platform relies on external integrations:</w:t>
      </w:r>
    </w:p>
    <w:p>
      <w:pPr>
        <w:pStyle w:val="ListBullet"/>
        <w:spacing w:after="80"/>
      </w:pPr>
      <w:r>
        <w:rPr>
          <w:b/>
          <w:color w:val="0B6780"/>
        </w:rPr>
        <w:t>Google OAuth 2.0 (google_sign_in / google-auth-library):</w:t>
      </w:r>
      <w:r>
        <w:t xml:space="preserve"> Enables secure social authentication for users and suppliers. Tokens are verified on the backend before generating user sessions.</w:t>
      </w:r>
    </w:p>
    <w:p>
      <w:pPr>
        <w:pStyle w:val="ListBullet"/>
        <w:spacing w:after="80"/>
      </w:pPr>
      <w:r>
        <w:rPr>
          <w:b/>
          <w:color w:val="0B6780"/>
        </w:rPr>
        <w:t>Message Central SMS Gateway:</w:t>
      </w:r>
      <w:r>
        <w:t xml:space="preserve"> Custom integration to deliver transactional SMS alerts and verification codes (OTPs) directly to users' phones.</w:t>
      </w:r>
    </w:p>
    <w:p>
      <w:pPr>
        <w:pStyle w:val="ListBullet"/>
        <w:spacing w:after="80"/>
      </w:pPr>
      <w:r>
        <w:rPr>
          <w:b/>
          <w:color w:val="0B6780"/>
        </w:rPr>
        <w:t>Nodemailer + SMTP (Gmail):</w:t>
      </w:r>
      <w:r>
        <w:t xml:space="preserve"> Triggers email notifications automatically when providers submit KYC cards, when administrators verify portals, or when messages arrive.</w:t>
      </w:r>
    </w:p>
    <w:p>
      <w:r>
        <w:br w:type="page"/>
      </w:r>
    </w:p>
    <w:p>
      <w:pPr>
        <w:spacing w:before="360" w:after="240"/>
      </w:pPr>
      <w:r>
        <w:rPr>
          <w:b/>
          <w:color w:val="064354"/>
          <w:sz w:val="36"/>
        </w:rPr>
        <w:t>7. Complete Technology Stack Summary</w:t>
      </w:r>
    </w:p>
    <w:tbl>
      <w:tblPr>
        <w:tblW w:type="auto" w:w="0"/>
        <w:jc w:val="center"/>
        <w:tblLook w:firstColumn="1" w:firstRow="1" w:lastColumn="0" w:lastRow="0" w:noHBand="0" w:noVBand="1" w:val="04A0"/>
        <w:tblBorders>
          <w:top w:val="single" w:sz="4" w:space="0" w:color="CCCCCC"/>
          <w:bottom w:val="single" w:sz="6" w:space="0" w:color="064354"/>
          <w:left w:val="none"/>
          <w:right w:val="none"/>
          <w:insideH w:val="single" w:sz="4" w:space="0" w:color="E5E5E5"/>
          <w:insideV w:val="none"/>
        </w:tblBorders>
      </w:tblPr>
      <w:tblGrid>
        <w:gridCol w:w="2340"/>
        <w:gridCol w:w="2340"/>
        <w:gridCol w:w="2340"/>
        <w:gridCol w:w="2340"/>
      </w:tblGrid>
      <w:tr>
        <w:trPr>
          <w:trHeight w:val="400" w:hRule="atLeast"/>
        </w:trPr>
        <w:tc>
          <w:tcPr>
            <w:tcW w:type="dxa" w:w="2160"/>
            <w:vAlign w:val="center"/>
            <w:tcMar>
              <w:top w:w="140" w:type="dxa"/>
              <w:bottom w:w="140" w:type="dxa"/>
              <w:left w:w="150" w:type="dxa"/>
              <w:right w:w="150" w:type="dxa"/>
            </w:tcMar>
            <w:shd w:fill="064354"/>
          </w:tcPr>
          <w:p>
            <w:pPr>
              <w:jc w:val="left"/>
            </w:pPr>
            <w:r>
              <w:rPr>
                <w:b/>
                <w:color w:val="FFFFFF"/>
                <w:sz w:val="20"/>
              </w:rPr>
              <w:t>Layer</w:t>
            </w:r>
          </w:p>
        </w:tc>
        <w:tc>
          <w:tcPr>
            <w:tcW w:type="dxa" w:w="2592"/>
            <w:vAlign w:val="center"/>
            <w:tcMar>
              <w:top w:w="140" w:type="dxa"/>
              <w:bottom w:w="140" w:type="dxa"/>
              <w:left w:w="150" w:type="dxa"/>
              <w:right w:w="150" w:type="dxa"/>
            </w:tcMar>
            <w:shd w:fill="064354"/>
          </w:tcPr>
          <w:p>
            <w:pPr>
              <w:jc w:val="left"/>
            </w:pPr>
            <w:r>
              <w:rPr>
                <w:b/>
                <w:color w:val="FFFFFF"/>
                <w:sz w:val="20"/>
              </w:rPr>
              <w:t>Technology</w:t>
            </w:r>
          </w:p>
        </w:tc>
        <w:tc>
          <w:tcPr>
            <w:tcW w:type="dxa" w:w="1440"/>
            <w:vAlign w:val="center"/>
            <w:tcMar>
              <w:top w:w="140" w:type="dxa"/>
              <w:bottom w:w="140" w:type="dxa"/>
              <w:left w:w="150" w:type="dxa"/>
              <w:right w:w="150" w:type="dxa"/>
            </w:tcMar>
            <w:shd w:fill="064354"/>
          </w:tcPr>
          <w:p>
            <w:pPr>
              <w:jc w:val="left"/>
            </w:pPr>
            <w:r>
              <w:rPr>
                <w:b/>
                <w:color w:val="FFFFFF"/>
                <w:sz w:val="20"/>
              </w:rPr>
              <w:t>Version</w:t>
            </w:r>
          </w:p>
        </w:tc>
        <w:tc>
          <w:tcPr>
            <w:tcW w:type="dxa" w:w="3168"/>
            <w:vAlign w:val="center"/>
            <w:tcMar>
              <w:top w:w="140" w:type="dxa"/>
              <w:bottom w:w="140" w:type="dxa"/>
              <w:left w:w="150" w:type="dxa"/>
              <w:right w:w="150" w:type="dxa"/>
            </w:tcMar>
            <w:shd w:fill="064354"/>
          </w:tcPr>
          <w:p>
            <w:pPr>
              <w:jc w:val="left"/>
            </w:pPr>
            <w:r>
              <w:rPr>
                <w:b/>
                <w:color w:val="FFFFFF"/>
                <w:sz w:val="20"/>
              </w:rPr>
              <w:t>Key Role / Function</w:t>
            </w:r>
          </w:p>
        </w:tc>
      </w:tr>
      <w:tr>
        <w:trPr>
          <w:trHeight w:val="320" w:hRule="atLeast"/>
        </w:trPr>
        <w:tc>
          <w:tcPr>
            <w:tcW w:type="dxa" w:w="2160"/>
            <w:vAlign w:val="center"/>
            <w:tcMar>
              <w:top w:w="100" w:type="dxa"/>
              <w:bottom w:w="100" w:type="dxa"/>
              <w:left w:w="150" w:type="dxa"/>
              <w:right w:w="150" w:type="dxa"/>
            </w:tcMar>
            <w:shd w:fill="FFFFFF"/>
          </w:tcPr>
          <w:p>
            <w:pPr>
              <w:jc w:val="left"/>
            </w:pPr>
            <w:r>
              <w:rPr>
                <w:b/>
                <w:color w:val="0B6780"/>
                <w:sz w:val="19"/>
              </w:rPr>
              <w:t>Mobile Frontend</w:t>
            </w:r>
          </w:p>
        </w:tc>
        <w:tc>
          <w:tcPr>
            <w:tcW w:type="dxa" w:w="2592"/>
            <w:vAlign w:val="center"/>
            <w:tcMar>
              <w:top w:w="100" w:type="dxa"/>
              <w:bottom w:w="100" w:type="dxa"/>
              <w:left w:w="150" w:type="dxa"/>
              <w:right w:w="150" w:type="dxa"/>
            </w:tcMar>
            <w:shd w:fill="FFFFFF"/>
          </w:tcPr>
          <w:p>
            <w:pPr>
              <w:jc w:val="left"/>
            </w:pPr>
            <w:r>
              <w:rPr>
                <w:b/>
                <w:color w:val="0B6780"/>
                <w:sz w:val="19"/>
              </w:rPr>
              <w:t>Flutter</w:t>
            </w:r>
          </w:p>
        </w:tc>
        <w:tc>
          <w:tcPr>
            <w:tcW w:type="dxa" w:w="1440"/>
            <w:vAlign w:val="center"/>
            <w:tcMar>
              <w:top w:w="100" w:type="dxa"/>
              <w:bottom w:w="100" w:type="dxa"/>
              <w:left w:w="150" w:type="dxa"/>
              <w:right w:w="150" w:type="dxa"/>
            </w:tcMar>
            <w:shd w:fill="FFFFFF"/>
          </w:tcPr>
          <w:p>
            <w:pPr>
              <w:jc w:val="left"/>
            </w:pPr>
            <w:r>
              <w:rPr>
                <w:color w:val="323C41"/>
                <w:sz w:val="19"/>
              </w:rPr>
              <w:t>SDK ^3.10.0</w:t>
            </w:r>
          </w:p>
        </w:tc>
        <w:tc>
          <w:tcPr>
            <w:tcW w:type="dxa" w:w="3168"/>
            <w:vAlign w:val="center"/>
            <w:tcMar>
              <w:top w:w="100" w:type="dxa"/>
              <w:bottom w:w="100" w:type="dxa"/>
              <w:left w:w="150" w:type="dxa"/>
              <w:right w:w="150" w:type="dxa"/>
            </w:tcMar>
            <w:shd w:fill="FFFFFF"/>
          </w:tcPr>
          <w:p>
            <w:pPr>
              <w:jc w:val="left"/>
            </w:pPr>
            <w:r>
              <w:rPr>
                <w:color w:val="323C41"/>
                <w:sz w:val="19"/>
              </w:rPr>
              <w:t>Cross-platform mobile application interface</w:t>
            </w:r>
          </w:p>
        </w:tc>
      </w:tr>
      <w:tr>
        <w:trPr>
          <w:trHeight w:val="320" w:hRule="atLeast"/>
        </w:trPr>
        <w:tc>
          <w:tcPr>
            <w:tcW w:type="dxa" w:w="2160"/>
            <w:vAlign w:val="center"/>
            <w:tcMar>
              <w:top w:w="100" w:type="dxa"/>
              <w:bottom w:w="100" w:type="dxa"/>
              <w:left w:w="150" w:type="dxa"/>
              <w:right w:w="150" w:type="dxa"/>
            </w:tcMar>
            <w:shd w:fill="F9FBFB"/>
          </w:tcPr>
          <w:p>
            <w:pPr>
              <w:jc w:val="left"/>
            </w:pPr>
            <w:r>
              <w:rPr>
                <w:b/>
                <w:color w:val="0B6780"/>
                <w:sz w:val="19"/>
              </w:rPr>
              <w:t>State Management</w:t>
            </w:r>
          </w:p>
        </w:tc>
        <w:tc>
          <w:tcPr>
            <w:tcW w:type="dxa" w:w="2592"/>
            <w:vAlign w:val="center"/>
            <w:tcMar>
              <w:top w:w="100" w:type="dxa"/>
              <w:bottom w:w="100" w:type="dxa"/>
              <w:left w:w="150" w:type="dxa"/>
              <w:right w:w="150" w:type="dxa"/>
            </w:tcMar>
            <w:shd w:fill="F9FBFB"/>
          </w:tcPr>
          <w:p>
            <w:pPr>
              <w:jc w:val="left"/>
            </w:pPr>
            <w:r>
              <w:rPr>
                <w:b/>
                <w:color w:val="0B6780"/>
                <w:sz w:val="19"/>
              </w:rPr>
              <w:t>Riverpod</w:t>
            </w:r>
          </w:p>
        </w:tc>
        <w:tc>
          <w:tcPr>
            <w:tcW w:type="dxa" w:w="1440"/>
            <w:vAlign w:val="center"/>
            <w:tcMar>
              <w:top w:w="100" w:type="dxa"/>
              <w:bottom w:w="100" w:type="dxa"/>
              <w:left w:w="150" w:type="dxa"/>
              <w:right w:w="150" w:type="dxa"/>
            </w:tcMar>
            <w:shd w:fill="F9FBFB"/>
          </w:tcPr>
          <w:p>
            <w:pPr>
              <w:jc w:val="left"/>
            </w:pPr>
            <w:r>
              <w:rPr>
                <w:color w:val="323C41"/>
                <w:sz w:val="19"/>
              </w:rPr>
              <w:t>^3.3.1</w:t>
            </w:r>
          </w:p>
        </w:tc>
        <w:tc>
          <w:tcPr>
            <w:tcW w:type="dxa" w:w="3168"/>
            <w:vAlign w:val="center"/>
            <w:tcMar>
              <w:top w:w="100" w:type="dxa"/>
              <w:bottom w:w="100" w:type="dxa"/>
              <w:left w:w="150" w:type="dxa"/>
              <w:right w:w="150" w:type="dxa"/>
            </w:tcMar>
            <w:shd w:fill="F9FBFB"/>
          </w:tcPr>
          <w:p>
            <w:pPr>
              <w:jc w:val="left"/>
            </w:pPr>
            <w:r>
              <w:rPr>
                <w:color w:val="323C41"/>
                <w:sz w:val="19"/>
              </w:rPr>
              <w:t>Compile-safe business logic separation</w:t>
            </w:r>
          </w:p>
        </w:tc>
      </w:tr>
      <w:tr>
        <w:trPr>
          <w:trHeight w:val="320" w:hRule="atLeast"/>
        </w:trPr>
        <w:tc>
          <w:tcPr>
            <w:tcW w:type="dxa" w:w="2160"/>
            <w:vAlign w:val="center"/>
            <w:tcMar>
              <w:top w:w="100" w:type="dxa"/>
              <w:bottom w:w="100" w:type="dxa"/>
              <w:left w:w="150" w:type="dxa"/>
              <w:right w:w="150" w:type="dxa"/>
            </w:tcMar>
            <w:shd w:fill="FFFFFF"/>
          </w:tcPr>
          <w:p>
            <w:pPr>
              <w:jc w:val="left"/>
            </w:pPr>
            <w:r>
              <w:rPr>
                <w:b/>
                <w:color w:val="0B6780"/>
                <w:sz w:val="19"/>
              </w:rPr>
              <w:t>Routing</w:t>
            </w:r>
          </w:p>
        </w:tc>
        <w:tc>
          <w:tcPr>
            <w:tcW w:type="dxa" w:w="2592"/>
            <w:vAlign w:val="center"/>
            <w:tcMar>
              <w:top w:w="100" w:type="dxa"/>
              <w:bottom w:w="100" w:type="dxa"/>
              <w:left w:w="150" w:type="dxa"/>
              <w:right w:w="150" w:type="dxa"/>
            </w:tcMar>
            <w:shd w:fill="FFFFFF"/>
          </w:tcPr>
          <w:p>
            <w:pPr>
              <w:jc w:val="left"/>
            </w:pPr>
            <w:r>
              <w:rPr>
                <w:b/>
                <w:color w:val="0B6780"/>
                <w:sz w:val="19"/>
              </w:rPr>
              <w:t>GoRouter</w:t>
            </w:r>
          </w:p>
        </w:tc>
        <w:tc>
          <w:tcPr>
            <w:tcW w:type="dxa" w:w="1440"/>
            <w:vAlign w:val="center"/>
            <w:tcMar>
              <w:top w:w="100" w:type="dxa"/>
              <w:bottom w:w="100" w:type="dxa"/>
              <w:left w:w="150" w:type="dxa"/>
              <w:right w:w="150" w:type="dxa"/>
            </w:tcMar>
            <w:shd w:fill="FFFFFF"/>
          </w:tcPr>
          <w:p>
            <w:pPr>
              <w:jc w:val="left"/>
            </w:pPr>
            <w:r>
              <w:rPr>
                <w:color w:val="323C41"/>
                <w:sz w:val="19"/>
              </w:rPr>
              <w:t>^17.2.3</w:t>
            </w:r>
          </w:p>
        </w:tc>
        <w:tc>
          <w:tcPr>
            <w:tcW w:type="dxa" w:w="3168"/>
            <w:vAlign w:val="center"/>
            <w:tcMar>
              <w:top w:w="100" w:type="dxa"/>
              <w:bottom w:w="100" w:type="dxa"/>
              <w:left w:w="150" w:type="dxa"/>
              <w:right w:w="150" w:type="dxa"/>
            </w:tcMar>
            <w:shd w:fill="FFFFFF"/>
          </w:tcPr>
          <w:p>
            <w:pPr>
              <w:jc w:val="left"/>
            </w:pPr>
            <w:r>
              <w:rPr>
                <w:color w:val="323C41"/>
                <w:sz w:val="19"/>
              </w:rPr>
              <w:t>Declarative navigation and deep-linking</w:t>
            </w:r>
          </w:p>
        </w:tc>
      </w:tr>
      <w:tr>
        <w:trPr>
          <w:trHeight w:val="320" w:hRule="atLeast"/>
        </w:trPr>
        <w:tc>
          <w:tcPr>
            <w:tcW w:type="dxa" w:w="2160"/>
            <w:vAlign w:val="center"/>
            <w:tcMar>
              <w:top w:w="100" w:type="dxa"/>
              <w:bottom w:w="100" w:type="dxa"/>
              <w:left w:w="150" w:type="dxa"/>
              <w:right w:w="150" w:type="dxa"/>
            </w:tcMar>
            <w:shd w:fill="F9FBFB"/>
          </w:tcPr>
          <w:p>
            <w:pPr>
              <w:jc w:val="left"/>
            </w:pPr>
            <w:r>
              <w:rPr>
                <w:b/>
                <w:color w:val="0B6780"/>
                <w:sz w:val="19"/>
              </w:rPr>
              <w:t>Styling (Mobile)</w:t>
            </w:r>
          </w:p>
        </w:tc>
        <w:tc>
          <w:tcPr>
            <w:tcW w:type="dxa" w:w="2592"/>
            <w:vAlign w:val="center"/>
            <w:tcMar>
              <w:top w:w="100" w:type="dxa"/>
              <w:bottom w:w="100" w:type="dxa"/>
              <w:left w:w="150" w:type="dxa"/>
              <w:right w:w="150" w:type="dxa"/>
            </w:tcMar>
            <w:shd w:fill="F9FBFB"/>
          </w:tcPr>
          <w:p>
            <w:pPr>
              <w:jc w:val="left"/>
            </w:pPr>
            <w:r>
              <w:rPr>
                <w:b/>
                <w:color w:val="0B6780"/>
                <w:sz w:val="19"/>
              </w:rPr>
              <w:t>Google Fonts / Material 3</w:t>
            </w:r>
          </w:p>
        </w:tc>
        <w:tc>
          <w:tcPr>
            <w:tcW w:type="dxa" w:w="1440"/>
            <w:vAlign w:val="center"/>
            <w:tcMar>
              <w:top w:w="100" w:type="dxa"/>
              <w:bottom w:w="100" w:type="dxa"/>
              <w:left w:w="150" w:type="dxa"/>
              <w:right w:w="150" w:type="dxa"/>
            </w:tcMar>
            <w:shd w:fill="F9FBFB"/>
          </w:tcPr>
          <w:p>
            <w:pPr>
              <w:jc w:val="left"/>
            </w:pPr>
            <w:r>
              <w:rPr>
                <w:color w:val="323C41"/>
                <w:sz w:val="19"/>
              </w:rPr>
              <w:t>—</w:t>
            </w:r>
          </w:p>
        </w:tc>
        <w:tc>
          <w:tcPr>
            <w:tcW w:type="dxa" w:w="3168"/>
            <w:vAlign w:val="center"/>
            <w:tcMar>
              <w:top w:w="100" w:type="dxa"/>
              <w:bottom w:w="100" w:type="dxa"/>
              <w:left w:w="150" w:type="dxa"/>
              <w:right w:w="150" w:type="dxa"/>
            </w:tcMar>
            <w:shd w:fill="F9FBFB"/>
          </w:tcPr>
          <w:p>
            <w:pPr>
              <w:jc w:val="left"/>
            </w:pPr>
            <w:r>
              <w:rPr>
                <w:color w:val="323C41"/>
                <w:sz w:val="19"/>
              </w:rPr>
              <w:t>Typography (Inter) and adaptive interface custom themes</w:t>
            </w:r>
          </w:p>
        </w:tc>
      </w:tr>
      <w:tr>
        <w:trPr>
          <w:trHeight w:val="320" w:hRule="atLeast"/>
        </w:trPr>
        <w:tc>
          <w:tcPr>
            <w:tcW w:type="dxa" w:w="2160"/>
            <w:vAlign w:val="center"/>
            <w:tcMar>
              <w:top w:w="100" w:type="dxa"/>
              <w:bottom w:w="100" w:type="dxa"/>
              <w:left w:w="150" w:type="dxa"/>
              <w:right w:w="150" w:type="dxa"/>
            </w:tcMar>
            <w:shd w:fill="FFFFFF"/>
          </w:tcPr>
          <w:p>
            <w:pPr>
              <w:jc w:val="left"/>
            </w:pPr>
            <w:r>
              <w:rPr>
                <w:b/>
                <w:color w:val="0B6780"/>
                <w:sz w:val="19"/>
              </w:rPr>
              <w:t>Backend Framework</w:t>
            </w:r>
          </w:p>
        </w:tc>
        <w:tc>
          <w:tcPr>
            <w:tcW w:type="dxa" w:w="2592"/>
            <w:vAlign w:val="center"/>
            <w:tcMar>
              <w:top w:w="100" w:type="dxa"/>
              <w:bottom w:w="100" w:type="dxa"/>
              <w:left w:w="150" w:type="dxa"/>
              <w:right w:w="150" w:type="dxa"/>
            </w:tcMar>
            <w:shd w:fill="FFFFFF"/>
          </w:tcPr>
          <w:p>
            <w:pPr>
              <w:jc w:val="left"/>
            </w:pPr>
            <w:r>
              <w:rPr>
                <w:b/>
                <w:color w:val="0B6780"/>
                <w:sz w:val="19"/>
              </w:rPr>
              <w:t>Next.js (App Router)</w:t>
            </w:r>
          </w:p>
        </w:tc>
        <w:tc>
          <w:tcPr>
            <w:tcW w:type="dxa" w:w="1440"/>
            <w:vAlign w:val="center"/>
            <w:tcMar>
              <w:top w:w="100" w:type="dxa"/>
              <w:bottom w:w="100" w:type="dxa"/>
              <w:left w:w="150" w:type="dxa"/>
              <w:right w:w="150" w:type="dxa"/>
            </w:tcMar>
            <w:shd w:fill="FFFFFF"/>
          </w:tcPr>
          <w:p>
            <w:pPr>
              <w:jc w:val="left"/>
            </w:pPr>
            <w:r>
              <w:rPr>
                <w:color w:val="323C41"/>
                <w:sz w:val="19"/>
              </w:rPr>
              <w:t>16.2.4</w:t>
            </w:r>
          </w:p>
        </w:tc>
        <w:tc>
          <w:tcPr>
            <w:tcW w:type="dxa" w:w="3168"/>
            <w:vAlign w:val="center"/>
            <w:tcMar>
              <w:top w:w="100" w:type="dxa"/>
              <w:bottom w:w="100" w:type="dxa"/>
              <w:left w:w="150" w:type="dxa"/>
              <w:right w:w="150" w:type="dxa"/>
            </w:tcMar>
            <w:shd w:fill="FFFFFF"/>
          </w:tcPr>
          <w:p>
            <w:pPr>
              <w:jc w:val="left"/>
            </w:pPr>
            <w:r>
              <w:rPr>
                <w:color w:val="323C41"/>
                <w:sz w:val="19"/>
              </w:rPr>
              <w:t>Unified RESTful API endpoints and backend routes</w:t>
            </w:r>
          </w:p>
        </w:tc>
      </w:tr>
      <w:tr>
        <w:trPr>
          <w:trHeight w:val="320" w:hRule="atLeast"/>
        </w:trPr>
        <w:tc>
          <w:tcPr>
            <w:tcW w:type="dxa" w:w="2160"/>
            <w:vAlign w:val="center"/>
            <w:tcMar>
              <w:top w:w="100" w:type="dxa"/>
              <w:bottom w:w="100" w:type="dxa"/>
              <w:left w:w="150" w:type="dxa"/>
              <w:right w:w="150" w:type="dxa"/>
            </w:tcMar>
            <w:shd w:fill="F9FBFB"/>
          </w:tcPr>
          <w:p>
            <w:pPr>
              <w:jc w:val="left"/>
            </w:pPr>
            <w:r>
              <w:rPr>
                <w:b/>
                <w:color w:val="0B6780"/>
                <w:sz w:val="19"/>
              </w:rPr>
              <w:t>Backend Language</w:t>
            </w:r>
          </w:p>
        </w:tc>
        <w:tc>
          <w:tcPr>
            <w:tcW w:type="dxa" w:w="2592"/>
            <w:vAlign w:val="center"/>
            <w:tcMar>
              <w:top w:w="100" w:type="dxa"/>
              <w:bottom w:w="100" w:type="dxa"/>
              <w:left w:w="150" w:type="dxa"/>
              <w:right w:w="150" w:type="dxa"/>
            </w:tcMar>
            <w:shd w:fill="F9FBFB"/>
          </w:tcPr>
          <w:p>
            <w:pPr>
              <w:jc w:val="left"/>
            </w:pPr>
            <w:r>
              <w:rPr>
                <w:b/>
                <w:color w:val="0B6780"/>
                <w:sz w:val="19"/>
              </w:rPr>
              <w:t>TypeScript</w:t>
            </w:r>
          </w:p>
        </w:tc>
        <w:tc>
          <w:tcPr>
            <w:tcW w:type="dxa" w:w="1440"/>
            <w:vAlign w:val="center"/>
            <w:tcMar>
              <w:top w:w="100" w:type="dxa"/>
              <w:bottom w:w="100" w:type="dxa"/>
              <w:left w:w="150" w:type="dxa"/>
              <w:right w:w="150" w:type="dxa"/>
            </w:tcMar>
            <w:shd w:fill="F9FBFB"/>
          </w:tcPr>
          <w:p>
            <w:pPr>
              <w:jc w:val="left"/>
            </w:pPr>
            <w:r>
              <w:rPr>
                <w:color w:val="323C41"/>
                <w:sz w:val="19"/>
              </w:rPr>
              <w:t>^5</w:t>
            </w:r>
          </w:p>
        </w:tc>
        <w:tc>
          <w:tcPr>
            <w:tcW w:type="dxa" w:w="3168"/>
            <w:vAlign w:val="center"/>
            <w:tcMar>
              <w:top w:w="100" w:type="dxa"/>
              <w:bottom w:w="100" w:type="dxa"/>
              <w:left w:w="150" w:type="dxa"/>
              <w:right w:w="150" w:type="dxa"/>
            </w:tcMar>
            <w:shd w:fill="F9FBFB"/>
          </w:tcPr>
          <w:p>
            <w:pPr>
              <w:jc w:val="left"/>
            </w:pPr>
            <w:r>
              <w:rPr>
                <w:color w:val="323C41"/>
                <w:sz w:val="19"/>
              </w:rPr>
              <w:t>Strict typing across routes, functions, and models</w:t>
            </w:r>
          </w:p>
        </w:tc>
      </w:tr>
      <w:tr>
        <w:trPr>
          <w:trHeight w:val="320" w:hRule="atLeast"/>
        </w:trPr>
        <w:tc>
          <w:tcPr>
            <w:tcW w:type="dxa" w:w="2160"/>
            <w:vAlign w:val="center"/>
            <w:tcMar>
              <w:top w:w="100" w:type="dxa"/>
              <w:bottom w:w="100" w:type="dxa"/>
              <w:left w:w="150" w:type="dxa"/>
              <w:right w:w="150" w:type="dxa"/>
            </w:tcMar>
            <w:shd w:fill="FFFFFF"/>
          </w:tcPr>
          <w:p>
            <w:pPr>
              <w:jc w:val="left"/>
            </w:pPr>
            <w:r>
              <w:rPr>
                <w:b/>
                <w:color w:val="0B6780"/>
                <w:sz w:val="19"/>
              </w:rPr>
              <w:t>Database</w:t>
            </w:r>
          </w:p>
        </w:tc>
        <w:tc>
          <w:tcPr>
            <w:tcW w:type="dxa" w:w="2592"/>
            <w:vAlign w:val="center"/>
            <w:tcMar>
              <w:top w:w="100" w:type="dxa"/>
              <w:bottom w:w="100" w:type="dxa"/>
              <w:left w:w="150" w:type="dxa"/>
              <w:right w:w="150" w:type="dxa"/>
            </w:tcMar>
            <w:shd w:fill="FFFFFF"/>
          </w:tcPr>
          <w:p>
            <w:pPr>
              <w:jc w:val="left"/>
            </w:pPr>
            <w:r>
              <w:rPr>
                <w:b/>
                <w:color w:val="0B6780"/>
                <w:sz w:val="19"/>
              </w:rPr>
              <w:t>PostgreSQL (Neon)</w:t>
            </w:r>
          </w:p>
        </w:tc>
        <w:tc>
          <w:tcPr>
            <w:tcW w:type="dxa" w:w="1440"/>
            <w:vAlign w:val="center"/>
            <w:tcMar>
              <w:top w:w="100" w:type="dxa"/>
              <w:bottom w:w="100" w:type="dxa"/>
              <w:left w:w="150" w:type="dxa"/>
              <w:right w:w="150" w:type="dxa"/>
            </w:tcMar>
            <w:shd w:fill="FFFFFF"/>
          </w:tcPr>
          <w:p>
            <w:pPr>
              <w:jc w:val="left"/>
            </w:pPr>
            <w:r>
              <w:rPr>
                <w:color w:val="323C41"/>
                <w:sz w:val="19"/>
              </w:rPr>
              <w:t>—</w:t>
            </w:r>
          </w:p>
        </w:tc>
        <w:tc>
          <w:tcPr>
            <w:tcW w:type="dxa" w:w="3168"/>
            <w:vAlign w:val="center"/>
            <w:tcMar>
              <w:top w:w="100" w:type="dxa"/>
              <w:bottom w:w="100" w:type="dxa"/>
              <w:left w:w="150" w:type="dxa"/>
              <w:right w:w="150" w:type="dxa"/>
            </w:tcMar>
            <w:shd w:fill="FFFFFF"/>
          </w:tcPr>
          <w:p>
            <w:pPr>
              <w:jc w:val="left"/>
            </w:pPr>
            <w:r>
              <w:rPr>
                <w:color w:val="323C41"/>
                <w:sz w:val="19"/>
              </w:rPr>
              <w:t>Serverless relational database for storage</w:t>
            </w:r>
          </w:p>
        </w:tc>
      </w:tr>
      <w:tr>
        <w:trPr>
          <w:trHeight w:val="320" w:hRule="atLeast"/>
        </w:trPr>
        <w:tc>
          <w:tcPr>
            <w:tcW w:type="dxa" w:w="2160"/>
            <w:vAlign w:val="center"/>
            <w:tcMar>
              <w:top w:w="100" w:type="dxa"/>
              <w:bottom w:w="100" w:type="dxa"/>
              <w:left w:w="150" w:type="dxa"/>
              <w:right w:w="150" w:type="dxa"/>
            </w:tcMar>
            <w:shd w:fill="F9FBFB"/>
          </w:tcPr>
          <w:p>
            <w:pPr>
              <w:jc w:val="left"/>
            </w:pPr>
            <w:r>
              <w:rPr>
                <w:b/>
                <w:color w:val="0B6780"/>
                <w:sz w:val="19"/>
              </w:rPr>
              <w:t>ORM Layer</w:t>
            </w:r>
          </w:p>
        </w:tc>
        <w:tc>
          <w:tcPr>
            <w:tcW w:type="dxa" w:w="2592"/>
            <w:vAlign w:val="center"/>
            <w:tcMar>
              <w:top w:w="100" w:type="dxa"/>
              <w:bottom w:w="100" w:type="dxa"/>
              <w:left w:w="150" w:type="dxa"/>
              <w:right w:w="150" w:type="dxa"/>
            </w:tcMar>
            <w:shd w:fill="F9FBFB"/>
          </w:tcPr>
          <w:p>
            <w:pPr>
              <w:jc w:val="left"/>
            </w:pPr>
            <w:r>
              <w:rPr>
                <w:b/>
                <w:color w:val="0B6780"/>
                <w:sz w:val="19"/>
              </w:rPr>
              <w:t>Prisma</w:t>
            </w:r>
          </w:p>
        </w:tc>
        <w:tc>
          <w:tcPr>
            <w:tcW w:type="dxa" w:w="1440"/>
            <w:vAlign w:val="center"/>
            <w:tcMar>
              <w:top w:w="100" w:type="dxa"/>
              <w:bottom w:w="100" w:type="dxa"/>
              <w:left w:w="150" w:type="dxa"/>
              <w:right w:w="150" w:type="dxa"/>
            </w:tcMar>
            <w:shd w:fill="F9FBFB"/>
          </w:tcPr>
          <w:p>
            <w:pPr>
              <w:jc w:val="left"/>
            </w:pPr>
            <w:r>
              <w:rPr>
                <w:color w:val="323C41"/>
                <w:sz w:val="19"/>
              </w:rPr>
              <w:t>^6.19.3</w:t>
            </w:r>
          </w:p>
        </w:tc>
        <w:tc>
          <w:tcPr>
            <w:tcW w:type="dxa" w:w="3168"/>
            <w:vAlign w:val="center"/>
            <w:tcMar>
              <w:top w:w="100" w:type="dxa"/>
              <w:bottom w:w="100" w:type="dxa"/>
              <w:left w:w="150" w:type="dxa"/>
              <w:right w:w="150" w:type="dxa"/>
            </w:tcMar>
            <w:shd w:fill="F9FBFB"/>
          </w:tcPr>
          <w:p>
            <w:pPr>
              <w:jc w:val="left"/>
            </w:pPr>
            <w:r>
              <w:rPr>
                <w:color w:val="323C41"/>
                <w:sz w:val="19"/>
              </w:rPr>
              <w:t>Data migrations, mapping schema, and type-safe queries</w:t>
            </w:r>
          </w:p>
        </w:tc>
      </w:tr>
      <w:tr>
        <w:trPr>
          <w:trHeight w:val="320" w:hRule="atLeast"/>
        </w:trPr>
        <w:tc>
          <w:tcPr>
            <w:tcW w:type="dxa" w:w="2160"/>
            <w:vAlign w:val="center"/>
            <w:tcMar>
              <w:top w:w="100" w:type="dxa"/>
              <w:bottom w:w="100" w:type="dxa"/>
              <w:left w:w="150" w:type="dxa"/>
              <w:right w:w="150" w:type="dxa"/>
            </w:tcMar>
            <w:shd w:fill="FFFFFF"/>
          </w:tcPr>
          <w:p>
            <w:pPr>
              <w:jc w:val="left"/>
            </w:pPr>
            <w:r>
              <w:rPr>
                <w:b/>
                <w:color w:val="0B6780"/>
                <w:sz w:val="19"/>
              </w:rPr>
              <w:t>Admin Interface</w:t>
            </w:r>
          </w:p>
        </w:tc>
        <w:tc>
          <w:tcPr>
            <w:tcW w:type="dxa" w:w="2592"/>
            <w:vAlign w:val="center"/>
            <w:tcMar>
              <w:top w:w="100" w:type="dxa"/>
              <w:bottom w:w="100" w:type="dxa"/>
              <w:left w:w="150" w:type="dxa"/>
              <w:right w:w="150" w:type="dxa"/>
            </w:tcMar>
            <w:shd w:fill="FFFFFF"/>
          </w:tcPr>
          <w:p>
            <w:pPr>
              <w:jc w:val="left"/>
            </w:pPr>
            <w:r>
              <w:rPr>
                <w:b/>
                <w:color w:val="0B6780"/>
                <w:sz w:val="19"/>
              </w:rPr>
              <w:t>React / Tailwind CSS</w:t>
            </w:r>
          </w:p>
        </w:tc>
        <w:tc>
          <w:tcPr>
            <w:tcW w:type="dxa" w:w="1440"/>
            <w:vAlign w:val="center"/>
            <w:tcMar>
              <w:top w:w="100" w:type="dxa"/>
              <w:bottom w:w="100" w:type="dxa"/>
              <w:left w:w="150" w:type="dxa"/>
              <w:right w:w="150" w:type="dxa"/>
            </w:tcMar>
            <w:shd w:fill="FFFFFF"/>
          </w:tcPr>
          <w:p>
            <w:pPr>
              <w:jc w:val="left"/>
            </w:pPr>
            <w:r>
              <w:rPr>
                <w:color w:val="323C41"/>
                <w:sz w:val="19"/>
              </w:rPr>
              <w:t>19.2.4 / v4</w:t>
            </w:r>
          </w:p>
        </w:tc>
        <w:tc>
          <w:tcPr>
            <w:tcW w:type="dxa" w:w="3168"/>
            <w:vAlign w:val="center"/>
            <w:tcMar>
              <w:top w:w="100" w:type="dxa"/>
              <w:bottom w:w="100" w:type="dxa"/>
              <w:left w:w="150" w:type="dxa"/>
              <w:right w:w="150" w:type="dxa"/>
            </w:tcMar>
            <w:shd w:fill="FFFFFF"/>
          </w:tcPr>
          <w:p>
            <w:pPr>
              <w:jc w:val="left"/>
            </w:pPr>
            <w:r>
              <w:rPr>
                <w:color w:val="323C41"/>
                <w:sz w:val="19"/>
              </w:rPr>
              <w:t>Web-based admin portal panels and layouts</w:t>
            </w:r>
          </w:p>
        </w:tc>
      </w:tr>
      <w:tr>
        <w:trPr>
          <w:trHeight w:val="320" w:hRule="atLeast"/>
        </w:trPr>
        <w:tc>
          <w:tcPr>
            <w:tcW w:type="dxa" w:w="2160"/>
            <w:vAlign w:val="center"/>
            <w:tcMar>
              <w:top w:w="100" w:type="dxa"/>
              <w:bottom w:w="100" w:type="dxa"/>
              <w:left w:w="150" w:type="dxa"/>
              <w:right w:w="150" w:type="dxa"/>
            </w:tcMar>
            <w:shd w:fill="F9FBFB"/>
          </w:tcPr>
          <w:p>
            <w:pPr>
              <w:jc w:val="left"/>
            </w:pPr>
            <w:r>
              <w:rPr>
                <w:b/>
                <w:color w:val="0B6780"/>
                <w:sz w:val="19"/>
              </w:rPr>
              <w:t>Authentication</w:t>
            </w:r>
          </w:p>
        </w:tc>
        <w:tc>
          <w:tcPr>
            <w:tcW w:type="dxa" w:w="2592"/>
            <w:vAlign w:val="center"/>
            <w:tcMar>
              <w:top w:w="100" w:type="dxa"/>
              <w:bottom w:w="100" w:type="dxa"/>
              <w:left w:w="150" w:type="dxa"/>
              <w:right w:w="150" w:type="dxa"/>
            </w:tcMar>
            <w:shd w:fill="F9FBFB"/>
          </w:tcPr>
          <w:p>
            <w:pPr>
              <w:jc w:val="left"/>
            </w:pPr>
            <w:r>
              <w:rPr>
                <w:b/>
                <w:color w:val="0B6780"/>
                <w:sz w:val="19"/>
              </w:rPr>
              <w:t>Google Sign-In</w:t>
            </w:r>
          </w:p>
        </w:tc>
        <w:tc>
          <w:tcPr>
            <w:tcW w:type="dxa" w:w="1440"/>
            <w:vAlign w:val="center"/>
            <w:tcMar>
              <w:top w:w="100" w:type="dxa"/>
              <w:bottom w:w="100" w:type="dxa"/>
              <w:left w:w="150" w:type="dxa"/>
              <w:right w:w="150" w:type="dxa"/>
            </w:tcMar>
            <w:shd w:fill="F9FBFB"/>
          </w:tcPr>
          <w:p>
            <w:pPr>
              <w:jc w:val="left"/>
            </w:pPr>
            <w:r>
              <w:rPr>
                <w:color w:val="323C41"/>
                <w:sz w:val="19"/>
              </w:rPr>
              <w:t>—</w:t>
            </w:r>
          </w:p>
        </w:tc>
        <w:tc>
          <w:tcPr>
            <w:tcW w:type="dxa" w:w="3168"/>
            <w:vAlign w:val="center"/>
            <w:tcMar>
              <w:top w:w="100" w:type="dxa"/>
              <w:bottom w:w="100" w:type="dxa"/>
              <w:left w:w="150" w:type="dxa"/>
              <w:right w:w="150" w:type="dxa"/>
            </w:tcMar>
            <w:shd w:fill="F9FBFB"/>
          </w:tcPr>
          <w:p>
            <w:pPr>
              <w:jc w:val="left"/>
            </w:pPr>
            <w:r>
              <w:rPr>
                <w:color w:val="323C41"/>
                <w:sz w:val="19"/>
              </w:rPr>
              <w:t>Google OAuth 2.0 social login</w:t>
            </w:r>
          </w:p>
        </w:tc>
      </w:tr>
      <w:tr>
        <w:trPr>
          <w:trHeight w:val="320" w:hRule="atLeast"/>
        </w:trPr>
        <w:tc>
          <w:tcPr>
            <w:tcW w:type="dxa" w:w="2160"/>
            <w:vAlign w:val="center"/>
            <w:tcMar>
              <w:top w:w="100" w:type="dxa"/>
              <w:bottom w:w="100" w:type="dxa"/>
              <w:left w:w="150" w:type="dxa"/>
              <w:right w:w="150" w:type="dxa"/>
            </w:tcMar>
            <w:shd w:fill="FFFFFF"/>
          </w:tcPr>
          <w:p>
            <w:pPr>
              <w:jc w:val="left"/>
            </w:pPr>
            <w:r>
              <w:rPr>
                <w:b/>
                <w:color w:val="0B6780"/>
                <w:sz w:val="19"/>
              </w:rPr>
              <w:t>SMS Engine</w:t>
            </w:r>
          </w:p>
        </w:tc>
        <w:tc>
          <w:tcPr>
            <w:tcW w:type="dxa" w:w="2592"/>
            <w:vAlign w:val="center"/>
            <w:tcMar>
              <w:top w:w="100" w:type="dxa"/>
              <w:bottom w:w="100" w:type="dxa"/>
              <w:left w:w="150" w:type="dxa"/>
              <w:right w:w="150" w:type="dxa"/>
            </w:tcMar>
            <w:shd w:fill="FFFFFF"/>
          </w:tcPr>
          <w:p>
            <w:pPr>
              <w:jc w:val="left"/>
            </w:pPr>
            <w:r>
              <w:rPr>
                <w:b/>
                <w:color w:val="0B6780"/>
                <w:sz w:val="19"/>
              </w:rPr>
              <w:t>Message Central CPaaS</w:t>
            </w:r>
          </w:p>
        </w:tc>
        <w:tc>
          <w:tcPr>
            <w:tcW w:type="dxa" w:w="1440"/>
            <w:vAlign w:val="center"/>
            <w:tcMar>
              <w:top w:w="100" w:type="dxa"/>
              <w:bottom w:w="100" w:type="dxa"/>
              <w:left w:w="150" w:type="dxa"/>
              <w:right w:w="150" w:type="dxa"/>
            </w:tcMar>
            <w:shd w:fill="FFFFFF"/>
          </w:tcPr>
          <w:p>
            <w:pPr>
              <w:jc w:val="left"/>
            </w:pPr>
            <w:r>
              <w:rPr>
                <w:color w:val="323C41"/>
                <w:sz w:val="19"/>
              </w:rPr>
              <w:t>—</w:t>
            </w:r>
          </w:p>
        </w:tc>
        <w:tc>
          <w:tcPr>
            <w:tcW w:type="dxa" w:w="3168"/>
            <w:vAlign w:val="center"/>
            <w:tcMar>
              <w:top w:w="100" w:type="dxa"/>
              <w:bottom w:w="100" w:type="dxa"/>
              <w:left w:w="150" w:type="dxa"/>
              <w:right w:w="150" w:type="dxa"/>
            </w:tcMar>
            <w:shd w:fill="FFFFFF"/>
          </w:tcPr>
          <w:p>
            <w:pPr>
              <w:jc w:val="left"/>
            </w:pPr>
            <w:r>
              <w:rPr>
                <w:color w:val="323C41"/>
                <w:sz w:val="19"/>
              </w:rPr>
              <w:t>SMS API integrations for phone verification OTP codes</w:t>
            </w:r>
          </w:p>
        </w:tc>
      </w:tr>
      <w:tr>
        <w:trPr>
          <w:trHeight w:val="320" w:hRule="atLeast"/>
        </w:trPr>
        <w:tc>
          <w:tcPr>
            <w:tcW w:type="dxa" w:w="2160"/>
            <w:vAlign w:val="center"/>
            <w:tcMar>
              <w:top w:w="100" w:type="dxa"/>
              <w:bottom w:w="100" w:type="dxa"/>
              <w:left w:w="150" w:type="dxa"/>
              <w:right w:w="150" w:type="dxa"/>
            </w:tcMar>
            <w:shd w:fill="F9FBFB"/>
          </w:tcPr>
          <w:p>
            <w:pPr>
              <w:jc w:val="left"/>
            </w:pPr>
            <w:r>
              <w:rPr>
                <w:b/>
                <w:color w:val="0B6780"/>
                <w:sz w:val="19"/>
              </w:rPr>
              <w:t>Email Engine</w:t>
            </w:r>
          </w:p>
        </w:tc>
        <w:tc>
          <w:tcPr>
            <w:tcW w:type="dxa" w:w="2592"/>
            <w:vAlign w:val="center"/>
            <w:tcMar>
              <w:top w:w="100" w:type="dxa"/>
              <w:bottom w:w="100" w:type="dxa"/>
              <w:left w:w="150" w:type="dxa"/>
              <w:right w:w="150" w:type="dxa"/>
            </w:tcMar>
            <w:shd w:fill="F9FBFB"/>
          </w:tcPr>
          <w:p>
            <w:pPr>
              <w:jc w:val="left"/>
            </w:pPr>
            <w:r>
              <w:rPr>
                <w:b/>
                <w:color w:val="0B6780"/>
                <w:sz w:val="19"/>
              </w:rPr>
              <w:t>Nodemailer (SMTP)</w:t>
            </w:r>
          </w:p>
        </w:tc>
        <w:tc>
          <w:tcPr>
            <w:tcW w:type="dxa" w:w="1440"/>
            <w:vAlign w:val="center"/>
            <w:tcMar>
              <w:top w:w="100" w:type="dxa"/>
              <w:bottom w:w="100" w:type="dxa"/>
              <w:left w:w="150" w:type="dxa"/>
              <w:right w:w="150" w:type="dxa"/>
            </w:tcMar>
            <w:shd w:fill="F9FBFB"/>
          </w:tcPr>
          <w:p>
            <w:pPr>
              <w:jc w:val="left"/>
            </w:pPr>
            <w:r>
              <w:rPr>
                <w:color w:val="323C41"/>
                <w:sz w:val="19"/>
              </w:rPr>
              <w:t>^9.0.1</w:t>
            </w:r>
          </w:p>
        </w:tc>
        <w:tc>
          <w:tcPr>
            <w:tcW w:type="dxa" w:w="3168"/>
            <w:vAlign w:val="center"/>
            <w:tcMar>
              <w:top w:w="100" w:type="dxa"/>
              <w:bottom w:w="100" w:type="dxa"/>
              <w:left w:w="150" w:type="dxa"/>
              <w:right w:w="150" w:type="dxa"/>
            </w:tcMar>
            <w:shd w:fill="F9FBFB"/>
          </w:tcPr>
          <w:p>
            <w:pPr>
              <w:jc w:val="left"/>
            </w:pPr>
            <w:r>
              <w:rPr>
                <w:color w:val="323C41"/>
                <w:sz w:val="19"/>
              </w:rPr>
              <w:t>Automated system welcome and alert emails</w:t>
            </w:r>
          </w:p>
        </w:tc>
      </w:tr>
    </w:tbl>
    <w:p>
      <w:r>
        <w:br w:type="page"/>
      </w:r>
    </w:p>
    <w:p>
      <w:pPr>
        <w:spacing w:before="360" w:after="240"/>
      </w:pPr>
      <w:r>
        <w:rPr>
          <w:b/>
          <w:color w:val="064354"/>
          <w:sz w:val="36"/>
        </w:rPr>
        <w:t>8. Platform Architecture Diagram</w:t>
      </w:r>
    </w:p>
    <w:p>
      <w:pPr>
        <w:spacing w:after="360"/>
      </w:pPr>
      <w:r>
        <w:t>The following structural diagram displays the communication flows between the Frontend Client apps, the Next.js Unified Server, the Neon PostgreSQL Database, and external services:</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9360"/>
      </w:tblGrid>
      <w:tr>
        <w:tc>
          <w:tcPr>
            <w:tcW w:type="dxa" w:w="9360"/>
            <w:tcMar>
              <w:top w:w="140" w:type="dxa"/>
              <w:bottom w:w="140" w:type="dxa"/>
              <w:left w:w="180" w:type="dxa"/>
              <w:right w:w="180" w:type="dxa"/>
            </w:tcMar>
            <w:shd w:fill="F4F8F9"/>
            <w:tcBorders>
              <w:top w:val="single" w:sz="8" w:space="0" w:color="0B6780"/>
              <w:bottom w:val="single" w:sz="8" w:space="0" w:color="0B6780"/>
              <w:left w:val="single" w:sz="8" w:space="0" w:color="0B6780"/>
              <w:right w:val="single" w:sz="8" w:space="0" w:color="0B6780"/>
            </w:tcBorders>
          </w:tcPr>
          <w:p/>
          <w:p>
            <w:pPr>
              <w:jc w:val="center"/>
            </w:pPr>
            <w:r>
              <w:rPr>
                <w:b/>
                <w:color w:val="064354"/>
                <w:sz w:val="22"/>
              </w:rPr>
              <w:t>CLIENT / FRONTEND LAYER (Cross-Platform Flutter)</w:t>
            </w:r>
          </w:p>
          <w:tbl>
            <w:tblPr>
              <w:tblW w:type="auto" w:w="0"/>
              <w:jc w:val="center"/>
              <w:tblLook w:firstColumn="1" w:firstRow="1" w:lastColumn="0" w:lastRow="0" w:noHBand="0" w:noVBand="1" w:val="04A0"/>
            </w:tblPr>
            <w:tblGrid>
              <w:gridCol w:w="3120"/>
              <w:gridCol w:w="3120"/>
              <w:gridCol w:w="3120"/>
            </w:tblGrid>
            <w:tr>
              <w:trPr>
                <w:trHeight w:val="800"/>
              </w:trPr>
              <w:tc>
                <w:tcPr>
                  <w:tcW w:type="dxa" w:w="3120"/>
                  <w:tcMar>
                    <w:top w:w="100" w:type="dxa"/>
                    <w:bottom w:w="100" w:type="dxa"/>
                    <w:left w:w="100" w:type="dxa"/>
                    <w:right w:w="100" w:type="dxa"/>
                  </w:tcMar>
                  <w:shd w:fill="FFFFFF"/>
                  <w:tcBorders>
                    <w:top w:val="single" w:sz="8" w:space="0" w:color="CCCCCC"/>
                    <w:bottom w:val="single" w:sz="8" w:space="0" w:color="CCCCCC"/>
                    <w:left w:val="single" w:sz="8" w:space="0" w:color="CCCCCC"/>
                    <w:right w:val="single" w:sz="8" w:space="0" w:color="CCCCCC"/>
                  </w:tcBorders>
                </w:tcPr>
                <w:p>
                  <w:pPr>
                    <w:jc w:val="center"/>
                  </w:pPr>
                  <w:r>
                    <w:rPr>
                      <w:b/>
                      <w:color w:val="0B6780"/>
                      <w:sz w:val="20"/>
                    </w:rPr>
                    <w:t>Android App</w:t>
                    <w:br/>
                  </w:r>
                  <w:r>
                    <w:rPr>
                      <w:i/>
                      <w:color w:val="505A5F"/>
                      <w:sz w:val="17"/>
                    </w:rPr>
                    <w:t>Compiled native ARM</w:t>
                  </w:r>
                </w:p>
              </w:tc>
              <w:tc>
                <w:tcPr>
                  <w:tcW w:type="dxa" w:w="3120"/>
                  <w:tcMar>
                    <w:top w:w="100" w:type="dxa"/>
                    <w:bottom w:w="100" w:type="dxa"/>
                    <w:left w:w="100" w:type="dxa"/>
                    <w:right w:w="100" w:type="dxa"/>
                  </w:tcMar>
                  <w:shd w:fill="FFFFFF"/>
                  <w:tcBorders>
                    <w:top w:val="single" w:sz="8" w:space="0" w:color="CCCCCC"/>
                    <w:bottom w:val="single" w:sz="8" w:space="0" w:color="CCCCCC"/>
                    <w:left w:val="single" w:sz="8" w:space="0" w:color="CCCCCC"/>
                    <w:right w:val="single" w:sz="8" w:space="0" w:color="CCCCCC"/>
                  </w:tcBorders>
                </w:tcPr>
                <w:p>
                  <w:pPr>
                    <w:jc w:val="center"/>
                  </w:pPr>
                  <w:r>
                    <w:rPr>
                      <w:b/>
                      <w:color w:val="0B6780"/>
                      <w:sz w:val="20"/>
                    </w:rPr>
                    <w:t>iOS App</w:t>
                    <w:br/>
                  </w:r>
                  <w:r>
                    <w:rPr>
                      <w:i/>
                      <w:color w:val="505A5F"/>
                      <w:sz w:val="17"/>
                    </w:rPr>
                    <w:t>Compiled native IPA</w:t>
                  </w:r>
                </w:p>
              </w:tc>
              <w:tc>
                <w:tcPr>
                  <w:tcW w:type="dxa" w:w="3120"/>
                  <w:tcMar>
                    <w:top w:w="100" w:type="dxa"/>
                    <w:bottom w:w="100" w:type="dxa"/>
                    <w:left w:w="100" w:type="dxa"/>
                    <w:right w:w="100" w:type="dxa"/>
                  </w:tcMar>
                  <w:shd w:fill="FFFFFF"/>
                  <w:tcBorders>
                    <w:top w:val="single" w:sz="8" w:space="0" w:color="CCCCCC"/>
                    <w:bottom w:val="single" w:sz="8" w:space="0" w:color="CCCCCC"/>
                    <w:left w:val="single" w:sz="8" w:space="0" w:color="CCCCCC"/>
                    <w:right w:val="single" w:sz="8" w:space="0" w:color="CCCCCC"/>
                  </w:tcBorders>
                </w:tcPr>
                <w:p>
                  <w:pPr>
                    <w:jc w:val="center"/>
                  </w:pPr>
                  <w:r>
                    <w:rPr>
                      <w:b/>
                      <w:color w:val="0B6780"/>
                      <w:sz w:val="20"/>
                    </w:rPr>
                    <w:t>Web App</w:t>
                    <w:br/>
                  </w:r>
                  <w:r>
                    <w:rPr>
                      <w:i/>
                      <w:color w:val="505A5F"/>
                      <w:sz w:val="17"/>
                    </w:rPr>
                    <w:t>Responsive HTML/JS</w:t>
                  </w:r>
                </w:p>
              </w:tc>
            </w:tr>
          </w:tbl>
          <w:p/>
        </w:tc>
      </w:tr>
      <w:tr>
        <w:tc>
          <w:tcPr>
            <w:tcW w:type="dxa" w:w="9360"/>
          </w:tcPr>
          <w:p/>
          <w:p>
            <w:pPr>
              <w:spacing w:before="160" w:after="160"/>
              <w:jc w:val="center"/>
            </w:pPr>
            <w:r>
              <w:rPr>
                <w:b/>
                <w:color w:val="0B6780"/>
                <w:sz w:val="19"/>
              </w:rPr>
              <w:t>↓   REST API requests over secure HTTPS protocol   ↓</w:t>
            </w:r>
          </w:p>
        </w:tc>
      </w:tr>
      <w:tr>
        <w:tc>
          <w:tcPr>
            <w:tcW w:type="dxa" w:w="9360"/>
            <w:tcMar>
              <w:top w:w="140" w:type="dxa"/>
              <w:bottom w:w="140" w:type="dxa"/>
              <w:left w:w="180" w:type="dxa"/>
              <w:right w:w="180" w:type="dxa"/>
            </w:tcMar>
            <w:shd w:fill="F4F8F9"/>
            <w:tcBorders>
              <w:top w:val="single" w:sz="8" w:space="0" w:color="0B6780"/>
              <w:bottom w:val="single" w:sz="8" w:space="0" w:color="0B6780"/>
              <w:left w:val="single" w:sz="8" w:space="0" w:color="0B6780"/>
              <w:right w:val="single" w:sz="8" w:space="0" w:color="0B6780"/>
            </w:tcBorders>
          </w:tcPr>
          <w:p/>
          <w:p>
            <w:pPr>
              <w:jc w:val="center"/>
            </w:pPr>
            <w:r>
              <w:rPr>
                <w:b/>
                <w:color w:val="064354"/>
                <w:sz w:val="22"/>
              </w:rPr>
              <w:t>APPLICATION &amp; API ROUTER SERVER LAYER (Next.js 16 / React 19)</w:t>
            </w:r>
          </w:p>
          <w:tbl>
            <w:tblPr>
              <w:tblW w:type="auto" w:w="0"/>
              <w:jc w:val="center"/>
              <w:tblLook w:firstColumn="1" w:firstRow="1" w:lastColumn="0" w:lastRow="0" w:noHBand="0" w:noVBand="1" w:val="04A0"/>
            </w:tblPr>
            <w:tblGrid>
              <w:gridCol w:w="4680"/>
              <w:gridCol w:w="4680"/>
            </w:tblGrid>
            <w:tr>
              <w:tc>
                <w:tcPr>
                  <w:tcW w:type="dxa" w:w="4680"/>
                  <w:tcMar>
                    <w:top w:w="100" w:type="dxa"/>
                    <w:bottom w:w="100" w:type="dxa"/>
                    <w:left w:w="100" w:type="dxa"/>
                    <w:right w:w="100" w:type="dxa"/>
                  </w:tcMar>
                  <w:shd w:fill="FFFFFF"/>
                  <w:tcBorders>
                    <w:top w:val="single" w:sz="8" w:space="0" w:color="CCCCCC"/>
                    <w:bottom w:val="single" w:sz="8" w:space="0" w:color="CCCCCC"/>
                    <w:left w:val="single" w:sz="8" w:space="0" w:color="CCCCCC"/>
                    <w:right w:val="single" w:sz="8" w:space="0" w:color="CCCCCC"/>
                  </w:tcBorders>
                </w:tcPr>
                <w:p>
                  <w:pPr>
                    <w:jc w:val="center"/>
                  </w:pPr>
                  <w:r>
                    <w:rPr>
                      <w:b/>
                      <w:color w:val="0B6780"/>
                      <w:sz w:val="20"/>
                    </w:rPr>
                    <w:t>REST API Routes (/api/*)</w:t>
                    <w:br/>
                  </w:r>
                  <w:r>
                    <w:rPr>
                      <w:color w:val="323C41"/>
                      <w:sz w:val="17"/>
                    </w:rPr>
                    <w:t>Handles: User Accounts, Projects, Lead Matching, B2B Supplies, &amp; Chats</w:t>
                    <w:br/>
                    <w:t>Runtime: Node.js Type-Safe handlers</w:t>
                  </w:r>
                </w:p>
              </w:tc>
              <w:tc>
                <w:tcPr>
                  <w:tcW w:type="dxa" w:w="4680"/>
                  <w:tcMar>
                    <w:top w:w="100" w:type="dxa"/>
                    <w:bottom w:w="100" w:type="dxa"/>
                    <w:left w:w="100" w:type="dxa"/>
                    <w:right w:w="100" w:type="dxa"/>
                  </w:tcMar>
                  <w:shd w:fill="FFFFFF"/>
                  <w:tcBorders>
                    <w:top w:val="single" w:sz="8" w:space="0" w:color="CCCCCC"/>
                    <w:bottom w:val="single" w:sz="8" w:space="0" w:color="CCCCCC"/>
                    <w:left w:val="single" w:sz="8" w:space="0" w:color="CCCCCC"/>
                    <w:right w:val="single" w:sz="8" w:space="0" w:color="CCCCCC"/>
                  </w:tcBorders>
                </w:tcPr>
                <w:p>
                  <w:pPr>
                    <w:jc w:val="center"/>
                  </w:pPr>
                  <w:r>
                    <w:rPr>
                      <w:b/>
                      <w:color w:val="0B6780"/>
                      <w:sz w:val="20"/>
                    </w:rPr>
                    <w:t>Admin Portal Panel (React 19)</w:t>
                    <w:br/>
                  </w:r>
                  <w:r>
                    <w:rPr>
                      <w:color w:val="323C41"/>
                      <w:sz w:val="17"/>
                    </w:rPr>
                    <w:t>Dashboard charts, analytics metrics, provider review validations, and manual KYC approvals</w:t>
                  </w:r>
                </w:p>
              </w:tc>
            </w:tr>
          </w:tbl>
          <w:p/>
        </w:tc>
      </w:tr>
      <w:tr>
        <w:tc>
          <w:tcPr>
            <w:tcW w:type="dxa" w:w="9360"/>
          </w:tcPr>
          <w:p/>
          <w:p>
            <w:pPr>
              <w:spacing w:before="160" w:after="160"/>
              <w:jc w:val="center"/>
            </w:pPr>
            <w:r>
              <w:rPr>
                <w:b/>
                <w:color w:val="0B6780"/>
                <w:sz w:val="19"/>
              </w:rPr>
              <w:t>↓   Type-Safe SQL mapping queries via Prisma Client   ↓</w:t>
            </w:r>
          </w:p>
        </w:tc>
      </w:tr>
      <w:tr>
        <w:tc>
          <w:tcPr>
            <w:tcW w:type="dxa" w:w="9360"/>
            <w:tcMar>
              <w:top w:w="140" w:type="dxa"/>
              <w:bottom w:w="140" w:type="dxa"/>
              <w:left w:w="180" w:type="dxa"/>
              <w:right w:w="180" w:type="dxa"/>
            </w:tcMar>
            <w:shd w:fill="F4F8F9"/>
            <w:tcBorders>
              <w:top w:val="single" w:sz="8" w:space="0" w:color="0B6780"/>
              <w:bottom w:val="single" w:sz="8" w:space="0" w:color="0B6780"/>
              <w:left w:val="single" w:sz="8" w:space="0" w:color="0B6780"/>
              <w:right w:val="single" w:sz="8" w:space="0" w:color="0B6780"/>
            </w:tcBorders>
          </w:tcPr>
          <w:p/>
          <w:p>
            <w:pPr>
              <w:jc w:val="center"/>
            </w:pPr>
            <w:r>
              <w:rPr>
                <w:b/>
                <w:color w:val="064354"/>
                <w:sz w:val="22"/>
              </w:rPr>
              <w:t>DATABASE LAYER (PostgreSQL on Neon Serverless)</w:t>
              <w:br/>
            </w:r>
            <w:r>
              <w:rPr>
                <w:color w:val="323C41"/>
                <w:sz w:val="18"/>
              </w:rPr>
              <w:t>Stores relational transactions: Users, Providers, Projects, Quotes, B2B Inquiries, Real-time Messages, and Tasks.</w:t>
              <w:br/>
              <w:t>Configured with connection pooling for low-latency operations under heavy client loops.</w:t>
            </w:r>
          </w:p>
        </w:tc>
      </w:tr>
      <w:tr>
        <w:tc>
          <w:tcPr>
            <w:tcW w:type="dxa" w:w="9360"/>
          </w:tcPr>
          <w:p/>
          <w:p>
            <w:pPr>
              <w:spacing w:before="160" w:after="160"/>
              <w:jc w:val="center"/>
            </w:pPr>
            <w:r>
              <w:rPr>
                <w:b/>
                <w:color w:val="0B6780"/>
                <w:sz w:val="19"/>
              </w:rPr>
              <w:t>↓   External service gateways &amp; email automation   ↓</w:t>
            </w:r>
          </w:p>
        </w:tc>
      </w:tr>
      <w:tr>
        <w:tc>
          <w:tcPr>
            <w:tcW w:type="dxa" w:w="9360"/>
            <w:tcMar>
              <w:top w:w="140" w:type="dxa"/>
              <w:bottom w:w="140" w:type="dxa"/>
              <w:left w:w="180" w:type="dxa"/>
              <w:right w:w="180" w:type="dxa"/>
            </w:tcMar>
            <w:shd w:fill="F4F8F9"/>
            <w:tcBorders>
              <w:top w:val="single" w:sz="8" w:space="0" w:color="0B6780"/>
              <w:bottom w:val="single" w:sz="8" w:space="0" w:color="0B6780"/>
              <w:left w:val="single" w:sz="8" w:space="0" w:color="0B6780"/>
              <w:right w:val="single" w:sz="8" w:space="0" w:color="0B6780"/>
            </w:tcBorders>
          </w:tcPr>
          <w:p/>
          <w:p>
            <w:pPr>
              <w:jc w:val="center"/>
            </w:pPr>
            <w:r>
              <w:rPr>
                <w:b/>
                <w:color w:val="064354"/>
                <w:sz w:val="22"/>
              </w:rPr>
              <w:t>INTEGRATED EXTERNAL SERVICES LAYER</w:t>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00" w:type="dxa"/>
                    <w:right w:w="100" w:type="dxa"/>
                  </w:tcMar>
                  <w:shd w:fill="FFFFFF"/>
                  <w:tcBorders>
                    <w:top w:val="single" w:sz="8" w:space="0" w:color="CCCCCC"/>
                    <w:bottom w:val="single" w:sz="8" w:space="0" w:color="CCCCCC"/>
                    <w:left w:val="single" w:sz="8" w:space="0" w:color="CCCCCC"/>
                    <w:right w:val="single" w:sz="8" w:space="0" w:color="CCCCCC"/>
                  </w:tcBorders>
                </w:tcPr>
                <w:p>
                  <w:pPr>
                    <w:jc w:val="center"/>
                  </w:pPr>
                  <w:r>
                    <w:rPr>
                      <w:b/>
                      <w:color w:val="0B6780"/>
                      <w:sz w:val="20"/>
                    </w:rPr>
                    <w:t>Google Sign-In</w:t>
                    <w:br/>
                  </w:r>
                  <w:r>
                    <w:rPr>
                      <w:color w:val="323C41"/>
                      <w:sz w:val="17"/>
                    </w:rPr>
                    <w:t>OAuth 2.0 user credentials validation</w:t>
                  </w:r>
                </w:p>
              </w:tc>
              <w:tc>
                <w:tcPr>
                  <w:tcW w:type="dxa" w:w="3120"/>
                  <w:tcMar>
                    <w:top w:w="100" w:type="dxa"/>
                    <w:bottom w:w="100" w:type="dxa"/>
                    <w:left w:w="100" w:type="dxa"/>
                    <w:right w:w="100" w:type="dxa"/>
                  </w:tcMar>
                  <w:shd w:fill="FFFFFF"/>
                  <w:tcBorders>
                    <w:top w:val="single" w:sz="8" w:space="0" w:color="CCCCCC"/>
                    <w:bottom w:val="single" w:sz="8" w:space="0" w:color="CCCCCC"/>
                    <w:left w:val="single" w:sz="8" w:space="0" w:color="CCCCCC"/>
                    <w:right w:val="single" w:sz="8" w:space="0" w:color="CCCCCC"/>
                  </w:tcBorders>
                </w:tcPr>
                <w:p>
                  <w:pPr>
                    <w:jc w:val="center"/>
                  </w:pPr>
                  <w:r>
                    <w:rPr>
                      <w:b/>
                      <w:color w:val="0B6780"/>
                      <w:sz w:val="20"/>
                    </w:rPr>
                    <w:t>Message Central</w:t>
                    <w:br/>
                  </w:r>
                  <w:r>
                    <w:rPr>
                      <w:color w:val="323C41"/>
                      <w:sz w:val="17"/>
                    </w:rPr>
                    <w:t>CPaaS API for OTP verification SMS codes</w:t>
                  </w:r>
                </w:p>
              </w:tc>
              <w:tc>
                <w:tcPr>
                  <w:tcW w:type="dxa" w:w="3120"/>
                  <w:tcMar>
                    <w:top w:w="100" w:type="dxa"/>
                    <w:bottom w:w="100" w:type="dxa"/>
                    <w:left w:w="100" w:type="dxa"/>
                    <w:right w:w="100" w:type="dxa"/>
                  </w:tcMar>
                  <w:shd w:fill="FFFFFF"/>
                  <w:tcBorders>
                    <w:top w:val="single" w:sz="8" w:space="0" w:color="CCCCCC"/>
                    <w:bottom w:val="single" w:sz="8" w:space="0" w:color="CCCCCC"/>
                    <w:left w:val="single" w:sz="8" w:space="0" w:color="CCCCCC"/>
                    <w:right w:val="single" w:sz="8" w:space="0" w:color="CCCCCC"/>
                  </w:tcBorders>
                </w:tcPr>
                <w:p>
                  <w:pPr>
                    <w:jc w:val="center"/>
                  </w:pPr>
                  <w:r>
                    <w:rPr>
                      <w:b/>
                      <w:color w:val="0B6780"/>
                      <w:sz w:val="20"/>
                    </w:rPr>
                    <w:t>Gmail SMTP</w:t>
                    <w:br/>
                  </w:r>
                  <w:r>
                    <w:rPr>
                      <w:color w:val="323C41"/>
                      <w:sz w:val="17"/>
                    </w:rPr>
                    <w:t>Nodemailer automated client alerting emails</w:t>
                  </w:r>
                </w:p>
              </w:tc>
            </w:tr>
          </w:tbl>
          <w:p/>
        </w:tc>
      </w:tr>
    </w:tbl>
    <w:p>
      <w:pPr>
        <w:spacing w:before="240"/>
      </w:pPr>
    </w:p>
    <w:p>
      <w:pPr>
        <w:spacing w:before="480" w:after="160"/>
      </w:pPr>
      <w:r>
        <w:rPr>
          <w:b/>
          <w:color w:val="064354"/>
          <w:sz w:val="36"/>
        </w:rPr>
        <w:t>9. Architectural Rationale (Why this stack?)</w:t>
      </w:r>
    </w:p>
    <w:p>
      <w:pPr>
        <w:spacing w:before="240" w:after="80"/>
      </w:pPr>
      <w:r>
        <w:rPr>
          <w:b/>
          <w:color w:val="0B6780"/>
          <w:sz w:val="24"/>
        </w:rPr>
        <w:t>■ Monorepo Architecture (All-in-one Code Base)</w:t>
      </w:r>
    </w:p>
    <w:p>
      <w:pPr>
        <w:spacing w:after="200"/>
      </w:pPr>
      <w:r>
        <w:t>Co-locating the backend REST API files and admin web dashboards in a single project layout maximizes efficiency. Both services directly reference the database models via the centralized schema.prisma. This guarantees schema updates are propagated automatically, minimizing endpoint errors.</w:t>
      </w:r>
    </w:p>
    <w:p>
      <w:pPr>
        <w:spacing w:before="240" w:after="80"/>
      </w:pPr>
      <w:r>
        <w:rPr>
          <w:b/>
          <w:color w:val="0B6780"/>
          <w:sz w:val="24"/>
        </w:rPr>
        <w:t>■ Flutter vs. Hybrid/Native Platform Options</w:t>
      </w:r>
    </w:p>
    <w:p>
      <w:pPr>
        <w:spacing w:after="200"/>
      </w:pPr>
      <w:r>
        <w:t>Rather than maintaining two distinct native codebases (Swift for iOS and Kotlin for Android), Flutter lets developers write once. Unlike hybrid frameworks like React Native that translate elements via standard JS Bridges, Flutter compiles directly to ARM Machine Code. This native rendering ensures UI layouts stay highly smooth and stable under complex components.</w:t>
      </w:r>
    </w:p>
    <w:p>
      <w:pPr>
        <w:spacing w:before="240" w:after="80"/>
      </w:pPr>
      <w:r>
        <w:rPr>
          <w:b/>
          <w:color w:val="0B6780"/>
          <w:sz w:val="24"/>
        </w:rPr>
        <w:t>■ Next.js Server API and Routing vs. Standalone Server (e.g. Express)</w:t>
      </w:r>
    </w:p>
    <w:p>
      <w:pPr>
        <w:spacing w:after="200"/>
      </w:pPr>
      <w:r>
        <w:t>Integrating API services inside Next.js routes strips away server boilerplate. Developers don't have to define middleware pipelines, routing maps, or deploy independent containers. The admin layout and backend compile, optimize, and build together as a single unified service, reducing maintenance overhead.</w:t>
      </w:r>
    </w:p>
    <w:p>
      <w:pPr>
        <w:spacing w:before="240" w:after="80"/>
      </w:pPr>
      <w:r>
        <w:rPr>
          <w:b/>
          <w:color w:val="0B6780"/>
          <w:sz w:val="24"/>
        </w:rPr>
        <w:t>■ Serverless PostgreSQL &amp; ORM Optimization</w:t>
      </w:r>
    </w:p>
    <w:p>
      <w:pPr>
        <w:spacing w:after="200"/>
      </w:pPr>
      <w:r>
        <w:t>The PostgreSQL engine guarantees transaction safety (ACID principles), protecting project quote estimations and payment flows from record leaks. Hosting it on Neon introduces auto-scaling parameters to accommodate burst traffic. Connecting database calls through Prisma provides total compile-time safety, preventing bad database queries from crashing active sessions.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Inter" w:hAnsi="Inter"/>
      <w:color w:val="1F2C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