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rPr>
          <w:tblHeader w:val="true"/>
        </w:trPr>
        <w:tc>
          <w:tcPr>
            <w:tcW w:type="dxa" w:w="10224"/>
            <w:shd w:fill="0F1A2D"/>
            <w:tcMar>
              <w:top w:w="900" w:type="dxa"/>
              <w:start w:w="500" w:type="dxa"/>
              <w:bottom w:w="900" w:type="dxa"/>
              <w:end w:w="500" w:type="dxa"/>
            </w:tcMar>
          </w:tcPr>
          <w:p>
            <w:pPr>
              <w:jc w:val="center"/>
            </w:pPr>
            <w:r>
              <w:rPr>
                <w:rFonts w:ascii="Aptos Display" w:hAnsi="Aptos Display"/>
                <w:b/>
                <w:color w:val="FFFFFF"/>
                <w:sz w:val="56"/>
              </w:rPr>
              <w:t>Cloudflare R2 and CDN Management</w:t>
            </w:r>
          </w:p>
          <w:p>
            <w:pPr>
              <w:jc w:val="center"/>
            </w:pPr>
            <w:r>
              <w:rPr>
                <w:color w:val="9FC7FF"/>
                <w:sz w:val="30"/>
              </w:rPr>
              <w:t>GML Admin Portal – Developer Implementation Specification</w:t>
            </w:r>
          </w:p>
          <w:p>
            <w:pPr>
              <w:spacing w:before="360"/>
              <w:jc w:val="center"/>
            </w:pPr>
            <w:r>
              <w:rPr>
                <w:color w:val="DDEBFF"/>
                <w:sz w:val="22"/>
              </w:rPr>
              <w:t>SmarterASP + Cloudflare R2 + Cloudflare CDN</w:t>
            </w:r>
          </w:p>
        </w:tc>
      </w:tr>
    </w:tbl>
    <w:p>
      <w:pPr>
        <w:spacing w:before="440"/>
        <w:jc w:val="center"/>
      </w:pPr>
      <w:r>
        <w:rPr>
          <w:b/>
          <w:color w:val="0F1A2D"/>
          <w:sz w:val="24"/>
        </w:rPr>
        <w:t>Prepared for Grade My Labs (GML)</w:t>
      </w:r>
    </w:p>
    <w:p>
      <w:pPr>
        <w:jc w:val="center"/>
      </w:pPr>
      <w:r>
        <w:rPr>
          <w:sz w:val="21"/>
        </w:rPr>
        <w:t>Version 1.0  |  1 August 2026</w:t>
      </w:r>
    </w:p>
    <w:tbl>
      <w:tblPr>
        <w:tblW w:type="auto" w:w="0"/>
        <w:jc w:val="center"/>
        <w:tblLayout w:type="fixed"/>
        <w:tblLook w:firstColumn="1" w:firstRow="1" w:lastColumn="0" w:lastRow="0" w:noHBand="0" w:noVBand="1" w:val="04A0"/>
      </w:tblPr>
      <w:tblGrid>
        <w:gridCol w:w="216"/>
        <w:gridCol w:w="9432"/>
      </w:tblGrid>
      <w:tr>
        <w:trPr>
          <w:tblHeader w:val="true"/>
        </w:trPr>
        <w:tc>
          <w:tcPr>
            <w:tcW w:type="dxa" w:w="5112"/>
            <w:shd w:fill="1769E0"/>
            <w:tcBorders>
              <w:top w:val="single" w:sz="4" w:color="EAF3FF"/>
              <w:left w:val="single" w:sz="4" w:color="EAF3FF"/>
              <w:bottom w:val="single" w:sz="4" w:color="EAF3FF"/>
              <w:right w:val="single" w:sz="4" w:color="EAF3FF"/>
            </w:tcBorders>
          </w:tcPr>
          <w:p/>
        </w:tc>
        <w:tc>
          <w:tcPr>
            <w:tcW w:type="dxa" w:w="5112"/>
            <w:shd w:fill="EAF3FF"/>
            <w:tcBorders>
              <w:top w:val="single" w:sz="4" w:color="EAF3FF"/>
              <w:left w:val="single" w:sz="4" w:color="EAF3FF"/>
              <w:bottom w:val="single" w:sz="4" w:color="EAF3FF"/>
              <w:right w:val="single" w:sz="4" w:color="EAF3FF"/>
            </w:tcBorders>
            <w:tcMar>
              <w:top w:w="120" w:type="dxa"/>
              <w:start w:w="160" w:type="dxa"/>
              <w:bottom w:w="120" w:type="dxa"/>
              <w:end w:w="160" w:type="dxa"/>
            </w:tcMar>
          </w:tcPr>
          <w:p>
            <w:pPr>
              <w:spacing w:after="40"/>
            </w:pPr>
            <w:r>
              <w:rPr>
                <w:b/>
                <w:color w:val="1769E0"/>
                <w:sz w:val="21"/>
              </w:rPr>
              <w:t>Implementation authority</w:t>
            </w:r>
          </w:p>
          <w:p>
            <w:pPr>
              <w:pStyle w:val="BodyText"/>
              <w:spacing w:after="0"/>
            </w:pPr>
            <w:r>
              <w:t>The written requirements in this document are mandatory. The included UI images are conceptual mockups; if a label or value in a mockup conflicts with the written specification, the written specification takes precedence.</w:t>
            </w:r>
          </w:p>
        </w:tc>
      </w:tr>
    </w:tbl>
    <w:p>
      <w:pPr>
        <w:spacing w:after="0"/>
      </w:pPr>
    </w:p>
    <w:p>
      <w:r>
        <w:br w:type="page"/>
      </w:r>
    </w:p>
    <w:p>
      <w:pPr>
        <w:pStyle w:val="Heading1"/>
      </w:pPr>
      <w:r>
        <w:t>Document Map</w:t>
      </w:r>
    </w:p>
    <w:p>
      <w:r>
        <w:t>This specification defines the storage structure, admin-portal layout, backend services, advertisement logic, database records, API behavior, security controls, and acceptance criteria required for implementation.</w:t>
      </w:r>
    </w:p>
    <w:p>
      <w:pPr>
        <w:pStyle w:val="ListBullet"/>
        <w:spacing w:after="60"/>
      </w:pPr>
      <w:r>
        <w:t>1. Scope and mandatory outcomes</w:t>
      </w:r>
    </w:p>
    <w:p>
      <w:pPr>
        <w:pStyle w:val="ListBullet"/>
        <w:spacing w:after="60"/>
      </w:pPr>
      <w:r>
        <w:t>2. Target architecture</w:t>
      </w:r>
    </w:p>
    <w:p>
      <w:pPr>
        <w:pStyle w:val="ListBullet"/>
        <w:spacing w:after="60"/>
      </w:pPr>
      <w:r>
        <w:t>3. Cloudflare R2 object-key structure</w:t>
      </w:r>
    </w:p>
    <w:p>
      <w:pPr>
        <w:pStyle w:val="ListBullet"/>
        <w:spacing w:after="60"/>
      </w:pPr>
      <w:r>
        <w:t>4. SmarterASP environment variables</w:t>
      </w:r>
    </w:p>
    <w:p>
      <w:pPr>
        <w:pStyle w:val="ListBullet"/>
        <w:spacing w:after="60"/>
      </w:pPr>
      <w:r>
        <w:t>5. Admin menu and shared page layout</w:t>
      </w:r>
    </w:p>
    <w:p>
      <w:pPr>
        <w:pStyle w:val="ListBullet"/>
        <w:spacing w:after="60"/>
      </w:pPr>
      <w:r>
        <w:t>6. GML Diagrams tab</w:t>
      </w:r>
    </w:p>
    <w:p>
      <w:pPr>
        <w:pStyle w:val="ListBullet"/>
        <w:spacing w:after="60"/>
      </w:pPr>
      <w:r>
        <w:t>7. GML Exam Engine tab</w:t>
      </w:r>
    </w:p>
    <w:p>
      <w:pPr>
        <w:pStyle w:val="ListBullet"/>
        <w:spacing w:after="60"/>
      </w:pPr>
      <w:r>
        <w:t>8. Advertisements tab</w:t>
      </w:r>
    </w:p>
    <w:p>
      <w:pPr>
        <w:pStyle w:val="ListBullet"/>
        <w:spacing w:after="60"/>
      </w:pPr>
      <w:r>
        <w:t>9. Advertisement probability and rotation logic</w:t>
      </w:r>
    </w:p>
    <w:p>
      <w:pPr>
        <w:pStyle w:val="ListBullet"/>
        <w:spacing w:after="60"/>
      </w:pPr>
      <w:r>
        <w:t>10. Backend API requirements</w:t>
      </w:r>
    </w:p>
    <w:p>
      <w:pPr>
        <w:pStyle w:val="ListBullet"/>
        <w:spacing w:after="60"/>
      </w:pPr>
      <w:r>
        <w:t>11. Database requirements</w:t>
      </w:r>
    </w:p>
    <w:p>
      <w:pPr>
        <w:pStyle w:val="ListBullet"/>
        <w:spacing w:after="60"/>
      </w:pPr>
      <w:r>
        <w:t>12. R2 and CDN operation flows</w:t>
      </w:r>
    </w:p>
    <w:p>
      <w:pPr>
        <w:pStyle w:val="ListBullet"/>
        <w:spacing w:after="60"/>
      </w:pPr>
      <w:r>
        <w:t>13. Security, validation, audit, and errors</w:t>
      </w:r>
    </w:p>
    <w:p>
      <w:pPr>
        <w:pStyle w:val="ListBullet"/>
        <w:spacing w:after="60"/>
      </w:pPr>
      <w:r>
        <w:t>14. Developer acceptance criteria</w:t>
      </w:r>
    </w:p>
    <w:p>
      <w:pPr>
        <w:pStyle w:val="ListBullet"/>
        <w:spacing w:after="60"/>
      </w:pPr>
      <w:r>
        <w:t>Appendix A. UI mockups</w:t>
      </w:r>
    </w:p>
    <w:p>
      <w:pPr>
        <w:pStyle w:val="Heading1"/>
      </w:pPr>
      <w:r>
        <w:t>1. Scope and Mandatory Outcomes</w:t>
      </w:r>
    </w:p>
    <w:p>
      <w:r>
        <w:t>The GML Admin Portal hosted on SmarterASP must provide a controlled interface for managing Cloudflare R2 objects and Cloudflare CDN cache behavior. The backend must use credentials stored in SmarterASP environment variables and must never expose those credentials to the browser or desktop applications.</w:t>
      </w:r>
    </w:p>
    <w:p>
      <w:pPr>
        <w:pStyle w:val="ListBullet"/>
        <w:spacing w:after="60"/>
      </w:pPr>
      <w:r>
        <w:rPr>
          <w:b/>
        </w:rPr>
        <w:t xml:space="preserve">Manage application files. </w:t>
      </w:r>
      <w:r>
        <w:t>Administrators can upload, list, replace, delete, and copy CDN URLs for files belonging to GML Diagrams and GML Exam Engine.</w:t>
      </w:r>
    </w:p>
    <w:p>
      <w:pPr>
        <w:pStyle w:val="ListBullet"/>
        <w:spacing w:after="60"/>
      </w:pPr>
      <w:r>
        <w:rPr>
          <w:b/>
        </w:rPr>
        <w:t xml:space="preserve">Manage 20 fixed advertisement slots. </w:t>
      </w:r>
      <w:r>
        <w:t>Administrators can upload or replace advertisement images, configure probability values, and assign each advertisement to one or more applications.</w:t>
      </w:r>
    </w:p>
    <w:p>
      <w:pPr>
        <w:pStyle w:val="ListBullet"/>
        <w:spacing w:after="60"/>
      </w:pPr>
      <w:r>
        <w:rPr>
          <w:b/>
        </w:rPr>
        <w:t xml:space="preserve">Preserve permanent URLs. </w:t>
      </w:r>
      <w:r>
        <w:t>Replacing a file must use the same R2 object key; therefore, the CDN URL remains unchanged.</w:t>
      </w:r>
    </w:p>
    <w:p>
      <w:pPr>
        <w:pStyle w:val="ListBullet"/>
        <w:spacing w:after="60"/>
      </w:pPr>
      <w:r>
        <w:rPr>
          <w:b/>
        </w:rPr>
        <w:t xml:space="preserve">Refresh cached content. </w:t>
      </w:r>
      <w:r>
        <w:t>Every successful replacement must purge the exact CDN URL so clients receive the updated object.</w:t>
      </w:r>
    </w:p>
    <w:p>
      <w:pPr>
        <w:pStyle w:val="ListBullet"/>
        <w:spacing w:after="60"/>
      </w:pPr>
      <w:r>
        <w:rPr>
          <w:b/>
        </w:rPr>
        <w:t xml:space="preserve">Protect credentials. </w:t>
      </w:r>
      <w:r>
        <w:t>All R2 and Cloudflare API credentials remain server-side and are loaded only from environment variables.</w:t>
      </w:r>
    </w:p>
    <w:tbl>
      <w:tblPr>
        <w:tblW w:type="auto" w:w="0"/>
        <w:jc w:val="center"/>
        <w:tblLayout w:type="fixed"/>
        <w:tblLook w:firstColumn="1" w:firstRow="1" w:lastColumn="0" w:lastRow="0" w:noHBand="0" w:noVBand="1" w:val="04A0"/>
      </w:tblPr>
      <w:tblGrid>
        <w:gridCol w:w="216"/>
        <w:gridCol w:w="9432"/>
      </w:tblGrid>
      <w:tr>
        <w:trPr>
          <w:tblHeader w:val="true"/>
        </w:trPr>
        <w:tc>
          <w:tcPr>
            <w:tcW w:type="dxa" w:w="5112"/>
            <w:shd w:fill="168B52"/>
            <w:tcBorders>
              <w:top w:val="single" w:sz="4" w:color="EAF7F0"/>
              <w:left w:val="single" w:sz="4" w:color="EAF7F0"/>
              <w:bottom w:val="single" w:sz="4" w:color="EAF7F0"/>
              <w:right w:val="single" w:sz="4" w:color="EAF7F0"/>
            </w:tcBorders>
          </w:tcPr>
          <w:p/>
        </w:tc>
        <w:tc>
          <w:tcPr>
            <w:tcW w:type="dxa" w:w="5112"/>
            <w:shd w:fill="EAF7F0"/>
            <w:tcBorders>
              <w:top w:val="single" w:sz="4" w:color="EAF7F0"/>
              <w:left w:val="single" w:sz="4" w:color="EAF7F0"/>
              <w:bottom w:val="single" w:sz="4" w:color="EAF7F0"/>
              <w:right w:val="single" w:sz="4" w:color="EAF7F0"/>
            </w:tcBorders>
            <w:tcMar>
              <w:top w:w="120" w:type="dxa"/>
              <w:start w:w="160" w:type="dxa"/>
              <w:bottom w:w="120" w:type="dxa"/>
              <w:end w:w="160" w:type="dxa"/>
            </w:tcMar>
          </w:tcPr>
          <w:p>
            <w:pPr>
              <w:spacing w:after="40"/>
            </w:pPr>
            <w:r>
              <w:rPr>
                <w:b/>
                <w:color w:val="168B52"/>
                <w:sz w:val="21"/>
              </w:rPr>
              <w:t>Core invariant</w:t>
            </w:r>
          </w:p>
          <w:p>
            <w:pPr>
              <w:pStyle w:val="BodyText"/>
              <w:spacing w:after="0"/>
            </w:pPr>
            <w:r>
              <w:t>Same logical file = same R2 object key = same CDN URL. A Replace operation changes the object content, not the object key.</w:t>
            </w:r>
          </w:p>
        </w:tc>
      </w:tr>
    </w:tbl>
    <w:p>
      <w:pPr>
        <w:spacing w:after="0"/>
      </w:pPr>
    </w:p>
    <w:p>
      <w:pPr>
        <w:pStyle w:val="Heading1"/>
      </w:pPr>
      <w:r>
        <w:t>2. Target Architecture</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GML Admin Portal on SmarterASP</w:t>
            </w:r>
            <w:r>
              <w:br/>
            </w:r>
            <w:r>
              <w:rPr>
                <w:rFonts w:ascii="Consolas" w:hAnsi="Consolas"/>
                <w:color w:val="1C2430"/>
                <w:sz w:val="18"/>
              </w:rPr>
              <w:t xml:space="preserve">    |</w:t>
            </w:r>
            <w:r>
              <w:br/>
            </w:r>
            <w:r>
              <w:rPr>
                <w:rFonts w:ascii="Consolas" w:hAnsi="Consolas"/>
                <w:color w:val="1C2430"/>
                <w:sz w:val="18"/>
              </w:rPr>
              <w:t xml:space="preserve">    +-- R2 S3-compatible API</w:t>
            </w:r>
            <w:r>
              <w:br/>
            </w:r>
            <w:r>
              <w:rPr>
                <w:rFonts w:ascii="Consolas" w:hAnsi="Consolas"/>
                <w:color w:val="1C2430"/>
                <w:sz w:val="18"/>
              </w:rPr>
              <w:t xml:space="preserve">    |      +-- Upload or replace objects</w:t>
            </w:r>
            <w:r>
              <w:br/>
            </w:r>
            <w:r>
              <w:rPr>
                <w:rFonts w:ascii="Consolas" w:hAnsi="Consolas"/>
                <w:color w:val="1C2430"/>
                <w:sz w:val="18"/>
              </w:rPr>
              <w:t xml:space="preserve">    |      +-- List objects by prefix</w:t>
            </w:r>
            <w:r>
              <w:br/>
            </w:r>
            <w:r>
              <w:rPr>
                <w:rFonts w:ascii="Consolas" w:hAnsi="Consolas"/>
                <w:color w:val="1C2430"/>
                <w:sz w:val="18"/>
              </w:rPr>
              <w:t xml:space="preserve">    |      +-- Read metadata</w:t>
            </w:r>
            <w:r>
              <w:br/>
            </w:r>
            <w:r>
              <w:rPr>
                <w:rFonts w:ascii="Consolas" w:hAnsi="Consolas"/>
                <w:color w:val="1C2430"/>
                <w:sz w:val="18"/>
              </w:rPr>
              <w:t xml:space="preserve">    |      +-- Delete objects</w:t>
            </w:r>
            <w:r>
              <w:br/>
            </w:r>
            <w:r>
              <w:rPr>
                <w:rFonts w:ascii="Consolas" w:hAnsi="Consolas"/>
                <w:color w:val="1C2430"/>
                <w:sz w:val="18"/>
              </w:rPr>
              <w:t xml:space="preserve">    |</w:t>
            </w:r>
            <w:r>
              <w:br/>
            </w:r>
            <w:r>
              <w:rPr>
                <w:rFonts w:ascii="Consolas" w:hAnsi="Consolas"/>
                <w:color w:val="1C2430"/>
                <w:sz w:val="18"/>
              </w:rPr>
              <w:t xml:space="preserve">    +-- Cloudflare API</w:t>
            </w:r>
            <w:r>
              <w:br/>
            </w:r>
            <w:r>
              <w:rPr>
                <w:rFonts w:ascii="Consolas" w:hAnsi="Consolas"/>
                <w:color w:val="1C2430"/>
                <w:sz w:val="18"/>
              </w:rPr>
              <w:t xml:space="preserve">           +-- Purge exact CDN URLs</w:t>
            </w:r>
            <w:r>
              <w:br/>
            </w:r>
            <w:r>
              <w:rPr>
                <w:rFonts w:ascii="Consolas" w:hAnsi="Consolas"/>
                <w:color w:val="1C2430"/>
                <w:sz w:val="18"/>
              </w:rPr>
            </w:r>
            <w:r>
              <w:br/>
            </w:r>
            <w:r>
              <w:rPr>
                <w:rFonts w:ascii="Consolas" w:hAnsi="Consolas"/>
                <w:color w:val="1C2430"/>
                <w:sz w:val="18"/>
              </w:rPr>
              <w:t>Cloudflare R2 Bucket</w:t>
            </w:r>
            <w:r>
              <w:br/>
            </w:r>
            <w:r>
              <w:rPr>
                <w:rFonts w:ascii="Consolas" w:hAnsi="Consolas"/>
                <w:color w:val="1C2430"/>
                <w:sz w:val="18"/>
              </w:rPr>
              <w:t xml:space="preserve">    +-- Custom CDN domain, for example https://cdn.grademylabs.com</w:t>
            </w:r>
          </w:p>
        </w:tc>
      </w:tr>
    </w:tbl>
    <w:p>
      <w:pPr>
        <w:spacing w:after="0"/>
      </w:pPr>
    </w:p>
    <w:p>
      <w:r>
        <w:t>The R2 bucket must be connected once to a Cloudflare custom domain. After that connection exists, an R2 object becomes available through the CDN by combining the configured CDN base URL with the object key. The application does not need a separate “publish to CDN” operation for every upload.</w:t>
      </w:r>
    </w:p>
    <w:tbl>
      <w:tblPr>
        <w:tblW w:type="auto" w:w="0"/>
        <w:jc w:val="center"/>
        <w:tblLayout w:type="fixed"/>
        <w:tblLook w:firstColumn="1" w:firstRow="1" w:lastColumn="0" w:lastRow="0" w:noHBand="0" w:noVBand="1" w:val="04A0"/>
      </w:tblPr>
      <w:tblGrid>
        <w:gridCol w:w="216"/>
        <w:gridCol w:w="9432"/>
      </w:tblGrid>
      <w:tr>
        <w:trPr>
          <w:tblHeader w:val="true"/>
        </w:trPr>
        <w:tc>
          <w:tcPr>
            <w:tcW w:type="dxa" w:w="5112"/>
            <w:shd w:fill="9A6700"/>
            <w:tcBorders>
              <w:top w:val="single" w:sz="4" w:color="FFF6D8"/>
              <w:left w:val="single" w:sz="4" w:color="FFF6D8"/>
              <w:bottom w:val="single" w:sz="4" w:color="FFF6D8"/>
              <w:right w:val="single" w:sz="4" w:color="FFF6D8"/>
            </w:tcBorders>
          </w:tcPr>
          <w:p/>
        </w:tc>
        <w:tc>
          <w:tcPr>
            <w:tcW w:type="dxa" w:w="5112"/>
            <w:shd w:fill="FFF6D8"/>
            <w:tcBorders>
              <w:top w:val="single" w:sz="4" w:color="FFF6D8"/>
              <w:left w:val="single" w:sz="4" w:color="FFF6D8"/>
              <w:bottom w:val="single" w:sz="4" w:color="FFF6D8"/>
              <w:right w:val="single" w:sz="4" w:color="FFF6D8"/>
            </w:tcBorders>
            <w:tcMar>
              <w:top w:w="120" w:type="dxa"/>
              <w:start w:w="160" w:type="dxa"/>
              <w:bottom w:w="120" w:type="dxa"/>
              <w:end w:w="160" w:type="dxa"/>
            </w:tcMar>
          </w:tcPr>
          <w:p>
            <w:pPr>
              <w:spacing w:after="40"/>
            </w:pPr>
            <w:r>
              <w:rPr>
                <w:b/>
                <w:color w:val="9A6700"/>
                <w:sz w:val="21"/>
              </w:rPr>
              <w:t>Required operation order</w:t>
            </w:r>
          </w:p>
          <w:p>
            <w:pPr>
              <w:pStyle w:val="BodyText"/>
              <w:spacing w:after="0"/>
            </w:pPr>
            <w:r>
              <w:t>For a replacement: upload the new object, verify the result, purge the exact CDN URL, then return success. Never purge first.</w:t>
            </w:r>
          </w:p>
        </w:tc>
      </w:tr>
    </w:tbl>
    <w:p>
      <w:pPr>
        <w:spacing w:after="0"/>
      </w:pPr>
    </w:p>
    <w:p>
      <w:pPr>
        <w:pStyle w:val="Heading1"/>
      </w:pPr>
      <w:r>
        <w:t>3. Cloudflare R2 Object-Key Structure</w:t>
      </w:r>
    </w:p>
    <w:p>
      <w:r>
        <w:t>Cloudflare R2 uses flat object storage. The portal may display folder-style navigation, but the implementation must use object-key prefixes. The mandatory root prefix is GML-SmarterASP.</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GML-SmarterASP/</w:t>
            </w:r>
            <w:r>
              <w:br/>
            </w:r>
            <w:r>
              <w:rPr>
                <w:rFonts w:ascii="Consolas" w:hAnsi="Consolas"/>
                <w:color w:val="1C2430"/>
                <w:sz w:val="18"/>
              </w:rPr>
              <w:t>|-- GML-Diagrams/</w:t>
            </w:r>
            <w:r>
              <w:br/>
            </w:r>
            <w:r>
              <w:rPr>
                <w:rFonts w:ascii="Consolas" w:hAnsi="Consolas"/>
                <w:color w:val="1C2430"/>
                <w:sz w:val="18"/>
              </w:rPr>
              <w:t>|-- GML-Exam-Engine/</w:t>
            </w:r>
            <w:r>
              <w:br/>
            </w:r>
            <w:r>
              <w:rPr>
                <w:rFonts w:ascii="Consolas" w:hAnsi="Consolas"/>
                <w:color w:val="1C2430"/>
                <w:sz w:val="18"/>
              </w:rPr>
              <w:t>`-- Advertisements/</w:t>
            </w:r>
          </w:p>
        </w:tc>
      </w:tr>
    </w:tbl>
    <w:p>
      <w:pPr>
        <w:spacing w:after="0"/>
      </w:pPr>
    </w:p>
    <w:p>
      <w:pPr>
        <w:pStyle w:val="Heading2"/>
      </w:pPr>
      <w:r>
        <w:t>3.1 GML Diagrams prefix</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GML-SmarterASP/GML-Diagrams/</w:t>
            </w:r>
          </w:p>
        </w:tc>
      </w:tr>
    </w:tbl>
    <w:p>
      <w:pPr>
        <w:spacing w:after="0"/>
      </w:pPr>
    </w:p>
    <w:p>
      <w:r>
        <w:t>Examples of stable files that may be stored under this prefix:</w:t>
      </w:r>
    </w:p>
    <w:p>
      <w:pPr>
        <w:pStyle w:val="ListBullet"/>
        <w:spacing w:after="60"/>
      </w:pPr>
      <w:r>
        <w:t>GML-Diagrams-Setup.msi</w:t>
      </w:r>
    </w:p>
    <w:p>
      <w:pPr>
        <w:pStyle w:val="ListBullet"/>
        <w:spacing w:after="60"/>
      </w:pPr>
      <w:r>
        <w:t>GML-Diagrams-Release-Notes.pdf</w:t>
      </w:r>
    </w:p>
    <w:p>
      <w:pPr>
        <w:pStyle w:val="ListBullet"/>
        <w:spacing w:after="60"/>
      </w:pPr>
      <w:r>
        <w:t>GML-Diagrams-Version.json</w:t>
      </w:r>
    </w:p>
    <w:p>
      <w:pPr>
        <w:pStyle w:val="ListBullet"/>
        <w:spacing w:after="60"/>
      </w:pPr>
      <w:r>
        <w:t>GML-Diagrams-Checksum.txt</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Example stable CDN URL:</w:t>
            </w:r>
            <w:r>
              <w:br/>
            </w:r>
            <w:r>
              <w:rPr>
                <w:rFonts w:ascii="Consolas" w:hAnsi="Consolas"/>
                <w:color w:val="1C2430"/>
                <w:sz w:val="18"/>
              </w:rPr>
              <w:t>https://cdn.grademylabs.com/GML-SmarterASP/GML-Diagrams/GML-Diagrams-Setup.msi</w:t>
            </w:r>
          </w:p>
        </w:tc>
      </w:tr>
    </w:tbl>
    <w:p>
      <w:pPr>
        <w:spacing w:after="0"/>
      </w:pPr>
    </w:p>
    <w:p>
      <w:pPr>
        <w:pStyle w:val="Heading2"/>
      </w:pPr>
      <w:r>
        <w:t>3.2 GML Exam Engine prefix</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GML-SmarterASP/GML-Exam-Engine/</w:t>
            </w:r>
          </w:p>
        </w:tc>
      </w:tr>
    </w:tbl>
    <w:p>
      <w:pPr>
        <w:spacing w:after="0"/>
      </w:pPr>
    </w:p>
    <w:p>
      <w:r>
        <w:t>Examples of stable files that may be stored under this prefix:</w:t>
      </w:r>
    </w:p>
    <w:p>
      <w:pPr>
        <w:pStyle w:val="ListBullet"/>
        <w:spacing w:after="60"/>
      </w:pPr>
      <w:r>
        <w:t>GML-Exam-Engine-Setup.msi</w:t>
      </w:r>
    </w:p>
    <w:p>
      <w:pPr>
        <w:pStyle w:val="ListBullet"/>
        <w:spacing w:after="60"/>
      </w:pPr>
      <w:r>
        <w:t>GML-Exam-Engine-Release-Notes.pdf</w:t>
      </w:r>
    </w:p>
    <w:p>
      <w:pPr>
        <w:pStyle w:val="ListBullet"/>
        <w:spacing w:after="60"/>
      </w:pPr>
      <w:r>
        <w:t>GML-Exam-Engine-Version.json</w:t>
      </w:r>
    </w:p>
    <w:p>
      <w:pPr>
        <w:pStyle w:val="ListBullet"/>
        <w:spacing w:after="60"/>
      </w:pPr>
      <w:r>
        <w:t>GML-Exam-Engine-Checksum.txt</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Example stable CDN URL:</w:t>
            </w:r>
            <w:r>
              <w:br/>
            </w:r>
            <w:r>
              <w:rPr>
                <w:rFonts w:ascii="Consolas" w:hAnsi="Consolas"/>
                <w:color w:val="1C2430"/>
                <w:sz w:val="18"/>
              </w:rPr>
              <w:t>https://cdn.grademylabs.com/GML-SmarterASP/GML-Exam-Engine/GML-Exam-Engine-Setup.msi</w:t>
            </w:r>
          </w:p>
        </w:tc>
      </w:tr>
    </w:tbl>
    <w:p>
      <w:pPr>
        <w:spacing w:after="0"/>
      </w:pPr>
    </w:p>
    <w:p>
      <w:pPr>
        <w:pStyle w:val="Heading2"/>
      </w:pPr>
      <w:r>
        <w:t>3.3 Advertisements prefix</w:t>
      </w:r>
    </w:p>
    <w:p>
      <w:r>
        <w:t>The Advertisements prefix contains exactly 20 fixed logical slots. Each slot has an immutable object key and permanent CDN URL.</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GML-SmarterASP/Advertisements/Advertisement-01.webp</w:t>
            </w:r>
            <w:r>
              <w:br/>
            </w:r>
            <w:r>
              <w:rPr>
                <w:rFonts w:ascii="Consolas" w:hAnsi="Consolas"/>
                <w:color w:val="1C2430"/>
                <w:sz w:val="18"/>
              </w:rPr>
              <w:t>GML-SmarterASP/Advertisements/Advertisement-02.webp</w:t>
            </w:r>
            <w:r>
              <w:br/>
            </w:r>
            <w:r>
              <w:rPr>
                <w:rFonts w:ascii="Consolas" w:hAnsi="Consolas"/>
                <w:color w:val="1C2430"/>
                <w:sz w:val="18"/>
              </w:rPr>
              <w:t>...</w:t>
            </w:r>
            <w:r>
              <w:br/>
            </w:r>
            <w:r>
              <w:rPr>
                <w:rFonts w:ascii="Consolas" w:hAnsi="Consolas"/>
                <w:color w:val="1C2430"/>
                <w:sz w:val="18"/>
              </w:rPr>
              <w:t>GML-SmarterASP/Advertisements/Advertisement-20.webp</w:t>
            </w:r>
          </w:p>
        </w:tc>
      </w:tr>
    </w:tbl>
    <w:p>
      <w:pPr>
        <w:spacing w:after="0"/>
      </w:pPr>
    </w:p>
    <w:tbl>
      <w:tblPr>
        <w:tblW w:type="auto" w:w="0"/>
        <w:jc w:val="center"/>
        <w:tblLayout w:type="fixed"/>
        <w:tblLook w:firstColumn="1" w:firstRow="1" w:lastColumn="0" w:lastRow="0" w:noHBand="0" w:noVBand="1" w:val="04A0"/>
      </w:tblPr>
      <w:tblGrid>
        <w:gridCol w:w="216"/>
        <w:gridCol w:w="9432"/>
      </w:tblGrid>
      <w:tr>
        <w:trPr>
          <w:tblHeader w:val="true"/>
        </w:trPr>
        <w:tc>
          <w:tcPr>
            <w:tcW w:type="dxa" w:w="5112"/>
            <w:shd w:fill="1769E0"/>
            <w:tcBorders>
              <w:top w:val="single" w:sz="4" w:color="EAF3FF"/>
              <w:left w:val="single" w:sz="4" w:color="EAF3FF"/>
              <w:bottom w:val="single" w:sz="4" w:color="EAF3FF"/>
              <w:right w:val="single" w:sz="4" w:color="EAF3FF"/>
            </w:tcBorders>
          </w:tcPr>
          <w:p/>
        </w:tc>
        <w:tc>
          <w:tcPr>
            <w:tcW w:type="dxa" w:w="5112"/>
            <w:shd w:fill="EAF3FF"/>
            <w:tcBorders>
              <w:top w:val="single" w:sz="4" w:color="EAF3FF"/>
              <w:left w:val="single" w:sz="4" w:color="EAF3FF"/>
              <w:bottom w:val="single" w:sz="4" w:color="EAF3FF"/>
              <w:right w:val="single" w:sz="4" w:color="EAF3FF"/>
            </w:tcBorders>
            <w:tcMar>
              <w:top w:w="120" w:type="dxa"/>
              <w:start w:w="160" w:type="dxa"/>
              <w:bottom w:w="120" w:type="dxa"/>
              <w:end w:w="160" w:type="dxa"/>
            </w:tcMar>
          </w:tcPr>
          <w:p>
            <w:pPr>
              <w:spacing w:after="40"/>
            </w:pPr>
            <w:r>
              <w:rPr>
                <w:b/>
                <w:color w:val="1769E0"/>
                <w:sz w:val="21"/>
              </w:rPr>
              <w:t>Advertisement slot rule</w:t>
            </w:r>
          </w:p>
          <w:p>
            <w:pPr>
              <w:pStyle w:val="BodyText"/>
              <w:spacing w:after="0"/>
            </w:pPr>
            <w:r>
              <w:t>The administrator may replace the image stored in a slot, but may not rename, delete, or change the object key of the slot.</w:t>
            </w:r>
          </w:p>
        </w:tc>
      </w:tr>
    </w:tbl>
    <w:p>
      <w:pPr>
        <w:spacing w:after="0"/>
      </w:pPr>
    </w:p>
    <w:p>
      <w:pPr>
        <w:pStyle w:val="Heading1"/>
      </w:pPr>
      <w:r>
        <w:t>4. SmarterASP Environment Variables</w:t>
      </w:r>
    </w:p>
    <w:p>
      <w:r>
        <w:t>The backend must read all Cloudflare and R2 configuration from SmarterASP environment variables. Secret values must not be stored in appsettings.json, source control, database tables, JavaScript, HTML, browser local storage, or logs.</w:t>
      </w:r>
    </w:p>
    <w:tbl>
      <w:tblPr>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3744"/>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6"/>
              </w:rPr>
              <w:t>Variable</w:t>
            </w:r>
          </w:p>
        </w:tc>
        <w:tc>
          <w:tcPr>
            <w:tcW w:type="dxa" w:w="4608"/>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6"/>
              </w:rPr>
              <w:t>Purpose</w:t>
            </w:r>
          </w:p>
        </w:tc>
        <w:tc>
          <w:tcPr>
            <w:tcW w:type="dxa" w:w="1008"/>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6"/>
              </w:rPr>
              <w:t>Secret</w:t>
            </w:r>
          </w:p>
        </w:tc>
      </w:tr>
      <w:tr>
        <w:trPr>
          <w:cantSplit/>
        </w:trPr>
        <w:tc>
          <w:tcPr>
            <w:tcW w:type="dxa" w:w="374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CLOUDFLARE_R2_ACCOUNT_ID</w:t>
            </w:r>
          </w:p>
        </w:tc>
        <w:tc>
          <w:tcPr>
            <w:tcW w:type="dxa" w:w="46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 account identifier</w:t>
            </w:r>
          </w:p>
        </w:tc>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No</w:t>
            </w:r>
          </w:p>
        </w:tc>
      </w:tr>
      <w:tr>
        <w:trPr>
          <w:cantSplit/>
        </w:trPr>
        <w:tc>
          <w:tcPr>
            <w:tcW w:type="dxa" w:w="374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CLOUDFLARE_R2_ACCESS_KEY_ID</w:t>
            </w:r>
          </w:p>
        </w:tc>
        <w:tc>
          <w:tcPr>
            <w:tcW w:type="dxa" w:w="46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R2 S3 API access key</w:t>
            </w:r>
          </w:p>
        </w:tc>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Yes</w:t>
            </w:r>
          </w:p>
        </w:tc>
      </w:tr>
      <w:tr>
        <w:trPr>
          <w:cantSplit/>
        </w:trPr>
        <w:tc>
          <w:tcPr>
            <w:tcW w:type="dxa" w:w="374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CLOUDFLARE_R2_SECRET_ACCESS_KEY</w:t>
            </w:r>
          </w:p>
        </w:tc>
        <w:tc>
          <w:tcPr>
            <w:tcW w:type="dxa" w:w="46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R2 S3 API secret key</w:t>
            </w:r>
          </w:p>
        </w:tc>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Yes</w:t>
            </w:r>
          </w:p>
        </w:tc>
      </w:tr>
      <w:tr>
        <w:trPr>
          <w:cantSplit/>
        </w:trPr>
        <w:tc>
          <w:tcPr>
            <w:tcW w:type="dxa" w:w="374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CLOUDFLARE_R2_BUCKET_NAME</w:t>
            </w:r>
          </w:p>
        </w:tc>
        <w:tc>
          <w:tcPr>
            <w:tcW w:type="dxa" w:w="46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R2 bucket name</w:t>
            </w:r>
          </w:p>
        </w:tc>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No</w:t>
            </w:r>
          </w:p>
        </w:tc>
      </w:tr>
      <w:tr>
        <w:trPr>
          <w:cantSplit/>
        </w:trPr>
        <w:tc>
          <w:tcPr>
            <w:tcW w:type="dxa" w:w="374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CLOUDFLARE_R2_ENDPOINT</w:t>
            </w:r>
          </w:p>
        </w:tc>
        <w:tc>
          <w:tcPr>
            <w:tcW w:type="dxa" w:w="46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S3-compatible endpoint</w:t>
            </w:r>
          </w:p>
        </w:tc>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No</w:t>
            </w:r>
          </w:p>
        </w:tc>
      </w:tr>
      <w:tr>
        <w:trPr>
          <w:cantSplit/>
        </w:trPr>
        <w:tc>
          <w:tcPr>
            <w:tcW w:type="dxa" w:w="374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CLOUDFLARE_R2_REGION</w:t>
            </w:r>
          </w:p>
        </w:tc>
        <w:tc>
          <w:tcPr>
            <w:tcW w:type="dxa" w:w="46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Use auto unless the SDK requires a value</w:t>
            </w:r>
          </w:p>
        </w:tc>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No</w:t>
            </w:r>
          </w:p>
        </w:tc>
      </w:tr>
      <w:tr>
        <w:trPr>
          <w:cantSplit/>
        </w:trPr>
        <w:tc>
          <w:tcPr>
            <w:tcW w:type="dxa" w:w="374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CLOUDFLARE_CDN_BASE_URL</w:t>
            </w:r>
          </w:p>
        </w:tc>
        <w:tc>
          <w:tcPr>
            <w:tcW w:type="dxa" w:w="46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Public custom CDN domain</w:t>
            </w:r>
          </w:p>
        </w:tc>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No</w:t>
            </w:r>
          </w:p>
        </w:tc>
      </w:tr>
      <w:tr>
        <w:trPr>
          <w:cantSplit/>
        </w:trPr>
        <w:tc>
          <w:tcPr>
            <w:tcW w:type="dxa" w:w="374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CLOUDFLARE_ZONE_ID</w:t>
            </w:r>
          </w:p>
        </w:tc>
        <w:tc>
          <w:tcPr>
            <w:tcW w:type="dxa" w:w="46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 zone identifier</w:t>
            </w:r>
          </w:p>
        </w:tc>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No</w:t>
            </w:r>
          </w:p>
        </w:tc>
      </w:tr>
      <w:tr>
        <w:trPr>
          <w:cantSplit/>
        </w:trPr>
        <w:tc>
          <w:tcPr>
            <w:tcW w:type="dxa" w:w="374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CLOUDFLARE_CACHE_PURGE_TOKEN</w:t>
            </w:r>
          </w:p>
        </w:tc>
        <w:tc>
          <w:tcPr>
            <w:tcW w:type="dxa" w:w="46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 token limited to cache purge</w:t>
            </w:r>
          </w:p>
        </w:tc>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Yes</w:t>
            </w:r>
          </w:p>
        </w:tc>
      </w:tr>
      <w:tr>
        <w:trPr>
          <w:cantSplit/>
        </w:trPr>
        <w:tc>
          <w:tcPr>
            <w:tcW w:type="dxa" w:w="374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CLOUDFLARE_R2_ROOT_PREFIX</w:t>
            </w:r>
          </w:p>
        </w:tc>
        <w:tc>
          <w:tcPr>
            <w:tcW w:type="dxa" w:w="46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Must be GML-SmarterASP</w:t>
            </w:r>
          </w:p>
        </w:tc>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No</w:t>
            </w:r>
          </w:p>
        </w:tc>
      </w:tr>
    </w:tbl>
    <w:p>
      <w:pPr>
        <w:spacing w:after="0"/>
      </w:pP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CLOUDFLARE_R2_ROOT_PREFIX=GML-SmarterASP</w:t>
            </w:r>
            <w:r>
              <w:br/>
            </w:r>
            <w:r>
              <w:rPr>
                <w:rFonts w:ascii="Consolas" w:hAnsi="Consolas"/>
                <w:color w:val="1C2430"/>
                <w:sz w:val="18"/>
              </w:rPr>
              <w:t>CLOUDFLARE_CDN_BASE_URL=https://cdn.grademylabs.com</w:t>
            </w:r>
            <w:r>
              <w:br/>
            </w:r>
            <w:r>
              <w:rPr>
                <w:rFonts w:ascii="Consolas" w:hAnsi="Consolas"/>
                <w:color w:val="1C2430"/>
                <w:sz w:val="18"/>
              </w:rPr>
              <w:t>CLOUDFLARE_R2_ENDPOINT=https://&lt;ACCOUNT-ID&gt;.r2.cloudflarestorage.com</w:t>
            </w:r>
          </w:p>
        </w:tc>
      </w:tr>
    </w:tbl>
    <w:p>
      <w:pPr>
        <w:spacing w:after="0"/>
      </w:pPr>
    </w:p>
    <w:p>
      <w:pPr>
        <w:pStyle w:val="ListBullet"/>
        <w:spacing w:after="60"/>
      </w:pPr>
      <w:r>
        <w:t>Validate all mandatory variables during application startup or when the Cloudflare service is first used.</w:t>
      </w:r>
    </w:p>
    <w:p>
      <w:pPr>
        <w:pStyle w:val="ListBullet"/>
        <w:spacing w:after="60"/>
      </w:pPr>
      <w:r>
        <w:t>Return a sanitized configuration error when a variable is missing; never echo secret values.</w:t>
      </w:r>
    </w:p>
    <w:p>
      <w:pPr>
        <w:pStyle w:val="ListBullet"/>
        <w:spacing w:after="60"/>
      </w:pPr>
      <w:r>
        <w:t>Use a dedicated SmarterASP application pool where possible so unrelated sites cannot access the same process-level variables.</w:t>
      </w:r>
    </w:p>
    <w:p>
      <w:pPr>
        <w:pStyle w:val="ListBullet"/>
        <w:spacing w:after="60"/>
      </w:pPr>
      <w:r>
        <w:t>The View Settings action may show only non-secret values: bucket name, root prefix, CDN domain, and connection status.</w:t>
      </w:r>
    </w:p>
    <w:p>
      <w:pPr>
        <w:pStyle w:val="Heading1"/>
      </w:pPr>
      <w:r>
        <w:t>5. Admin Menu and Shared Page Layout</w:t>
      </w:r>
    </w:p>
    <w:p>
      <w:r>
        <w:t>Add Cloudflare Management under the existing Global Settings area in the left-hand admin navigation.</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Dashboard</w:t>
            </w:r>
            <w:r>
              <w:br/>
            </w:r>
            <w:r>
              <w:rPr>
                <w:rFonts w:ascii="Consolas" w:hAnsi="Consolas"/>
                <w:color w:val="1C2430"/>
                <w:sz w:val="18"/>
              </w:rPr>
              <w:t>`-- Global Settings</w:t>
            </w:r>
            <w:r>
              <w:br/>
            </w:r>
            <w:r>
              <w:rPr>
                <w:rFonts w:ascii="Consolas" w:hAnsi="Consolas"/>
                <w:color w:val="1C2430"/>
                <w:sz w:val="18"/>
              </w:rPr>
              <w:t xml:space="preserve">    `-- Cloudflare Management</w:t>
            </w:r>
            <w:r>
              <w:br/>
            </w:r>
            <w:r>
              <w:rPr>
                <w:rFonts w:ascii="Consolas" w:hAnsi="Consolas"/>
                <w:color w:val="1C2430"/>
                <w:sz w:val="18"/>
              </w:rPr>
              <w:t xml:space="preserve">        |-- GML Diagrams</w:t>
            </w:r>
            <w:r>
              <w:br/>
            </w:r>
            <w:r>
              <w:rPr>
                <w:rFonts w:ascii="Consolas" w:hAnsi="Consolas"/>
                <w:color w:val="1C2430"/>
                <w:sz w:val="18"/>
              </w:rPr>
              <w:t xml:space="preserve">        |-- GML Exam Engine</w:t>
            </w:r>
            <w:r>
              <w:br/>
            </w:r>
            <w:r>
              <w:rPr>
                <w:rFonts w:ascii="Consolas" w:hAnsi="Consolas"/>
                <w:color w:val="1C2430"/>
                <w:sz w:val="18"/>
              </w:rPr>
              <w:t xml:space="preserve">        `-- Advertisements</w:t>
            </w:r>
          </w:p>
        </w:tc>
      </w:tr>
    </w:tbl>
    <w:p>
      <w:pPr>
        <w:spacing w:after="0"/>
      </w:pPr>
    </w:p>
    <w:p>
      <w:r>
        <w:t>Cloudflare Management should open as one page with three top tabs. The tabs keep the existing admin theme, spacing, typography, and action-button style.</w:t>
      </w:r>
    </w:p>
    <w:p>
      <w:pPr>
        <w:pStyle w:val="Heading2"/>
      </w:pPr>
      <w:r>
        <w:t>5.1 Shared header and connection panel</w:t>
      </w:r>
    </w:p>
    <w:p>
      <w:pPr>
        <w:pStyle w:val="ListBullet"/>
        <w:spacing w:after="60"/>
      </w:pPr>
      <w:r>
        <w:t>Page title: Cloudflare Management.</w:t>
      </w:r>
    </w:p>
    <w:p>
      <w:pPr>
        <w:pStyle w:val="ListBullet"/>
        <w:spacing w:after="60"/>
      </w:pPr>
      <w:r>
        <w:t>Description: Manage files and advertisements stored in Cloudflare R2 and delivered through CDN.</w:t>
      </w:r>
    </w:p>
    <w:p>
      <w:pPr>
        <w:pStyle w:val="ListBullet"/>
        <w:spacing w:after="60"/>
      </w:pPr>
      <w:r>
        <w:t>Top-right Test Connection button.</w:t>
      </w:r>
    </w:p>
    <w:p>
      <w:pPr>
        <w:pStyle w:val="ListBullet"/>
        <w:spacing w:after="60"/>
      </w:pPr>
      <w:r>
        <w:t>Tabs: GML Diagrams, GML Exam Engine, Advertisements.</w:t>
      </w:r>
    </w:p>
    <w:p>
      <w:pPr>
        <w:pStyle w:val="ListBullet"/>
        <w:spacing w:after="60"/>
      </w:pPr>
      <w:r>
        <w:t>Connection panel showing Connected/Disconnected, bucket, root prefix, CDN domain, and last checked time.</w:t>
      </w:r>
    </w:p>
    <w:p>
      <w:pPr>
        <w:pStyle w:val="ListBullet"/>
        <w:spacing w:after="60"/>
      </w:pPr>
      <w:r>
        <w:t>View Settings button showing only non-secret configuration.</w:t>
      </w:r>
    </w:p>
    <w:p>
      <w:pPr>
        <w:pStyle w:val="Heading2"/>
      </w:pPr>
      <w:r>
        <w:t>5.2 Test Connection behavior</w:t>
      </w:r>
    </w:p>
    <w:p>
      <w:pPr>
        <w:spacing w:after="60"/>
        <w:ind w:left="403" w:hanging="403"/>
      </w:pPr>
      <w:r>
        <w:rPr>
          <w:b/>
          <w:color w:val="17385D"/>
        </w:rPr>
        <w:t xml:space="preserve">1.  </w:t>
      </w:r>
      <w:r>
        <w:t>Confirm that all required environment variables are present.</w:t>
      </w:r>
    </w:p>
    <w:p>
      <w:pPr>
        <w:spacing w:after="60"/>
        <w:ind w:left="403" w:hanging="403"/>
      </w:pPr>
      <w:r>
        <w:rPr>
          <w:b/>
          <w:color w:val="17385D"/>
        </w:rPr>
        <w:t xml:space="preserve">2.  </w:t>
      </w:r>
      <w:r>
        <w:t>Authenticate to R2 and verify access to the configured bucket.</w:t>
      </w:r>
    </w:p>
    <w:p>
      <w:pPr>
        <w:spacing w:after="60"/>
        <w:ind w:left="403" w:hanging="403"/>
      </w:pPr>
      <w:r>
        <w:rPr>
          <w:b/>
          <w:color w:val="17385D"/>
        </w:rPr>
        <w:t xml:space="preserve">3.  </w:t>
      </w:r>
      <w:r>
        <w:t>Verify that the root prefix can be listed.</w:t>
      </w:r>
    </w:p>
    <w:p>
      <w:pPr>
        <w:spacing w:after="60"/>
        <w:ind w:left="403" w:hanging="403"/>
      </w:pPr>
      <w:r>
        <w:rPr>
          <w:b/>
          <w:color w:val="17385D"/>
        </w:rPr>
        <w:t xml:space="preserve">4.  </w:t>
      </w:r>
      <w:r>
        <w:t>Validate that the cache-purge token can access the configured zone.</w:t>
      </w:r>
    </w:p>
    <w:p>
      <w:pPr>
        <w:spacing w:after="60"/>
        <w:ind w:left="403" w:hanging="403"/>
      </w:pPr>
      <w:r>
        <w:rPr>
          <w:b/>
          <w:color w:val="17385D"/>
        </w:rPr>
        <w:t xml:space="preserve">5.  </w:t>
      </w:r>
      <w:r>
        <w:t>Return a clear success or sanitized failure message and update Last Checked.</w:t>
      </w:r>
    </w:p>
    <w:tbl>
      <w:tblPr>
        <w:tblW w:type="auto" w:w="0"/>
        <w:jc w:val="center"/>
        <w:tblLayout w:type="fixed"/>
        <w:tblLook w:firstColumn="1" w:firstRow="1" w:lastColumn="0" w:lastRow="0" w:noHBand="0" w:noVBand="1" w:val="04A0"/>
      </w:tblPr>
      <w:tblGrid>
        <w:gridCol w:w="216"/>
        <w:gridCol w:w="9432"/>
      </w:tblGrid>
      <w:tr>
        <w:trPr>
          <w:tblHeader w:val="true"/>
        </w:trPr>
        <w:tc>
          <w:tcPr>
            <w:tcW w:type="dxa" w:w="5112"/>
            <w:shd w:fill="9A6700"/>
            <w:tcBorders>
              <w:top w:val="single" w:sz="4" w:color="FFF6D8"/>
              <w:left w:val="single" w:sz="4" w:color="FFF6D8"/>
              <w:bottom w:val="single" w:sz="4" w:color="FFF6D8"/>
              <w:right w:val="single" w:sz="4" w:color="FFF6D8"/>
            </w:tcBorders>
          </w:tcPr>
          <w:p/>
        </w:tc>
        <w:tc>
          <w:tcPr>
            <w:tcW w:type="dxa" w:w="5112"/>
            <w:shd w:fill="FFF6D8"/>
            <w:tcBorders>
              <w:top w:val="single" w:sz="4" w:color="FFF6D8"/>
              <w:left w:val="single" w:sz="4" w:color="FFF6D8"/>
              <w:bottom w:val="single" w:sz="4" w:color="FFF6D8"/>
              <w:right w:val="single" w:sz="4" w:color="FFF6D8"/>
            </w:tcBorders>
            <w:tcMar>
              <w:top w:w="120" w:type="dxa"/>
              <w:start w:w="160" w:type="dxa"/>
              <w:bottom w:w="120" w:type="dxa"/>
              <w:end w:w="160" w:type="dxa"/>
            </w:tcMar>
          </w:tcPr>
          <w:p>
            <w:pPr>
              <w:spacing w:after="40"/>
            </w:pPr>
            <w:r>
              <w:rPr>
                <w:b/>
                <w:color w:val="9A6700"/>
                <w:sz w:val="21"/>
              </w:rPr>
              <w:t>Authorization</w:t>
            </w:r>
          </w:p>
          <w:p>
            <w:pPr>
              <w:pStyle w:val="BodyText"/>
              <w:spacing w:after="0"/>
            </w:pPr>
            <w:r>
              <w:t>Create a backend permission such as ManageCloudflareStorage. Enforce it on every page action and API endpoint; hiding a menu item is not sufficient.</w:t>
            </w:r>
          </w:p>
        </w:tc>
      </w:tr>
    </w:tbl>
    <w:p>
      <w:pPr>
        <w:spacing w:after="0"/>
      </w:pPr>
    </w:p>
    <w:p>
      <w:pPr>
        <w:pStyle w:val="Heading1"/>
      </w:pPr>
      <w:r>
        <w:t>6. GML Diagrams Tab</w:t>
      </w:r>
    </w:p>
    <w:p>
      <w:r>
        <w:t>This tab lists only objects whose key starts with GML-SmarterASP/GML-Diagrams/. It must never display Exam Engine or Advertisement objects.</w:t>
      </w:r>
    </w:p>
    <w:p>
      <w:pPr>
        <w:spacing w:after="80"/>
        <w:jc w:val="center"/>
      </w:pPr>
      <w:r>
        <w:drawing>
          <wp:inline xmlns:a="http://schemas.openxmlformats.org/drawingml/2006/main" xmlns:pic="http://schemas.openxmlformats.org/drawingml/2006/picture">
            <wp:extent cx="6126480" cy="4594860"/>
            <wp:docPr id="1" name="Picture 1" descr="Figure 1. Proposed GML Diagrams file-management layout." title="Figure 1. Proposed GML Diagrams file-management layout."/>
            <wp:cNvGraphicFramePr>
              <a:graphicFrameLocks noChangeAspect="1"/>
            </wp:cNvGraphicFramePr>
            <a:graphic>
              <a:graphicData uri="http://schemas.openxmlformats.org/drawingml/2006/picture">
                <pic:pic>
                  <pic:nvPicPr>
                    <pic:cNvPr id="0" name="a_dark_themed_admin_dashboard_ui_screenshot_full.png"/>
                    <pic:cNvPicPr/>
                  </pic:nvPicPr>
                  <pic:blipFill>
                    <a:blip r:embed="rId11"/>
                    <a:stretch>
                      <a:fillRect/>
                    </a:stretch>
                  </pic:blipFill>
                  <pic:spPr>
                    <a:xfrm>
                      <a:off x="0" y="0"/>
                      <a:ext cx="6126480" cy="4594860"/>
                    </a:xfrm>
                    <a:prstGeom prst="rect"/>
                  </pic:spPr>
                </pic:pic>
              </a:graphicData>
            </a:graphic>
          </wp:inline>
        </w:drawing>
      </w:r>
    </w:p>
    <w:p>
      <w:pPr>
        <w:spacing w:after="160"/>
        <w:jc w:val="center"/>
      </w:pPr>
      <w:r>
        <w:rPr>
          <w:i/>
          <w:color w:val="5B6573"/>
          <w:sz w:val="18"/>
        </w:rPr>
        <w:t>Figure 1. Proposed GML Diagrams file-management layout.</w:t>
      </w:r>
    </w:p>
    <w:p>
      <w:pPr>
        <w:pStyle w:val="Heading2"/>
      </w:pPr>
      <w:r>
        <w:t>6.1 Required controls and columns</w:t>
      </w:r>
    </w:p>
    <w:tbl>
      <w:tblPr>
        <w:tblW w:type="auto" w:w="0"/>
        <w:jc w:val="center"/>
        <w:tblLayout w:type="fixed"/>
        <w:tblLook w:firstColumn="1" w:firstRow="1" w:lastColumn="0" w:lastRow="0" w:noHBand="0" w:noVBand="1" w:val="04A0"/>
      </w:tblPr>
      <w:tblGrid>
        <w:gridCol w:w="5112"/>
        <w:gridCol w:w="5112"/>
      </w:tblGrid>
      <w:tr>
        <w:trPr>
          <w:cantSplit/>
          <w:tblHeader w:val="true"/>
        </w:trPr>
        <w:tc>
          <w:tcPr>
            <w:tcW w:type="dxa" w:w="216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Column</w:t>
            </w:r>
          </w:p>
        </w:tc>
        <w:tc>
          <w:tcPr>
            <w:tcW w:type="dxa" w:w="720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Behavior</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File name</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Object file name without the prefix</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Type</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MSI, PDF, JSON, ZIP, TXT, and other approved types</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Size</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Human-readable object size</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Last modified</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R2 last-modified timestamp</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CDN URL</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Copy URL action; the secret bucket endpoint is never shown</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Actions</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Replace and Delete</w:t>
            </w:r>
          </w:p>
        </w:tc>
      </w:tr>
    </w:tbl>
    <w:p>
      <w:pPr>
        <w:spacing w:after="0"/>
      </w:pPr>
    </w:p>
    <w:p>
      <w:pPr>
        <w:pStyle w:val="ListBullet"/>
        <w:spacing w:after="60"/>
      </w:pPr>
      <w:r>
        <w:t>Search by file name.</w:t>
      </w:r>
    </w:p>
    <w:p>
      <w:pPr>
        <w:pStyle w:val="ListBullet"/>
        <w:spacing w:after="60"/>
      </w:pPr>
      <w:r>
        <w:t>Upload New File button for creating a new object in this prefix.</w:t>
      </w:r>
    </w:p>
    <w:p>
      <w:pPr>
        <w:pStyle w:val="ListBullet"/>
        <w:spacing w:after="60"/>
      </w:pPr>
      <w:r>
        <w:t>Pagination for large lists.</w:t>
      </w:r>
    </w:p>
    <w:p>
      <w:pPr>
        <w:pStyle w:val="ListBullet"/>
        <w:spacing w:after="60"/>
      </w:pPr>
      <w:r>
        <w:t>Optional sorting by file name, type, size, and modified date.</w:t>
      </w:r>
    </w:p>
    <w:p>
      <w:pPr>
        <w:pStyle w:val="Heading2"/>
      </w:pPr>
      <w:r>
        <w:t>6.2 Replace action</w:t>
      </w:r>
    </w:p>
    <w:p>
      <w:pPr>
        <w:spacing w:after="60"/>
        <w:ind w:left="403" w:hanging="403"/>
      </w:pPr>
      <w:r>
        <w:rPr>
          <w:b/>
          <w:color w:val="17385D"/>
        </w:rPr>
        <w:t xml:space="preserve">1.  </w:t>
      </w:r>
      <w:r>
        <w:t>Select the existing object and show its current file name and CDN URL.</w:t>
      </w:r>
    </w:p>
    <w:p>
      <w:pPr>
        <w:spacing w:after="60"/>
        <w:ind w:left="403" w:hanging="403"/>
      </w:pPr>
      <w:r>
        <w:rPr>
          <w:b/>
          <w:color w:val="17385D"/>
        </w:rPr>
        <w:t xml:space="preserve">2.  </w:t>
      </w:r>
      <w:r>
        <w:t>Allow the administrator to select a replacement file.</w:t>
      </w:r>
    </w:p>
    <w:p>
      <w:pPr>
        <w:spacing w:after="60"/>
        <w:ind w:left="403" w:hanging="403"/>
      </w:pPr>
      <w:r>
        <w:rPr>
          <w:b/>
          <w:color w:val="17385D"/>
        </w:rPr>
        <w:t xml:space="preserve">3.  </w:t>
      </w:r>
      <w:r>
        <w:t>Do not allow the object key to be edited during Replace.</w:t>
      </w:r>
    </w:p>
    <w:p>
      <w:pPr>
        <w:spacing w:after="60"/>
        <w:ind w:left="403" w:hanging="403"/>
      </w:pPr>
      <w:r>
        <w:rPr>
          <w:b/>
          <w:color w:val="17385D"/>
        </w:rPr>
        <w:t xml:space="preserve">4.  </w:t>
      </w:r>
      <w:r>
        <w:t>Validate extension, MIME type, size, and content.</w:t>
      </w:r>
    </w:p>
    <w:p>
      <w:pPr>
        <w:spacing w:after="60"/>
        <w:ind w:left="403" w:hanging="403"/>
      </w:pPr>
      <w:r>
        <w:rPr>
          <w:b/>
          <w:color w:val="17385D"/>
        </w:rPr>
        <w:t xml:space="preserve">5.  </w:t>
      </w:r>
      <w:r>
        <w:t>Upload to the same R2 object key.</w:t>
      </w:r>
    </w:p>
    <w:p>
      <w:pPr>
        <w:spacing w:after="60"/>
        <w:ind w:left="403" w:hanging="403"/>
      </w:pPr>
      <w:r>
        <w:rPr>
          <w:b/>
          <w:color w:val="17385D"/>
        </w:rPr>
        <w:t xml:space="preserve">6.  </w:t>
      </w:r>
      <w:r>
        <w:t>Verify the resulting object metadata or ETag.</w:t>
      </w:r>
    </w:p>
    <w:p>
      <w:pPr>
        <w:spacing w:after="60"/>
        <w:ind w:left="403" w:hanging="403"/>
      </w:pPr>
      <w:r>
        <w:rPr>
          <w:b/>
          <w:color w:val="17385D"/>
        </w:rPr>
        <w:t xml:space="preserve">7.  </w:t>
      </w:r>
      <w:r>
        <w:t>Purge the exact CDN URL.</w:t>
      </w:r>
    </w:p>
    <w:p>
      <w:pPr>
        <w:spacing w:after="60"/>
        <w:ind w:left="403" w:hanging="403"/>
      </w:pPr>
      <w:r>
        <w:rPr>
          <w:b/>
          <w:color w:val="17385D"/>
        </w:rPr>
        <w:t xml:space="preserve">8.  </w:t>
      </w:r>
      <w:r>
        <w:t>Refresh the table and write an audit record.</w:t>
      </w:r>
    </w:p>
    <w:p>
      <w:pPr>
        <w:pStyle w:val="Heading2"/>
      </w:pPr>
      <w:r>
        <w:t>6.3 Delete action</w:t>
      </w:r>
    </w:p>
    <w:p>
      <w:pPr>
        <w:spacing w:after="60"/>
        <w:ind w:left="403" w:hanging="403"/>
      </w:pPr>
      <w:r>
        <w:rPr>
          <w:b/>
          <w:color w:val="17385D"/>
        </w:rPr>
        <w:t xml:space="preserve">1.  </w:t>
      </w:r>
      <w:r>
        <w:t>Display a destructive confirmation with file name and CDN URL.</w:t>
      </w:r>
    </w:p>
    <w:p>
      <w:pPr>
        <w:spacing w:after="60"/>
        <w:ind w:left="403" w:hanging="403"/>
      </w:pPr>
      <w:r>
        <w:rPr>
          <w:b/>
          <w:color w:val="17385D"/>
        </w:rPr>
        <w:t xml:space="preserve">2.  </w:t>
      </w:r>
      <w:r>
        <w:t>Check whether the file is referenced by an active release or website record.</w:t>
      </w:r>
    </w:p>
    <w:p>
      <w:pPr>
        <w:spacing w:after="60"/>
        <w:ind w:left="403" w:hanging="403"/>
      </w:pPr>
      <w:r>
        <w:rPr>
          <w:b/>
          <w:color w:val="17385D"/>
        </w:rPr>
        <w:t xml:space="preserve">3.  </w:t>
      </w:r>
      <w:r>
        <w:t>Delete the R2 object after confirmation.</w:t>
      </w:r>
    </w:p>
    <w:p>
      <w:pPr>
        <w:spacing w:after="60"/>
        <w:ind w:left="403" w:hanging="403"/>
      </w:pPr>
      <w:r>
        <w:rPr>
          <w:b/>
          <w:color w:val="17385D"/>
        </w:rPr>
        <w:t xml:space="preserve">4.  </w:t>
      </w:r>
      <w:r>
        <w:t>Purge the exact CDN URL so stale content is not served.</w:t>
      </w:r>
    </w:p>
    <w:p>
      <w:pPr>
        <w:spacing w:after="60"/>
        <w:ind w:left="403" w:hanging="403"/>
      </w:pPr>
      <w:r>
        <w:rPr>
          <w:b/>
          <w:color w:val="17385D"/>
        </w:rPr>
        <w:t xml:space="preserve">5.  </w:t>
      </w:r>
      <w:r>
        <w:t>Update related records and write an audit entry.</w:t>
      </w:r>
    </w:p>
    <w:p>
      <w:pPr>
        <w:pStyle w:val="Heading1"/>
      </w:pPr>
      <w:r>
        <w:t>7. GML Exam Engine Tab</w:t>
      </w:r>
    </w:p>
    <w:p>
      <w:r>
        <w:t>This tab follows the same layout and behavior as GML Diagrams, but it lists only objects under GML-SmarterASP/GML-Exam-Engine/.</w:t>
      </w:r>
    </w:p>
    <w:p>
      <w:pPr>
        <w:spacing w:after="80"/>
        <w:jc w:val="center"/>
      </w:pPr>
      <w:r>
        <w:drawing>
          <wp:inline xmlns:a="http://schemas.openxmlformats.org/drawingml/2006/main" xmlns:pic="http://schemas.openxmlformats.org/drawingml/2006/picture">
            <wp:extent cx="6126480" cy="5002206"/>
            <wp:docPr id="2" name="Picture 2" descr="Figure 2. Proposed GML Exam Engine file-management layout." title="Figure 2. Proposed GML Exam Engine file-management layout."/>
            <wp:cNvGraphicFramePr>
              <a:graphicFrameLocks noChangeAspect="1"/>
            </wp:cNvGraphicFramePr>
            <a:graphic>
              <a:graphicData uri="http://schemas.openxmlformats.org/drawingml/2006/picture">
                <pic:pic>
                  <pic:nvPicPr>
                    <pic:cNvPr id="0" name="exam_engine.png"/>
                    <pic:cNvPicPr/>
                  </pic:nvPicPr>
                  <pic:blipFill>
                    <a:blip r:embed="rId12"/>
                    <a:stretch>
                      <a:fillRect/>
                    </a:stretch>
                  </pic:blipFill>
                  <pic:spPr>
                    <a:xfrm>
                      <a:off x="0" y="0"/>
                      <a:ext cx="6126480" cy="5002206"/>
                    </a:xfrm>
                    <a:prstGeom prst="rect"/>
                  </pic:spPr>
                </pic:pic>
              </a:graphicData>
            </a:graphic>
          </wp:inline>
        </w:drawing>
      </w:r>
    </w:p>
    <w:p>
      <w:pPr>
        <w:spacing w:after="160"/>
        <w:jc w:val="center"/>
      </w:pPr>
      <w:r>
        <w:rPr>
          <w:i/>
          <w:color w:val="5B6573"/>
          <w:sz w:val="18"/>
        </w:rPr>
        <w:t>Figure 2. Proposed GML Exam Engine file-management layout.</w:t>
      </w:r>
    </w:p>
    <w:p>
      <w:pPr>
        <w:pStyle w:val="ListBullet"/>
        <w:spacing w:after="60"/>
      </w:pPr>
      <w:r>
        <w:t>Upload New File creates an object only under the Exam Engine prefix.</w:t>
      </w:r>
    </w:p>
    <w:p>
      <w:pPr>
        <w:pStyle w:val="ListBullet"/>
        <w:spacing w:after="60"/>
      </w:pPr>
      <w:r>
        <w:t>Replace uploads to the same object key and keeps the same CDN URL.</w:t>
      </w:r>
    </w:p>
    <w:p>
      <w:pPr>
        <w:pStyle w:val="ListBullet"/>
        <w:spacing w:after="60"/>
      </w:pPr>
      <w:r>
        <w:t>Delete removes the object and purges its exact CDN URL.</w:t>
      </w:r>
    </w:p>
    <w:p>
      <w:pPr>
        <w:pStyle w:val="ListBullet"/>
        <w:spacing w:after="60"/>
      </w:pPr>
      <w:r>
        <w:t>Copy URL returns the custom-domain CDN URL, not the R2 API endpoint.</w:t>
      </w:r>
    </w:p>
    <w:p>
      <w:pPr>
        <w:pStyle w:val="ListBullet"/>
        <w:spacing w:after="60"/>
      </w:pPr>
      <w:r>
        <w:t>All validation, authorization, pagination, and audit rules are identical to GML Diagrams.</w:t>
      </w:r>
    </w:p>
    <w:p>
      <w:pPr>
        <w:pStyle w:val="Heading1"/>
      </w:pPr>
      <w:r>
        <w:t>8. Advertisements Tab</w:t>
      </w:r>
    </w:p>
    <w:p>
      <w:r>
        <w:t>This tab displays exactly 20 fixed advertisement slots. It is not a general file browser. The only file action is Upload for an empty slot or Replace for an uploaded slot. There is no Delete action.</w:t>
      </w:r>
    </w:p>
    <w:p>
      <w:pPr>
        <w:spacing w:after="80"/>
        <w:jc w:val="center"/>
      </w:pPr>
      <w:r>
        <w:drawing>
          <wp:inline xmlns:a="http://schemas.openxmlformats.org/drawingml/2006/main" xmlns:pic="http://schemas.openxmlformats.org/drawingml/2006/picture">
            <wp:extent cx="6126480" cy="4798034"/>
            <wp:docPr id="3" name="Picture 3" descr="Figure 3. Proposed Advertisements management layout." title="Figure 3. Proposed Advertisements management layout."/>
            <wp:cNvGraphicFramePr>
              <a:graphicFrameLocks noChangeAspect="1"/>
            </wp:cNvGraphicFramePr>
            <a:graphic>
              <a:graphicData uri="http://schemas.openxmlformats.org/drawingml/2006/picture">
                <pic:pic>
                  <pic:nvPicPr>
                    <pic:cNvPr id="0" name="advertisements.png"/>
                    <pic:cNvPicPr/>
                  </pic:nvPicPr>
                  <pic:blipFill>
                    <a:blip r:embed="rId13"/>
                    <a:stretch>
                      <a:fillRect/>
                    </a:stretch>
                  </pic:blipFill>
                  <pic:spPr>
                    <a:xfrm>
                      <a:off x="0" y="0"/>
                      <a:ext cx="6126480" cy="4798034"/>
                    </a:xfrm>
                    <a:prstGeom prst="rect"/>
                  </pic:spPr>
                </pic:pic>
              </a:graphicData>
            </a:graphic>
          </wp:inline>
        </w:drawing>
      </w:r>
    </w:p>
    <w:p>
      <w:pPr>
        <w:spacing w:after="160"/>
        <w:jc w:val="center"/>
      </w:pPr>
      <w:r>
        <w:rPr>
          <w:i/>
          <w:color w:val="5B6573"/>
          <w:sz w:val="18"/>
        </w:rPr>
        <w:t>Figure 3. Proposed Advertisements management layout.</w:t>
      </w:r>
    </w:p>
    <w:p>
      <w:pPr>
        <w:pStyle w:val="Heading2"/>
      </w:pPr>
      <w:r>
        <w:t>8.1 Required row layout</w:t>
      </w:r>
    </w:p>
    <w:tbl>
      <w:tblPr>
        <w:tblW w:type="auto" w:w="0"/>
        <w:jc w:val="center"/>
        <w:tblLayout w:type="fixed"/>
        <w:tblLook w:firstColumn="1" w:firstRow="1" w:lastColumn="0" w:lastRow="0" w:noHBand="0" w:noVBand="1" w:val="04A0"/>
      </w:tblPr>
      <w:tblGrid>
        <w:gridCol w:w="5112"/>
        <w:gridCol w:w="5112"/>
      </w:tblGrid>
      <w:tr>
        <w:trPr>
          <w:cantSplit/>
          <w:tblHeader w:val="true"/>
        </w:trPr>
        <w:tc>
          <w:tcPr>
            <w:tcW w:type="dxa" w:w="216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Column</w:t>
            </w:r>
          </w:p>
        </w:tc>
        <w:tc>
          <w:tcPr>
            <w:tcW w:type="dxa" w:w="720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Required behavior</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Slot</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Fixed number from 01 through 20</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Preview</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Thumbnail or Empty placeholder</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File status</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Uploaded or Empty, with size when available</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CDN URL</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Permanent URL and Copy URL action</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Probability (%)</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Integer input from 0 through 100</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Applications</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Checklist loaded from the applications table</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Last modified</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Last successful image replacement time</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Action</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Upload for empty slot; Replace after first upload</w:t>
            </w:r>
          </w:p>
        </w:tc>
      </w:tr>
    </w:tbl>
    <w:p>
      <w:pPr>
        <w:spacing w:after="0"/>
      </w:pPr>
    </w:p>
    <w:p>
      <w:pPr>
        <w:pStyle w:val="Heading2"/>
      </w:pPr>
      <w:r>
        <w:t>8.2 Fixed-slot behavior</w:t>
      </w:r>
    </w:p>
    <w:p>
      <w:pPr>
        <w:pStyle w:val="ListBullet"/>
        <w:spacing w:after="60"/>
      </w:pPr>
      <w:r>
        <w:t>Seed 20 slot records in the database during migration or initialization.</w:t>
      </w:r>
    </w:p>
    <w:p>
      <w:pPr>
        <w:pStyle w:val="ListBullet"/>
        <w:spacing w:after="60"/>
      </w:pPr>
      <w:r>
        <w:t>Map slot 01 to Advertisement-01.webp, slot 02 to Advertisement-02.webp, and so on.</w:t>
      </w:r>
    </w:p>
    <w:p>
      <w:pPr>
        <w:pStyle w:val="ListBullet"/>
        <w:spacing w:after="60"/>
      </w:pPr>
      <w:r>
        <w:t>ObjectKey and SlotNumber are immutable.</w:t>
      </w:r>
    </w:p>
    <w:p>
      <w:pPr>
        <w:pStyle w:val="ListBullet"/>
        <w:spacing w:after="60"/>
      </w:pPr>
      <w:r>
        <w:t>The local upload file name does not determine the R2 object key.</w:t>
      </w:r>
    </w:p>
    <w:p>
      <w:pPr>
        <w:pStyle w:val="ListBullet"/>
        <w:spacing w:after="60"/>
      </w:pPr>
      <w:r>
        <w:t>Replacing an image must preserve probability values and application assignments.</w:t>
      </w:r>
    </w:p>
    <w:p>
      <w:pPr>
        <w:pStyle w:val="ListBullet"/>
        <w:spacing w:after="60"/>
      </w:pPr>
      <w:r>
        <w:t>After replacement, purge the exact CDN URL and refresh the preview using a cache-busting query parameter only in the admin UI if necessary.</w:t>
      </w:r>
    </w:p>
    <w:p>
      <w:pPr>
        <w:pStyle w:val="Heading2"/>
      </w:pPr>
      <w:r>
        <w:t>8.3 Probability input validation</w:t>
      </w:r>
    </w:p>
    <w:p>
      <w:pPr>
        <w:pStyle w:val="ListBullet"/>
        <w:spacing w:after="60"/>
      </w:pPr>
      <w:r>
        <w:t>Each value is an integer between 0 and 100.</w:t>
      </w:r>
    </w:p>
    <w:p>
      <w:pPr>
        <w:pStyle w:val="ListBullet"/>
        <w:spacing w:after="60"/>
      </w:pPr>
      <w:r>
        <w:t>The total across all 20 slots must equal exactly 100 before the configuration can be saved.</w:t>
      </w:r>
    </w:p>
    <w:p>
      <w:pPr>
        <w:pStyle w:val="ListBullet"/>
        <w:spacing w:after="60"/>
      </w:pPr>
      <w:r>
        <w:t>Display a live Total Probability indicator, for example 100 / 100.</w:t>
      </w:r>
    </w:p>
    <w:p>
      <w:pPr>
        <w:pStyle w:val="ListBullet"/>
        <w:spacing w:after="60"/>
      </w:pPr>
      <w:r>
        <w:t>When one slot is set to 100, automatically set all other slots to 0.</w:t>
      </w:r>
    </w:p>
    <w:p>
      <w:pPr>
        <w:pStyle w:val="ListBullet"/>
        <w:spacing w:after="60"/>
      </w:pPr>
      <w:r>
        <w:t>A slot with probability 0 is never selected by a desktop application.</w:t>
      </w:r>
    </w:p>
    <w:p>
      <w:pPr>
        <w:pStyle w:val="ListBullet"/>
        <w:spacing w:after="60"/>
      </w:pPr>
      <w:r>
        <w:t>An empty slot is never selected even if its probability is greater than 0; saving should warn or block until the inconsistency is corrected.</w:t>
      </w:r>
    </w:p>
    <w:p>
      <w:pPr>
        <w:pStyle w:val="Heading2"/>
      </w:pPr>
      <w:r>
        <w:t>8.4 Application checklist</w:t>
      </w:r>
    </w:p>
    <w:p>
      <w:r>
        <w:t>The checklist must be populated dynamically from the applications/products table. At minimum, the current applications are GML Diagrams and GML Exam Engine.</w:t>
      </w:r>
    </w:p>
    <w:p>
      <w:pPr>
        <w:pStyle w:val="ListBullet"/>
        <w:spacing w:after="60"/>
      </w:pPr>
      <w:r>
        <w:t>An advertisement is eligible only for applications whose checkbox is selected.</w:t>
      </w:r>
    </w:p>
    <w:p>
      <w:pPr>
        <w:pStyle w:val="ListBullet"/>
        <w:spacing w:after="60"/>
      </w:pPr>
      <w:r>
        <w:t>A single advertisement may be assigned to one application, both current applications, future applications, or none.</w:t>
      </w:r>
    </w:p>
    <w:p>
      <w:pPr>
        <w:pStyle w:val="ListBullet"/>
        <w:spacing w:after="60"/>
      </w:pPr>
      <w:r>
        <w:t>An advertisement assigned to no applications is never returned by the desktop API.</w:t>
      </w:r>
    </w:p>
    <w:p>
      <w:pPr>
        <w:pStyle w:val="ListBullet"/>
        <w:spacing w:after="60"/>
      </w:pPr>
      <w:r>
        <w:t>Save all 20 probabilities and all application assignments in one database transaction.</w:t>
      </w:r>
    </w:p>
    <w:p>
      <w:pPr>
        <w:pStyle w:val="Heading1"/>
      </w:pPr>
      <w:r>
        <w:t>9. Advertisement Probability and Rotation Logic</w:t>
      </w:r>
    </w:p>
    <w:p>
      <w:r>
        <w:t>The requested 50/50 behavior requires deterministic weighted rotation rather than independent random selection. Implement Smooth Weighted Round Robin or an equivalent deterministic weighted scheduler.</w:t>
      </w:r>
    </w:p>
    <w:p>
      <w:pPr>
        <w:pStyle w:val="Heading2"/>
      </w:pPr>
      <w:r>
        <w:t>9.1 Eligibility filtering</w:t>
      </w:r>
    </w:p>
    <w:p>
      <w:r>
        <w:t>Before choosing an advertisement, filter the 20 slots using all of the following conditions:</w:t>
      </w:r>
    </w:p>
    <w:p>
      <w:pPr>
        <w:pStyle w:val="ListBullet"/>
        <w:spacing w:after="60"/>
      </w:pPr>
      <w:r>
        <w:t>The slot has an uploaded object.</w:t>
      </w:r>
    </w:p>
    <w:p>
      <w:pPr>
        <w:pStyle w:val="ListBullet"/>
        <w:spacing w:after="60"/>
      </w:pPr>
      <w:r>
        <w:t>Probability is greater than 0.</w:t>
      </w:r>
    </w:p>
    <w:p>
      <w:pPr>
        <w:pStyle w:val="ListBullet"/>
        <w:spacing w:after="60"/>
      </w:pPr>
      <w:r>
        <w:t>The requesting application is selected for the slot.</w:t>
      </w:r>
    </w:p>
    <w:p>
      <w:r>
        <w:t>If the eligible probability values do not total 100 after application filtering, treat them as relative weights and normalize them for selection. Do not create a “no advertisement” gap simply because some globally weighted advertisements are assigned to other applications.</w:t>
      </w:r>
    </w:p>
    <w:p>
      <w:pPr>
        <w:pStyle w:val="Heading2"/>
      </w:pPr>
      <w:r>
        <w:t>9.2 Required examples</w:t>
      </w:r>
    </w:p>
    <w:tbl>
      <w:tblPr>
        <w:tblW w:type="auto" w:w="0"/>
        <w:jc w:val="center"/>
        <w:tblLayout w:type="fixed"/>
        <w:tblLook w:firstColumn="1" w:firstRow="1" w:lastColumn="0" w:lastRow="0" w:noHBand="0" w:noVBand="1" w:val="04A0"/>
      </w:tblPr>
      <w:tblGrid>
        <w:gridCol w:w="5112"/>
        <w:gridCol w:w="5112"/>
      </w:tblGrid>
      <w:tr>
        <w:trPr>
          <w:cantSplit/>
          <w:tblHeader w:val="true"/>
        </w:trPr>
        <w:tc>
          <w:tcPr>
            <w:tcW w:type="dxa" w:w="2592"/>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Configuration</w:t>
            </w:r>
          </w:p>
        </w:tc>
        <w:tc>
          <w:tcPr>
            <w:tcW w:type="dxa" w:w="6768"/>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Expected behavior</w:t>
            </w:r>
          </w:p>
        </w:tc>
      </w:tr>
      <w:tr>
        <w:trPr>
          <w:cantSplit/>
        </w:trPr>
        <w:tc>
          <w:tcPr>
            <w:tcW w:type="dxa" w:w="2592"/>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100 / 0 / ...</w:t>
            </w:r>
          </w:p>
        </w:tc>
        <w:tc>
          <w:tcPr>
            <w:tcW w:type="dxa" w:w="67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 01 is returned every time.</w:t>
            </w:r>
          </w:p>
        </w:tc>
      </w:tr>
      <w:tr>
        <w:trPr>
          <w:cantSplit/>
        </w:trPr>
        <w:tc>
          <w:tcPr>
            <w:tcW w:type="dxa" w:w="2592"/>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50 / 50</w:t>
            </w:r>
          </w:p>
        </w:tc>
        <w:tc>
          <w:tcPr>
            <w:tcW w:type="dxa" w:w="67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 01, then 02, then 01, then 02; use slot number as the tie-breaker for the first selection.</w:t>
            </w:r>
          </w:p>
        </w:tc>
      </w:tr>
      <w:tr>
        <w:trPr>
          <w:cantSplit/>
        </w:trPr>
        <w:tc>
          <w:tcPr>
            <w:tcW w:type="dxa" w:w="2592"/>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30 / 70</w:t>
            </w:r>
          </w:p>
        </w:tc>
        <w:tc>
          <w:tcPr>
            <w:tcW w:type="dxa" w:w="67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Over ten selections, approximately three are slot 01 and seven are slot 02, distributed through the sequence.</w:t>
            </w:r>
          </w:p>
        </w:tc>
      </w:tr>
    </w:tbl>
    <w:p>
      <w:pPr>
        <w:spacing w:after="0"/>
      </w:pPr>
    </w:p>
    <w:p>
      <w:pPr>
        <w:pStyle w:val="Heading2"/>
      </w:pPr>
      <w:r>
        <w:t>9.3 Rotation state</w:t>
      </w:r>
    </w:p>
    <w:p>
      <w:r>
        <w:t>Persist rotation state separately for each device and application so that one application or device does not change another one’s sequence.</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Rotation key = DeviceIdentifier + ApplicationId</w:t>
            </w:r>
            <w:r>
              <w:br/>
            </w:r>
            <w:r>
              <w:rPr>
                <w:rFonts w:ascii="Consolas" w:hAnsi="Consolas"/>
                <w:color w:val="1C2430"/>
                <w:sz w:val="18"/>
              </w:rPr>
            </w:r>
            <w:r>
              <w:br/>
            </w:r>
            <w:r>
              <w:rPr>
                <w:rFonts w:ascii="Consolas" w:hAnsi="Consolas"/>
                <w:color w:val="1C2430"/>
                <w:sz w:val="18"/>
              </w:rPr>
              <w:t>Examples:</w:t>
            </w:r>
            <w:r>
              <w:br/>
            </w:r>
            <w:r>
              <w:rPr>
                <w:rFonts w:ascii="Consolas" w:hAnsi="Consolas"/>
                <w:color w:val="1C2430"/>
                <w:sz w:val="18"/>
              </w:rPr>
              <w:t>DEVICE-123 + GML Diagrams</w:t>
            </w:r>
            <w:r>
              <w:br/>
            </w:r>
            <w:r>
              <w:rPr>
                <w:rFonts w:ascii="Consolas" w:hAnsi="Consolas"/>
                <w:color w:val="1C2430"/>
                <w:sz w:val="18"/>
              </w:rPr>
              <w:t>DEVICE-123 + GML Exam Engine</w:t>
            </w:r>
            <w:r>
              <w:br/>
            </w:r>
            <w:r>
              <w:rPr>
                <w:rFonts w:ascii="Consolas" w:hAnsi="Consolas"/>
                <w:color w:val="1C2430"/>
                <w:sz w:val="18"/>
              </w:rPr>
              <w:t>DEVICE-456 + GML Diagrams</w:t>
            </w:r>
          </w:p>
        </w:tc>
      </w:tr>
    </w:tbl>
    <w:p>
      <w:pPr>
        <w:spacing w:after="0"/>
      </w:pPr>
    </w:p>
    <w:p>
      <w:pPr>
        <w:pStyle w:val="ListBullet"/>
        <w:spacing w:after="60"/>
      </w:pPr>
      <w:r>
        <w:t>Use the lowest slot number as the deterministic tie-breaker for a new state.</w:t>
      </w:r>
    </w:p>
    <w:p>
      <w:pPr>
        <w:pStyle w:val="ListBullet"/>
        <w:spacing w:after="60"/>
      </w:pPr>
      <w:r>
        <w:t>Increment an Advertisement Configuration Version whenever probabilities or application assignments change.</w:t>
      </w:r>
    </w:p>
    <w:p>
      <w:pPr>
        <w:pStyle w:val="ListBullet"/>
        <w:spacing w:after="60"/>
      </w:pPr>
      <w:r>
        <w:t>Reset or reinitialize rotation state when the configuration version changes.</w:t>
      </w:r>
    </w:p>
    <w:p>
      <w:pPr>
        <w:pStyle w:val="ListBullet"/>
        <w:spacing w:after="60"/>
      </w:pPr>
      <w:r>
        <w:t>The API returns exactly one advertisement per request.</w:t>
      </w:r>
    </w:p>
    <w:p>
      <w:pPr>
        <w:pStyle w:val="Heading1"/>
      </w:pPr>
      <w:r>
        <w:t>10. Backend API Requirements</w:t>
      </w:r>
    </w:p>
    <w:p>
      <w:r>
        <w:t>Exact route naming may follow the project’s conventions, but the following capabilities and security boundaries are mandatory.</w:t>
      </w:r>
    </w:p>
    <w:tbl>
      <w:tblPr>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1008"/>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5"/>
              </w:rPr>
              <w:t>Method</w:t>
            </w:r>
          </w:p>
        </w:tc>
        <w:tc>
          <w:tcPr>
            <w:tcW w:type="dxa" w:w="5184"/>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5"/>
              </w:rPr>
              <w:t>Endpoint</w:t>
            </w:r>
          </w:p>
        </w:tc>
        <w:tc>
          <w:tcPr>
            <w:tcW w:type="dxa" w:w="3168"/>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5"/>
              </w:rPr>
              <w:t>Purpose</w:t>
            </w:r>
          </w:p>
        </w:tc>
      </w:tr>
      <w:tr>
        <w:trPr>
          <w:cantSplit/>
        </w:trPr>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GET</w:t>
            </w:r>
          </w:p>
        </w:tc>
        <w:tc>
          <w:tcPr>
            <w:tcW w:type="dxa" w:w="518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/api/admin/cloudflare/status</w:t>
            </w:r>
          </w:p>
        </w:tc>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Connection and non-secret configuration status</w:t>
            </w:r>
          </w:p>
        </w:tc>
      </w:tr>
      <w:tr>
        <w:trPr>
          <w:cantSplit/>
        </w:trPr>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GET</w:t>
            </w:r>
          </w:p>
        </w:tc>
        <w:tc>
          <w:tcPr>
            <w:tcW w:type="dxa" w:w="518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/api/admin/cloudflare/gml-diagrams/files</w:t>
            </w:r>
          </w:p>
        </w:tc>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List Diagrams objects by prefix</w:t>
            </w:r>
          </w:p>
        </w:tc>
      </w:tr>
      <w:tr>
        <w:trPr>
          <w:cantSplit/>
        </w:trPr>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POST</w:t>
            </w:r>
          </w:p>
        </w:tc>
        <w:tc>
          <w:tcPr>
            <w:tcW w:type="dxa" w:w="518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/api/admin/cloudflare/gml-diagrams/files</w:t>
            </w:r>
          </w:p>
        </w:tc>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Upload a new Diagrams object</w:t>
            </w:r>
          </w:p>
        </w:tc>
      </w:tr>
      <w:tr>
        <w:trPr>
          <w:cantSplit/>
        </w:trPr>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PUT</w:t>
            </w:r>
          </w:p>
        </w:tc>
        <w:tc>
          <w:tcPr>
            <w:tcW w:type="dxa" w:w="518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/api/admin/cloudflare/gml-diagrams/files/replace</w:t>
            </w:r>
          </w:p>
        </w:tc>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Replace an existing Diagrams object</w:t>
            </w:r>
          </w:p>
        </w:tc>
      </w:tr>
      <w:tr>
        <w:trPr>
          <w:cantSplit/>
        </w:trPr>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DELETE</w:t>
            </w:r>
          </w:p>
        </w:tc>
        <w:tc>
          <w:tcPr>
            <w:tcW w:type="dxa" w:w="518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/api/admin/cloudflare/gml-diagrams/files</w:t>
            </w:r>
          </w:p>
        </w:tc>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Delete a Diagrams object</w:t>
            </w:r>
          </w:p>
        </w:tc>
      </w:tr>
      <w:tr>
        <w:trPr>
          <w:cantSplit/>
        </w:trPr>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GET</w:t>
            </w:r>
          </w:p>
        </w:tc>
        <w:tc>
          <w:tcPr>
            <w:tcW w:type="dxa" w:w="518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/api/admin/cloudflare/gml-exam-engine/files</w:t>
            </w:r>
          </w:p>
        </w:tc>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List Exam Engine objects by prefix</w:t>
            </w:r>
          </w:p>
        </w:tc>
      </w:tr>
      <w:tr>
        <w:trPr>
          <w:cantSplit/>
        </w:trPr>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POST</w:t>
            </w:r>
          </w:p>
        </w:tc>
        <w:tc>
          <w:tcPr>
            <w:tcW w:type="dxa" w:w="518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/api/admin/cloudflare/gml-exam-engine/files</w:t>
            </w:r>
          </w:p>
        </w:tc>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Upload a new Exam Engine object</w:t>
            </w:r>
          </w:p>
        </w:tc>
      </w:tr>
      <w:tr>
        <w:trPr>
          <w:cantSplit/>
        </w:trPr>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PUT</w:t>
            </w:r>
          </w:p>
        </w:tc>
        <w:tc>
          <w:tcPr>
            <w:tcW w:type="dxa" w:w="518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/api/admin/cloudflare/gml-exam-engine/files/replace</w:t>
            </w:r>
          </w:p>
        </w:tc>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Replace an existing Exam Engine object</w:t>
            </w:r>
          </w:p>
        </w:tc>
      </w:tr>
      <w:tr>
        <w:trPr>
          <w:cantSplit/>
        </w:trPr>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DELETE</w:t>
            </w:r>
          </w:p>
        </w:tc>
        <w:tc>
          <w:tcPr>
            <w:tcW w:type="dxa" w:w="518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/api/admin/cloudflare/gml-exam-engine/files</w:t>
            </w:r>
          </w:p>
        </w:tc>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Delete an Exam Engine object</w:t>
            </w:r>
          </w:p>
        </w:tc>
      </w:tr>
      <w:tr>
        <w:trPr>
          <w:cantSplit/>
        </w:trPr>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GET</w:t>
            </w:r>
          </w:p>
        </w:tc>
        <w:tc>
          <w:tcPr>
            <w:tcW w:type="dxa" w:w="518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/api/admin/cloudflare/advertisements</w:t>
            </w:r>
          </w:p>
        </w:tc>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Return all 20 slot records</w:t>
            </w:r>
          </w:p>
        </w:tc>
      </w:tr>
      <w:tr>
        <w:trPr>
          <w:cantSplit/>
        </w:trPr>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POST</w:t>
            </w:r>
          </w:p>
        </w:tc>
        <w:tc>
          <w:tcPr>
            <w:tcW w:type="dxa" w:w="518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/api/admin/cloudflare/advertisements/{slot}/replace</w:t>
            </w:r>
          </w:p>
        </w:tc>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Upload or replace a fixed advertisement slot</w:t>
            </w:r>
          </w:p>
        </w:tc>
      </w:tr>
      <w:tr>
        <w:trPr>
          <w:cantSplit/>
        </w:trPr>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PUT</w:t>
            </w:r>
          </w:p>
        </w:tc>
        <w:tc>
          <w:tcPr>
            <w:tcW w:type="dxa" w:w="518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/api/admin/cloudflare/advertisements/configuration</w:t>
            </w:r>
          </w:p>
        </w:tc>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Atomically save weights and assignments</w:t>
            </w:r>
          </w:p>
        </w:tc>
      </w:tr>
      <w:tr>
        <w:trPr>
          <w:cantSplit/>
        </w:trPr>
        <w:tc>
          <w:tcPr>
            <w:tcW w:type="dxa" w:w="100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POST</w:t>
            </w:r>
          </w:p>
        </w:tc>
        <w:tc>
          <w:tcPr>
            <w:tcW w:type="dxa" w:w="5184"/>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/api/admin/cloudflare/purge</w:t>
            </w:r>
          </w:p>
        </w:tc>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Retry exact-URL purge without re-uploading</w:t>
            </w:r>
          </w:p>
        </w:tc>
      </w:tr>
      <w:tr>
        <w:trPr>
          <w:cantSplit/>
        </w:trPr>
        <w:tc>
          <w:tcPr>
            <w:tcW w:type="dxa" w:w="100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GET</w:t>
            </w:r>
          </w:p>
        </w:tc>
        <w:tc>
          <w:tcPr>
            <w:tcW w:type="dxa" w:w="5184"/>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/api/desktop/advertisements/next</w:t>
            </w:r>
          </w:p>
        </w:tc>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Return the next eligible advertisement</w:t>
            </w:r>
          </w:p>
        </w:tc>
      </w:tr>
    </w:tbl>
    <w:p>
      <w:pPr>
        <w:spacing w:after="0"/>
      </w:pPr>
    </w:p>
    <w:p>
      <w:pPr>
        <w:pStyle w:val="Heading2"/>
      </w:pPr>
      <w:r>
        <w:t>10.1 Desktop advertisement response</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w:t>
            </w:r>
            <w:r>
              <w:br/>
            </w:r>
            <w:r>
              <w:rPr>
                <w:rFonts w:ascii="Consolas" w:hAnsi="Consolas"/>
                <w:color w:val="1C2430"/>
                <w:sz w:val="18"/>
              </w:rPr>
              <w:t xml:space="preserve">  "success": true,</w:t>
            </w:r>
            <w:r>
              <w:br/>
            </w:r>
            <w:r>
              <w:rPr>
                <w:rFonts w:ascii="Consolas" w:hAnsi="Consolas"/>
                <w:color w:val="1C2430"/>
                <w:sz w:val="18"/>
              </w:rPr>
              <w:t xml:space="preserve">  "advertisementId": 2,</w:t>
            </w:r>
            <w:r>
              <w:br/>
            </w:r>
            <w:r>
              <w:rPr>
                <w:rFonts w:ascii="Consolas" w:hAnsi="Consolas"/>
                <w:color w:val="1C2430"/>
                <w:sz w:val="18"/>
              </w:rPr>
              <w:t xml:space="preserve">  "advertisementSlot": "Advertisement-02",</w:t>
            </w:r>
            <w:r>
              <w:br/>
            </w:r>
            <w:r>
              <w:rPr>
                <w:rFonts w:ascii="Consolas" w:hAnsi="Consolas"/>
                <w:color w:val="1C2430"/>
                <w:sz w:val="18"/>
              </w:rPr>
              <w:t xml:space="preserve">  "cdnUrl": "https://cdn.grademylabs.com/GML-SmarterASP/Advertisements/Advertisement-02.webp",</w:t>
            </w:r>
            <w:r>
              <w:br/>
            </w:r>
            <w:r>
              <w:rPr>
                <w:rFonts w:ascii="Consolas" w:hAnsi="Consolas"/>
                <w:color w:val="1C2430"/>
                <w:sz w:val="18"/>
              </w:rPr>
              <w:t xml:space="preserve">  "contentType": "image/webp",</w:t>
            </w:r>
            <w:r>
              <w:br/>
            </w:r>
            <w:r>
              <w:rPr>
                <w:rFonts w:ascii="Consolas" w:hAnsi="Consolas"/>
                <w:color w:val="1C2430"/>
                <w:sz w:val="18"/>
              </w:rPr>
              <w:t xml:space="preserve">  "configurationVersion": 14</w:t>
            </w:r>
            <w:r>
              <w:br/>
            </w:r>
            <w:r>
              <w:rPr>
                <w:rFonts w:ascii="Consolas" w:hAnsi="Consolas"/>
                <w:color w:val="1C2430"/>
                <w:sz w:val="18"/>
              </w:rPr>
              <w:t>}</w:t>
            </w:r>
          </w:p>
        </w:tc>
      </w:tr>
    </w:tbl>
    <w:p>
      <w:pPr>
        <w:spacing w:after="0"/>
      </w:pPr>
    </w:p>
    <w:p>
      <w:r>
        <w:t>The desktop endpoint must authenticate or validate the product key and device according to the existing desktop API rules. It must not return R2 credentials, internal bucket endpoints, unrelated advertisements, or the full advertisement list.</w:t>
      </w:r>
    </w:p>
    <w:p>
      <w:pPr>
        <w:pStyle w:val="Heading2"/>
      </w:pPr>
      <w:r>
        <w:t>10.2 Object-key safety</w:t>
      </w:r>
    </w:p>
    <w:p>
      <w:pPr>
        <w:pStyle w:val="ListBullet"/>
        <w:spacing w:after="60"/>
      </w:pPr>
      <w:r>
        <w:t>The backend determines the allowed prefix from the endpoint or category; the browser cannot supply an arbitrary bucket or unrestricted prefix.</w:t>
      </w:r>
    </w:p>
    <w:p>
      <w:pPr>
        <w:pStyle w:val="ListBullet"/>
        <w:spacing w:after="60"/>
      </w:pPr>
      <w:r>
        <w:t>Reject path traversal, control characters, absolute URLs, and keys outside the allowed prefix.</w:t>
      </w:r>
    </w:p>
    <w:p>
      <w:pPr>
        <w:pStyle w:val="ListBullet"/>
        <w:spacing w:after="60"/>
      </w:pPr>
      <w:r>
        <w:t>For Replace, use the stored existing key rather than accepting a new key from the client.</w:t>
      </w:r>
    </w:p>
    <w:p>
      <w:pPr>
        <w:pStyle w:val="Heading1"/>
      </w:pPr>
      <w:r>
        <w:t>11. Database Requirements</w:t>
      </w:r>
    </w:p>
    <w:tbl>
      <w:tblPr>
        <w:tblW w:type="auto" w:w="0"/>
        <w:jc w:val="center"/>
        <w:tblLayout w:type="fixed"/>
        <w:tblLook w:firstColumn="1" w:firstRow="1" w:lastColumn="0" w:lastRow="0" w:noHBand="0" w:noVBand="1" w:val="04A0"/>
      </w:tblPr>
      <w:tblGrid>
        <w:gridCol w:w="5112"/>
        <w:gridCol w:w="5112"/>
      </w:tblGrid>
      <w:tr>
        <w:trPr>
          <w:cantSplit/>
          <w:tblHeader w:val="true"/>
        </w:trPr>
        <w:tc>
          <w:tcPr>
            <w:tcW w:type="dxa" w:w="3168"/>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Table</w:t>
            </w:r>
          </w:p>
        </w:tc>
        <w:tc>
          <w:tcPr>
            <w:tcW w:type="dxa" w:w="6192"/>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Purpose</w:t>
            </w:r>
          </w:p>
        </w:tc>
      </w:tr>
      <w:tr>
        <w:trPr>
          <w:cantSplit/>
        </w:trPr>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AdvertisementSlots</w:t>
            </w:r>
          </w:p>
        </w:tc>
        <w:tc>
          <w:tcPr>
            <w:tcW w:type="dxa" w:w="6192"/>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20 immutable slot records, probability, object metadata, upload status</w:t>
            </w:r>
          </w:p>
        </w:tc>
      </w:tr>
      <w:tr>
        <w:trPr>
          <w:cantSplit/>
        </w:trPr>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AdvertisementApplications</w:t>
            </w:r>
          </w:p>
        </w:tc>
        <w:tc>
          <w:tcPr>
            <w:tcW w:type="dxa" w:w="6192"/>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Many-to-many mapping between slots and applications</w:t>
            </w:r>
          </w:p>
        </w:tc>
      </w:tr>
      <w:tr>
        <w:trPr>
          <w:cantSplit/>
        </w:trPr>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AdvertisementConfiguration</w:t>
            </w:r>
          </w:p>
        </w:tc>
        <w:tc>
          <w:tcPr>
            <w:tcW w:type="dxa" w:w="6192"/>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Configuration version, total probability, updater, timestamp</w:t>
            </w:r>
          </w:p>
        </w:tc>
      </w:tr>
      <w:tr>
        <w:trPr>
          <w:cantSplit/>
        </w:trPr>
        <w:tc>
          <w:tcPr>
            <w:tcW w:type="dxa" w:w="3168"/>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AdvertisementRotationState</w:t>
            </w:r>
          </w:p>
        </w:tc>
        <w:tc>
          <w:tcPr>
            <w:tcW w:type="dxa" w:w="6192"/>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Per-device, per-application weighted rotation state</w:t>
            </w:r>
          </w:p>
        </w:tc>
      </w:tr>
      <w:tr>
        <w:trPr>
          <w:cantSplit/>
        </w:trPr>
        <w:tc>
          <w:tcPr>
            <w:tcW w:type="dxa" w:w="3168"/>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CloudStorageAuditLog</w:t>
            </w:r>
          </w:p>
        </w:tc>
        <w:tc>
          <w:tcPr>
            <w:tcW w:type="dxa" w:w="6192"/>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Upload, replace, delete, purge, and configuration audit records</w:t>
            </w:r>
          </w:p>
        </w:tc>
      </w:tr>
    </w:tbl>
    <w:p>
      <w:pPr>
        <w:spacing w:after="0"/>
      </w:pPr>
    </w:p>
    <w:p>
      <w:pPr>
        <w:pStyle w:val="Heading2"/>
      </w:pPr>
      <w:r>
        <w:t>11.1 AdvertisementSlots fields</w:t>
      </w:r>
    </w:p>
    <w:tbl>
      <w:tblPr>
        <w:tblW w:type="auto" w:w="0"/>
        <w:jc w:val="center"/>
        <w:tblLayout w:type="fixed"/>
        <w:tblLook w:firstColumn="1" w:firstRow="1" w:lastColumn="0" w:lastRow="0" w:noHBand="0" w:noVBand="1" w:val="04A0"/>
      </w:tblPr>
      <w:tblGrid>
        <w:gridCol w:w="5112"/>
        <w:gridCol w:w="5112"/>
      </w:tblGrid>
      <w:tr>
        <w:trPr>
          <w:cantSplit/>
          <w:tblHeader w:val="true"/>
        </w:trPr>
        <w:tc>
          <w:tcPr>
            <w:tcW w:type="dxa" w:w="360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Field</w:t>
            </w:r>
          </w:p>
        </w:tc>
        <w:tc>
          <w:tcPr>
            <w:tcW w:type="dxa" w:w="576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Requirement</w:t>
            </w:r>
          </w:p>
        </w:tc>
      </w:tr>
      <w:tr>
        <w:trPr>
          <w:cantSplit/>
        </w:trPr>
        <w:tc>
          <w:tcPr>
            <w:tcW w:type="dxa" w:w="36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Id</w:t>
            </w:r>
          </w:p>
        </w:tc>
        <w:tc>
          <w:tcPr>
            <w:tcW w:type="dxa" w:w="57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Primary key</w:t>
            </w:r>
          </w:p>
        </w:tc>
      </w:tr>
      <w:tr>
        <w:trPr>
          <w:cantSplit/>
        </w:trPr>
        <w:tc>
          <w:tcPr>
            <w:tcW w:type="dxa" w:w="36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SlotNumber</w:t>
            </w:r>
          </w:p>
        </w:tc>
        <w:tc>
          <w:tcPr>
            <w:tcW w:type="dxa" w:w="57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Unique integer 1–20</w:t>
            </w:r>
          </w:p>
        </w:tc>
      </w:tr>
      <w:tr>
        <w:trPr>
          <w:cantSplit/>
        </w:trPr>
        <w:tc>
          <w:tcPr>
            <w:tcW w:type="dxa" w:w="36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DisplayName</w:t>
            </w:r>
          </w:p>
        </w:tc>
        <w:tc>
          <w:tcPr>
            <w:tcW w:type="dxa" w:w="57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 01–20</w:t>
            </w:r>
          </w:p>
        </w:tc>
      </w:tr>
      <w:tr>
        <w:trPr>
          <w:cantSplit/>
        </w:trPr>
        <w:tc>
          <w:tcPr>
            <w:tcW w:type="dxa" w:w="36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ObjectKey</w:t>
            </w:r>
          </w:p>
        </w:tc>
        <w:tc>
          <w:tcPr>
            <w:tcW w:type="dxa" w:w="57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Unique immutable R2 key</w:t>
            </w:r>
          </w:p>
        </w:tc>
      </w:tr>
      <w:tr>
        <w:trPr>
          <w:cantSplit/>
        </w:trPr>
        <w:tc>
          <w:tcPr>
            <w:tcW w:type="dxa" w:w="36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Probability</w:t>
            </w:r>
          </w:p>
        </w:tc>
        <w:tc>
          <w:tcPr>
            <w:tcW w:type="dxa" w:w="57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Integer 0–100</w:t>
            </w:r>
          </w:p>
        </w:tc>
      </w:tr>
      <w:tr>
        <w:trPr>
          <w:cantSplit/>
        </w:trPr>
        <w:tc>
          <w:tcPr>
            <w:tcW w:type="dxa" w:w="36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IsUploaded</w:t>
            </w:r>
          </w:p>
        </w:tc>
        <w:tc>
          <w:tcPr>
            <w:tcW w:type="dxa" w:w="57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Whether the R2 object exists</w:t>
            </w:r>
          </w:p>
        </w:tc>
      </w:tr>
      <w:tr>
        <w:trPr>
          <w:cantSplit/>
        </w:trPr>
        <w:tc>
          <w:tcPr>
            <w:tcW w:type="dxa" w:w="36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ContentType / FileSize / ETag</w:t>
            </w:r>
          </w:p>
        </w:tc>
        <w:tc>
          <w:tcPr>
            <w:tcW w:type="dxa" w:w="57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Current R2 metadata</w:t>
            </w:r>
          </w:p>
        </w:tc>
      </w:tr>
      <w:tr>
        <w:trPr>
          <w:cantSplit/>
        </w:trPr>
        <w:tc>
          <w:tcPr>
            <w:tcW w:type="dxa" w:w="36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LastReplacedAt / LastReplacedBy</w:t>
            </w:r>
          </w:p>
        </w:tc>
        <w:tc>
          <w:tcPr>
            <w:tcW w:type="dxa" w:w="57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Replacement audit fields</w:t>
            </w:r>
          </w:p>
        </w:tc>
      </w:tr>
      <w:tr>
        <w:trPr>
          <w:cantSplit/>
        </w:trPr>
        <w:tc>
          <w:tcPr>
            <w:tcW w:type="dxa" w:w="36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UpdatedAt</w:t>
            </w:r>
          </w:p>
        </w:tc>
        <w:tc>
          <w:tcPr>
            <w:tcW w:type="dxa" w:w="57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Last configuration update</w:t>
            </w:r>
          </w:p>
        </w:tc>
      </w:tr>
    </w:tbl>
    <w:p>
      <w:pPr>
        <w:spacing w:after="0"/>
      </w:pPr>
    </w:p>
    <w:p>
      <w:pPr>
        <w:pStyle w:val="Heading2"/>
      </w:pPr>
      <w:r>
        <w:t>11.2 AdvertisementApplications fields</w:t>
      </w:r>
    </w:p>
    <w:p>
      <w:pPr>
        <w:pStyle w:val="ListBullet"/>
        <w:spacing w:after="60"/>
      </w:pPr>
      <w:r>
        <w:t>AdvertisementSlotId</w:t>
      </w:r>
    </w:p>
    <w:p>
      <w:pPr>
        <w:pStyle w:val="ListBullet"/>
        <w:spacing w:after="60"/>
      </w:pPr>
      <w:r>
        <w:t>ApplicationId</w:t>
      </w:r>
    </w:p>
    <w:p>
      <w:pPr>
        <w:pStyle w:val="ListBullet"/>
        <w:spacing w:after="60"/>
      </w:pPr>
      <w:r>
        <w:t>IsEnabled</w:t>
      </w:r>
    </w:p>
    <w:p>
      <w:pPr>
        <w:pStyle w:val="ListBullet"/>
        <w:spacing w:after="60"/>
      </w:pPr>
      <w:r>
        <w:t>Unique constraint on AdvertisementSlotId + ApplicationId</w:t>
      </w:r>
    </w:p>
    <w:p>
      <w:pPr>
        <w:pStyle w:val="Heading2"/>
      </w:pPr>
      <w:r>
        <w:t>11.3 AdvertisementRotationState fields</w:t>
      </w:r>
    </w:p>
    <w:p>
      <w:pPr>
        <w:pStyle w:val="ListBullet"/>
        <w:spacing w:after="60"/>
      </w:pPr>
      <w:r>
        <w:t>DeviceIdentifier</w:t>
      </w:r>
    </w:p>
    <w:p>
      <w:pPr>
        <w:pStyle w:val="ListBullet"/>
        <w:spacing w:after="60"/>
      </w:pPr>
      <w:r>
        <w:t>ApplicationId</w:t>
      </w:r>
    </w:p>
    <w:p>
      <w:pPr>
        <w:pStyle w:val="ListBullet"/>
        <w:spacing w:after="60"/>
      </w:pPr>
      <w:r>
        <w:t>Current scheduler state or per-slot current weights</w:t>
      </w:r>
    </w:p>
    <w:p>
      <w:pPr>
        <w:pStyle w:val="ListBullet"/>
        <w:spacing w:after="60"/>
      </w:pPr>
      <w:r>
        <w:t>ConfigurationVersion</w:t>
      </w:r>
    </w:p>
    <w:p>
      <w:pPr>
        <w:pStyle w:val="ListBullet"/>
        <w:spacing w:after="60"/>
      </w:pPr>
      <w:r>
        <w:t>UpdatedAt</w:t>
      </w:r>
    </w:p>
    <w:p>
      <w:pPr>
        <w:pStyle w:val="ListBullet"/>
        <w:spacing w:after="60"/>
      </w:pPr>
      <w:r>
        <w:t>Unique constraint on DeviceIdentifier + ApplicationId</w:t>
      </w:r>
    </w:p>
    <w:p>
      <w:pPr>
        <w:pStyle w:val="Heading2"/>
      </w:pPr>
      <w:r>
        <w:t>11.4 CloudStorageAuditLog fields</w:t>
      </w:r>
    </w:p>
    <w:p>
      <w:pPr>
        <w:pStyle w:val="ListBullet"/>
        <w:spacing w:after="60"/>
      </w:pPr>
      <w:r>
        <w:t>AdministratorId or system actor</w:t>
      </w:r>
    </w:p>
    <w:p>
      <w:pPr>
        <w:pStyle w:val="ListBullet"/>
        <w:spacing w:after="60"/>
      </w:pPr>
      <w:r>
        <w:t>Operation: Upload, Replace, Delete, Purge, RetryPurge, ConfigurationUpdate</w:t>
      </w:r>
    </w:p>
    <w:p>
      <w:pPr>
        <w:pStyle w:val="ListBullet"/>
        <w:spacing w:after="60"/>
      </w:pPr>
      <w:r>
        <w:t>Category: GML Diagrams, GML Exam Engine, Advertisement</w:t>
      </w:r>
    </w:p>
    <w:p>
      <w:pPr>
        <w:pStyle w:val="ListBullet"/>
        <w:spacing w:after="60"/>
      </w:pPr>
      <w:r>
        <w:t>ObjectKey and CDN URL</w:t>
      </w:r>
    </w:p>
    <w:p>
      <w:pPr>
        <w:pStyle w:val="ListBullet"/>
        <w:spacing w:after="60"/>
      </w:pPr>
      <w:r>
        <w:t>OldETag and NewETag where available</w:t>
      </w:r>
    </w:p>
    <w:p>
      <w:pPr>
        <w:pStyle w:val="ListBullet"/>
        <w:spacing w:after="60"/>
      </w:pPr>
      <w:r>
        <w:t>Success, PartialSuccess, or Failure</w:t>
      </w:r>
    </w:p>
    <w:p>
      <w:pPr>
        <w:pStyle w:val="ListBullet"/>
        <w:spacing w:after="60"/>
      </w:pPr>
      <w:r>
        <w:t>Sanitized message and timestamp</w:t>
      </w:r>
    </w:p>
    <w:p>
      <w:pPr>
        <w:pStyle w:val="Heading1"/>
      </w:pPr>
      <w:r>
        <w:t>12. R2 and CDN Operation Flows</w:t>
      </w:r>
    </w:p>
    <w:p>
      <w:pPr>
        <w:pStyle w:val="Heading2"/>
      </w:pPr>
      <w:r>
        <w:t>12.1 Upload a new application file</w:t>
      </w:r>
    </w:p>
    <w:p>
      <w:pPr>
        <w:spacing w:after="60"/>
        <w:ind w:left="403" w:hanging="403"/>
      </w:pPr>
      <w:r>
        <w:rPr>
          <w:b/>
          <w:color w:val="17385D"/>
        </w:rPr>
        <w:t xml:space="preserve">1.  </w:t>
      </w:r>
      <w:r>
        <w:t>Authorize the administrator.</w:t>
      </w:r>
    </w:p>
    <w:p>
      <w:pPr>
        <w:spacing w:after="60"/>
        <w:ind w:left="403" w:hanging="403"/>
      </w:pPr>
      <w:r>
        <w:rPr>
          <w:b/>
          <w:color w:val="17385D"/>
        </w:rPr>
        <w:t xml:space="preserve">2.  </w:t>
      </w:r>
      <w:r>
        <w:t>Validate file metadata and determine the allowed prefix.</w:t>
      </w:r>
    </w:p>
    <w:p>
      <w:pPr>
        <w:spacing w:after="60"/>
        <w:ind w:left="403" w:hanging="403"/>
      </w:pPr>
      <w:r>
        <w:rPr>
          <w:b/>
          <w:color w:val="17385D"/>
        </w:rPr>
        <w:t xml:space="preserve">3.  </w:t>
      </w:r>
      <w:r>
        <w:t>Ensure the target object key does not already exist unless replacement was explicitly selected.</w:t>
      </w:r>
    </w:p>
    <w:p>
      <w:pPr>
        <w:spacing w:after="60"/>
        <w:ind w:left="403" w:hanging="403"/>
      </w:pPr>
      <w:r>
        <w:rPr>
          <w:b/>
          <w:color w:val="17385D"/>
        </w:rPr>
        <w:t xml:space="preserve">4.  </w:t>
      </w:r>
      <w:r>
        <w:t>Upload to R2 and verify metadata.</w:t>
      </w:r>
    </w:p>
    <w:p>
      <w:pPr>
        <w:spacing w:after="60"/>
        <w:ind w:left="403" w:hanging="403"/>
      </w:pPr>
      <w:r>
        <w:rPr>
          <w:b/>
          <w:color w:val="17385D"/>
        </w:rPr>
        <w:t xml:space="preserve">5.  </w:t>
      </w:r>
      <w:r>
        <w:t>Construct the CDN URL from CDN base URL + object key.</w:t>
      </w:r>
    </w:p>
    <w:p>
      <w:pPr>
        <w:spacing w:after="60"/>
        <w:ind w:left="403" w:hanging="403"/>
      </w:pPr>
      <w:r>
        <w:rPr>
          <w:b/>
          <w:color w:val="17385D"/>
        </w:rPr>
        <w:t xml:space="preserve">6.  </w:t>
      </w:r>
      <w:r>
        <w:t>Write an audit record and return the file details.</w:t>
      </w:r>
    </w:p>
    <w:p>
      <w:pPr>
        <w:pStyle w:val="Heading2"/>
      </w:pPr>
      <w:r>
        <w:t>12.2 Replace an existing file or advertisement</w:t>
      </w:r>
    </w:p>
    <w:p>
      <w:pPr>
        <w:spacing w:after="60"/>
        <w:ind w:left="403" w:hanging="403"/>
      </w:pPr>
      <w:r>
        <w:rPr>
          <w:b/>
          <w:color w:val="17385D"/>
        </w:rPr>
        <w:t xml:space="preserve">1.  </w:t>
      </w:r>
      <w:r>
        <w:t>Load the existing object key from trusted server-side data.</w:t>
      </w:r>
    </w:p>
    <w:p>
      <w:pPr>
        <w:spacing w:after="60"/>
        <w:ind w:left="403" w:hanging="403"/>
      </w:pPr>
      <w:r>
        <w:rPr>
          <w:b/>
          <w:color w:val="17385D"/>
        </w:rPr>
        <w:t xml:space="preserve">2.  </w:t>
      </w:r>
      <w:r>
        <w:t>Validate the replacement file.</w:t>
      </w:r>
    </w:p>
    <w:p>
      <w:pPr>
        <w:spacing w:after="60"/>
        <w:ind w:left="403" w:hanging="403"/>
      </w:pPr>
      <w:r>
        <w:rPr>
          <w:b/>
          <w:color w:val="17385D"/>
        </w:rPr>
        <w:t xml:space="preserve">3.  </w:t>
      </w:r>
      <w:r>
        <w:t>Upload to the same object key.</w:t>
      </w:r>
    </w:p>
    <w:p>
      <w:pPr>
        <w:spacing w:after="60"/>
        <w:ind w:left="403" w:hanging="403"/>
      </w:pPr>
      <w:r>
        <w:rPr>
          <w:b/>
          <w:color w:val="17385D"/>
        </w:rPr>
        <w:t xml:space="preserve">4.  </w:t>
      </w:r>
      <w:r>
        <w:t>Verify object metadata or ETag.</w:t>
      </w:r>
    </w:p>
    <w:p>
      <w:pPr>
        <w:spacing w:after="60"/>
        <w:ind w:left="403" w:hanging="403"/>
      </w:pPr>
      <w:r>
        <w:rPr>
          <w:b/>
          <w:color w:val="17385D"/>
        </w:rPr>
        <w:t xml:space="preserve">5.  </w:t>
      </w:r>
      <w:r>
        <w:t>Purge the exact CDN URL.</w:t>
      </w:r>
    </w:p>
    <w:p>
      <w:pPr>
        <w:spacing w:after="60"/>
        <w:ind w:left="403" w:hanging="403"/>
      </w:pPr>
      <w:r>
        <w:rPr>
          <w:b/>
          <w:color w:val="17385D"/>
        </w:rPr>
        <w:t xml:space="preserve">6.  </w:t>
      </w:r>
      <w:r>
        <w:t>Update metadata, preview, and audit log.</w:t>
      </w:r>
    </w:p>
    <w:tbl>
      <w:tblPr>
        <w:tblW w:type="auto" w:w="0"/>
        <w:jc w:val="center"/>
        <w:tblLayout w:type="fixed"/>
        <w:tblLook w:firstColumn="1" w:firstRow="1" w:lastColumn="0" w:lastRow="0" w:noHBand="0" w:noVBand="1" w:val="04A0"/>
      </w:tblPr>
      <w:tblGrid>
        <w:gridCol w:w="216"/>
        <w:gridCol w:w="9432"/>
      </w:tblGrid>
      <w:tr>
        <w:trPr>
          <w:tblHeader w:val="true"/>
        </w:trPr>
        <w:tc>
          <w:tcPr>
            <w:tcW w:type="dxa" w:w="5112"/>
            <w:shd w:fill="9A6700"/>
            <w:tcBorders>
              <w:top w:val="single" w:sz="4" w:color="FFF6D8"/>
              <w:left w:val="single" w:sz="4" w:color="FFF6D8"/>
              <w:bottom w:val="single" w:sz="4" w:color="FFF6D8"/>
              <w:right w:val="single" w:sz="4" w:color="FFF6D8"/>
            </w:tcBorders>
          </w:tcPr>
          <w:p/>
        </w:tc>
        <w:tc>
          <w:tcPr>
            <w:tcW w:type="dxa" w:w="5112"/>
            <w:shd w:fill="FFF6D8"/>
            <w:tcBorders>
              <w:top w:val="single" w:sz="4" w:color="FFF6D8"/>
              <w:left w:val="single" w:sz="4" w:color="FFF6D8"/>
              <w:bottom w:val="single" w:sz="4" w:color="FFF6D8"/>
              <w:right w:val="single" w:sz="4" w:color="FFF6D8"/>
            </w:tcBorders>
            <w:tcMar>
              <w:top w:w="120" w:type="dxa"/>
              <w:start w:w="160" w:type="dxa"/>
              <w:bottom w:w="120" w:type="dxa"/>
              <w:end w:w="160" w:type="dxa"/>
            </w:tcMar>
          </w:tcPr>
          <w:p>
            <w:pPr>
              <w:spacing w:after="40"/>
            </w:pPr>
            <w:r>
              <w:rPr>
                <w:b/>
                <w:color w:val="9A6700"/>
                <w:sz w:val="21"/>
              </w:rPr>
              <w:t>Partial failure handling</w:t>
            </w:r>
          </w:p>
          <w:p>
            <w:pPr>
              <w:pStyle w:val="BodyText"/>
              <w:spacing w:after="0"/>
            </w:pPr>
            <w:r>
              <w:t>If R2 replacement succeeds but CDN purge fails, return Partial Success. Do not automatically roll back the object. Show Retry CDN Refresh and record the failure without exposing secrets.</w:t>
            </w:r>
          </w:p>
        </w:tc>
      </w:tr>
    </w:tbl>
    <w:p>
      <w:pPr>
        <w:spacing w:after="0"/>
      </w:pPr>
    </w:p>
    <w:p>
      <w:pPr>
        <w:pStyle w:val="Heading2"/>
      </w:pPr>
      <w:r>
        <w:t>12.3 Delete an application file</w:t>
      </w:r>
    </w:p>
    <w:p>
      <w:pPr>
        <w:spacing w:after="60"/>
        <w:ind w:left="403" w:hanging="403"/>
      </w:pPr>
      <w:r>
        <w:rPr>
          <w:b/>
          <w:color w:val="17385D"/>
        </w:rPr>
        <w:t xml:space="preserve">1.  </w:t>
      </w:r>
      <w:r>
        <w:t>Authorize and confirm the destructive operation.</w:t>
      </w:r>
    </w:p>
    <w:p>
      <w:pPr>
        <w:spacing w:after="60"/>
        <w:ind w:left="403" w:hanging="403"/>
      </w:pPr>
      <w:r>
        <w:rPr>
          <w:b/>
          <w:color w:val="17385D"/>
        </w:rPr>
        <w:t xml:space="preserve">2.  </w:t>
      </w:r>
      <w:r>
        <w:t>Check active references and warn if the object is in use.</w:t>
      </w:r>
    </w:p>
    <w:p>
      <w:pPr>
        <w:spacing w:after="60"/>
        <w:ind w:left="403" w:hanging="403"/>
      </w:pPr>
      <w:r>
        <w:rPr>
          <w:b/>
          <w:color w:val="17385D"/>
        </w:rPr>
        <w:t xml:space="preserve">3.  </w:t>
      </w:r>
      <w:r>
        <w:t>Delete the R2 object.</w:t>
      </w:r>
    </w:p>
    <w:p>
      <w:pPr>
        <w:spacing w:after="60"/>
        <w:ind w:left="403" w:hanging="403"/>
      </w:pPr>
      <w:r>
        <w:rPr>
          <w:b/>
          <w:color w:val="17385D"/>
        </w:rPr>
        <w:t xml:space="preserve">4.  </w:t>
      </w:r>
      <w:r>
        <w:t>Purge the exact CDN URL.</w:t>
      </w:r>
    </w:p>
    <w:p>
      <w:pPr>
        <w:spacing w:after="60"/>
        <w:ind w:left="403" w:hanging="403"/>
      </w:pPr>
      <w:r>
        <w:rPr>
          <w:b/>
          <w:color w:val="17385D"/>
        </w:rPr>
        <w:t xml:space="preserve">5.  </w:t>
      </w:r>
      <w:r>
        <w:t>Update database references and audit log.</w:t>
      </w:r>
    </w:p>
    <w:p>
      <w:pPr>
        <w:pStyle w:val="Heading2"/>
      </w:pPr>
      <w:r>
        <w:t>12.4 Cache purge request</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POST /client/v4/zones/{zone_id}/purge_cache</w:t>
            </w:r>
            <w:r>
              <w:br/>
            </w:r>
            <w:r>
              <w:rPr>
                <w:rFonts w:ascii="Consolas" w:hAnsi="Consolas"/>
                <w:color w:val="1C2430"/>
                <w:sz w:val="18"/>
              </w:rPr>
              <w:t>Authorization: Bearer {CLOUDFLARE_CACHE_PURGE_TOKEN}</w:t>
            </w:r>
            <w:r>
              <w:br/>
            </w:r>
            <w:r>
              <w:rPr>
                <w:rFonts w:ascii="Consolas" w:hAnsi="Consolas"/>
                <w:color w:val="1C2430"/>
                <w:sz w:val="18"/>
              </w:rPr>
              <w:t>Content-Type: application/json</w:t>
            </w:r>
            <w:r>
              <w:br/>
            </w:r>
            <w:r>
              <w:rPr>
                <w:rFonts w:ascii="Consolas" w:hAnsi="Consolas"/>
                <w:color w:val="1C2430"/>
                <w:sz w:val="18"/>
              </w:rPr>
            </w:r>
            <w:r>
              <w:br/>
            </w:r>
            <w:r>
              <w:rPr>
                <w:rFonts w:ascii="Consolas" w:hAnsi="Consolas"/>
                <w:color w:val="1C2430"/>
                <w:sz w:val="18"/>
              </w:rPr>
              <w:t>{</w:t>
            </w:r>
            <w:r>
              <w:br/>
            </w:r>
            <w:r>
              <w:rPr>
                <w:rFonts w:ascii="Consolas" w:hAnsi="Consolas"/>
                <w:color w:val="1C2430"/>
                <w:sz w:val="18"/>
              </w:rPr>
              <w:t xml:space="preserve">  "files": [</w:t>
            </w:r>
            <w:r>
              <w:br/>
            </w:r>
            <w:r>
              <w:rPr>
                <w:rFonts w:ascii="Consolas" w:hAnsi="Consolas"/>
                <w:color w:val="1C2430"/>
                <w:sz w:val="18"/>
              </w:rPr>
              <w:t xml:space="preserve">    "https://cdn.grademylabs.com/GML-SmarterASP/Advertisements/Advertisement-04.webp"</w:t>
            </w:r>
            <w:r>
              <w:br/>
            </w:r>
            <w:r>
              <w:rPr>
                <w:rFonts w:ascii="Consolas" w:hAnsi="Consolas"/>
                <w:color w:val="1C2430"/>
                <w:sz w:val="18"/>
              </w:rPr>
              <w:t xml:space="preserve">  ]</w:t>
            </w:r>
            <w:r>
              <w:br/>
            </w:r>
            <w:r>
              <w:rPr>
                <w:rFonts w:ascii="Consolas" w:hAnsi="Consolas"/>
                <w:color w:val="1C2430"/>
                <w:sz w:val="18"/>
              </w:rPr>
              <w:t>}</w:t>
            </w:r>
          </w:p>
        </w:tc>
      </w:tr>
    </w:tbl>
    <w:p>
      <w:pPr>
        <w:spacing w:after="0"/>
      </w:pPr>
    </w:p>
    <w:p>
      <w:r>
        <w:t>Normal operations must purge only the affected URL. Do not use Purge Everything for routine upload, replacement, or deletion.</w:t>
      </w:r>
    </w:p>
    <w:p>
      <w:pPr>
        <w:pStyle w:val="Heading1"/>
      </w:pPr>
      <w:r>
        <w:t>13. Security, Validation, Audit, and Errors</w:t>
      </w:r>
    </w:p>
    <w:p>
      <w:pPr>
        <w:pStyle w:val="Heading2"/>
      </w:pPr>
      <w:r>
        <w:t>13.1 Security controls</w:t>
      </w:r>
    </w:p>
    <w:p>
      <w:pPr>
        <w:pStyle w:val="ListBullet"/>
        <w:spacing w:after="60"/>
      </w:pPr>
      <w:r>
        <w:t>Use least-privilege R2 credentials restricted to the intended bucket and object read/write operations.</w:t>
      </w:r>
    </w:p>
    <w:p>
      <w:pPr>
        <w:pStyle w:val="ListBullet"/>
        <w:spacing w:after="60"/>
      </w:pPr>
      <w:r>
        <w:t>Use a separate Cloudflare token restricted to Zone Cache Purge for the required zone.</w:t>
      </w:r>
    </w:p>
    <w:p>
      <w:pPr>
        <w:pStyle w:val="ListBullet"/>
        <w:spacing w:after="60"/>
      </w:pPr>
      <w:r>
        <w:t>Never send secrets to the browser, desktop clients, logs, telemetry, exception details, or audit records.</w:t>
      </w:r>
    </w:p>
    <w:p>
      <w:pPr>
        <w:pStyle w:val="ListBullet"/>
        <w:spacing w:after="60"/>
      </w:pPr>
      <w:r>
        <w:t>Protect admin endpoints against CSRF where cookie authentication is used.</w:t>
      </w:r>
    </w:p>
    <w:p>
      <w:pPr>
        <w:pStyle w:val="ListBullet"/>
        <w:spacing w:after="60"/>
      </w:pPr>
      <w:r>
        <w:t>Use server-side authorization for every operation.</w:t>
      </w:r>
    </w:p>
    <w:p>
      <w:pPr>
        <w:pStyle w:val="ListBullet"/>
        <w:spacing w:after="60"/>
      </w:pPr>
      <w:r>
        <w:t>Rate-limit or debounce repeated purge and connection-test requests.</w:t>
      </w:r>
    </w:p>
    <w:p>
      <w:pPr>
        <w:pStyle w:val="Heading2"/>
      </w:pPr>
      <w:r>
        <w:t>13.2 File validation</w:t>
      </w:r>
    </w:p>
    <w:tbl>
      <w:tblPr>
        <w:tblW w:type="auto" w:w="0"/>
        <w:jc w:val="center"/>
        <w:tblLayout w:type="fixed"/>
        <w:tblLook w:firstColumn="1" w:firstRow="1" w:lastColumn="0" w:lastRow="0" w:noHBand="0" w:noVBand="1" w:val="04A0"/>
      </w:tblPr>
      <w:tblGrid>
        <w:gridCol w:w="5112"/>
        <w:gridCol w:w="5112"/>
      </w:tblGrid>
      <w:tr>
        <w:trPr>
          <w:cantSplit/>
          <w:tblHeader w:val="true"/>
        </w:trPr>
        <w:tc>
          <w:tcPr>
            <w:tcW w:type="dxa" w:w="216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Area</w:t>
            </w:r>
          </w:p>
        </w:tc>
        <w:tc>
          <w:tcPr>
            <w:tcW w:type="dxa" w:w="7200"/>
            <w:shd w:fill="17385D"/>
            <w:tcMar>
              <w:top w:w="90" w:type="dxa"/>
              <w:start w:w="90" w:type="dxa"/>
              <w:bottom w:w="90" w:type="dxa"/>
              <w:end w:w="90" w:type="dxa"/>
            </w:tcMar>
            <w:vAlign w:val="center"/>
            <w:tcBorders>
              <w:top w:val="single" w:sz="4" w:color="CBD3DF"/>
              <w:left w:val="single" w:sz="4" w:color="CBD3DF"/>
              <w:bottom w:val="single" w:sz="4" w:color="CBD3DF"/>
              <w:right w:val="single" w:sz="4" w:color="CBD3DF"/>
            </w:tcBorders>
          </w:tcPr>
          <w:p>
            <w:pPr>
              <w:spacing w:after="0"/>
            </w:pPr>
            <w:r>
              <w:rPr>
                <w:b/>
                <w:color w:val="FFFFFF"/>
                <w:sz w:val="17"/>
              </w:rPr>
              <w:t>Validation</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Application files</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Configurable allowed extensions, MIME validation, maximum size, safe file names, and optional checksum</w:t>
            </w:r>
          </w:p>
        </w:tc>
      </w:tr>
      <w:tr>
        <w:trPr>
          <w:cantSplit/>
        </w:trPr>
        <w:tc>
          <w:tcPr>
            <w:tcW w:type="dxa" w:w="216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Advertisements</w:t>
            </w:r>
          </w:p>
        </w:tc>
        <w:tc>
          <w:tcPr>
            <w:tcW w:type="dxa" w:w="7200"/>
            <w:shd w:fill="F7F8FA"/>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Allow webp/png/jpg/jpeg; validate actual image content, dimensions, aspect ratio, and maximum size</w:t>
            </w:r>
          </w:p>
        </w:tc>
      </w:tr>
      <w:tr>
        <w:trPr>
          <w:cantSplit/>
        </w:trPr>
        <w:tc>
          <w:tcPr>
            <w:tcW w:type="dxa" w:w="216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All uploads</w:t>
            </w:r>
          </w:p>
        </w:tc>
        <w:tc>
          <w:tcPr>
            <w:tcW w:type="dxa" w:w="7200"/>
            <w:shd w:fill="FFFFFF"/>
            <w:tcMar>
              <w:top w:w="80" w:type="dxa"/>
              <w:start w:w="90" w:type="dxa"/>
              <w:bottom w:w="80" w:type="dxa"/>
              <w:end w:w="90" w:type="dxa"/>
            </w:tcMar>
            <w:vAlign w:val="center"/>
            <w:tcBorders>
              <w:top w:val="single" w:sz="4" w:color="CBD3DF"/>
              <w:left w:val="single" w:sz="4" w:color="CBD3DF"/>
              <w:bottom w:val="single" w:sz="4" w:color="CBD3DF"/>
              <w:right w:val="single" w:sz="4" w:color="CBD3DF"/>
            </w:tcBorders>
          </w:tcPr>
          <w:p>
            <w:pPr>
              <w:pStyle w:val="TableText"/>
              <w:spacing w:after="0"/>
            </w:pPr>
            <w:r>
              <w:t>Reject empty or corrupted files, unsafe keys, and mismatched content types</w:t>
            </w:r>
          </w:p>
        </w:tc>
      </w:tr>
    </w:tbl>
    <w:p>
      <w:pPr>
        <w:spacing w:after="0"/>
      </w:pPr>
    </w:p>
    <w:p>
      <w:pPr>
        <w:pStyle w:val="Heading2"/>
      </w:pPr>
      <w:r>
        <w:t>13.3 User-facing error states</w:t>
      </w:r>
    </w:p>
    <w:p>
      <w:pPr>
        <w:pStyle w:val="ListBullet"/>
        <w:spacing w:after="60"/>
      </w:pPr>
      <w:r>
        <w:t>Missing configuration: identify the missing variable name only if it is non-secret; never display its value.</w:t>
      </w:r>
    </w:p>
    <w:p>
      <w:pPr>
        <w:pStyle w:val="ListBullet"/>
        <w:spacing w:after="60"/>
      </w:pPr>
      <w:r>
        <w:t>R2 unavailable: preserve the page and allow retry.</w:t>
      </w:r>
    </w:p>
    <w:p>
      <w:pPr>
        <w:pStyle w:val="ListBullet"/>
        <w:spacing w:after="60"/>
      </w:pPr>
      <w:r>
        <w:t>Upload rejected: show the specific validation reason.</w:t>
      </w:r>
    </w:p>
    <w:p>
      <w:pPr>
        <w:pStyle w:val="ListBullet"/>
        <w:spacing w:after="60"/>
      </w:pPr>
      <w:r>
        <w:t>Purge failed after upload: show Partial Success and Retry CDN Refresh.</w:t>
      </w:r>
    </w:p>
    <w:p>
      <w:pPr>
        <w:pStyle w:val="ListBullet"/>
        <w:spacing w:after="60"/>
      </w:pPr>
      <w:r>
        <w:t>Probability total not 100: disable Save and show the current total.</w:t>
      </w:r>
    </w:p>
    <w:p>
      <w:pPr>
        <w:pStyle w:val="ListBullet"/>
        <w:spacing w:after="60"/>
      </w:pPr>
      <w:r>
        <w:t>No eligible advertisement for an application: show a configuration warning; the desktop API must return no advertisement safely rather than fail.</w:t>
      </w:r>
    </w:p>
    <w:p>
      <w:pPr>
        <w:pStyle w:val="Heading2"/>
      </w:pPr>
      <w:r>
        <w:t>13.4 Transaction boundaries</w:t>
      </w:r>
    </w:p>
    <w:p>
      <w:pPr>
        <w:pStyle w:val="ListBullet"/>
        <w:spacing w:after="60"/>
      </w:pPr>
      <w:r>
        <w:t>Save all 20 probabilities and application mappings in one database transaction.</w:t>
      </w:r>
    </w:p>
    <w:p>
      <w:pPr>
        <w:pStyle w:val="ListBullet"/>
        <w:spacing w:after="60"/>
      </w:pPr>
      <w:r>
        <w:t>Increment configuration version only after a successful transaction.</w:t>
      </w:r>
    </w:p>
    <w:p>
      <w:pPr>
        <w:pStyle w:val="ListBullet"/>
        <w:spacing w:after="60"/>
      </w:pPr>
      <w:r>
        <w:t>Do not claim full success until the required R2 operation completes.</w:t>
      </w:r>
    </w:p>
    <w:p>
      <w:pPr>
        <w:pStyle w:val="ListBullet"/>
        <w:spacing w:after="60"/>
      </w:pPr>
      <w:r>
        <w:t>Treat CDN purge as a separately reportable step so partial success is visible and retryable.</w:t>
      </w:r>
    </w:p>
    <w:p>
      <w:pPr>
        <w:pStyle w:val="Heading1"/>
      </w:pPr>
      <w:r>
        <w:t>14. Developer Acceptance Criteria</w:t>
      </w:r>
    </w:p>
    <w:p>
      <w:pPr>
        <w:spacing w:after="60"/>
        <w:ind w:left="144" w:hanging="72"/>
      </w:pPr>
      <w:r>
        <w:rPr>
          <w:b/>
          <w:color w:val="1769E0"/>
        </w:rPr>
        <w:t xml:space="preserve">☐ 1. </w:t>
      </w:r>
      <w:r>
        <w:t>Cloudflare and R2 credentials are loaded only from SmarterASP environment variables.</w:t>
      </w:r>
    </w:p>
    <w:p>
      <w:pPr>
        <w:spacing w:after="60"/>
        <w:ind w:left="144" w:hanging="72"/>
      </w:pPr>
      <w:r>
        <w:rPr>
          <w:b/>
          <w:color w:val="1769E0"/>
        </w:rPr>
        <w:t xml:space="preserve">☐ 2. </w:t>
      </w:r>
      <w:r>
        <w:t>No secret is exposed in HTML, JavaScript, API responses, logs, audit records, or desktop responses.</w:t>
      </w:r>
    </w:p>
    <w:p>
      <w:pPr>
        <w:spacing w:after="60"/>
        <w:ind w:left="144" w:hanging="72"/>
      </w:pPr>
      <w:r>
        <w:rPr>
          <w:b/>
          <w:color w:val="1769E0"/>
        </w:rPr>
        <w:t xml:space="preserve">☐ 3. </w:t>
      </w:r>
      <w:r>
        <w:t>The admin menu contains Global Settings &gt; Cloudflare Management with the three required tabs.</w:t>
      </w:r>
    </w:p>
    <w:p>
      <w:pPr>
        <w:spacing w:after="60"/>
        <w:ind w:left="144" w:hanging="72"/>
      </w:pPr>
      <w:r>
        <w:rPr>
          <w:b/>
          <w:color w:val="1769E0"/>
        </w:rPr>
        <w:t xml:space="preserve">☐ 4. </w:t>
      </w:r>
      <w:r>
        <w:t>GML Diagrams lists only objects under its required prefix.</w:t>
      </w:r>
    </w:p>
    <w:p>
      <w:pPr>
        <w:spacing w:after="60"/>
        <w:ind w:left="144" w:hanging="72"/>
      </w:pPr>
      <w:r>
        <w:rPr>
          <w:b/>
          <w:color w:val="1769E0"/>
        </w:rPr>
        <w:t xml:space="preserve">☐ 5. </w:t>
      </w:r>
      <w:r>
        <w:t>GML Exam Engine lists only objects under its required prefix.</w:t>
      </w:r>
    </w:p>
    <w:p>
      <w:pPr>
        <w:spacing w:after="60"/>
        <w:ind w:left="144" w:hanging="72"/>
      </w:pPr>
      <w:r>
        <w:rPr>
          <w:b/>
          <w:color w:val="1769E0"/>
        </w:rPr>
        <w:t xml:space="preserve">☐ 6. </w:t>
      </w:r>
      <w:r>
        <w:t>Application-file Replace keeps the same object key and CDN URL.</w:t>
      </w:r>
    </w:p>
    <w:p>
      <w:pPr>
        <w:spacing w:after="60"/>
        <w:ind w:left="144" w:hanging="72"/>
      </w:pPr>
      <w:r>
        <w:rPr>
          <w:b/>
          <w:color w:val="1769E0"/>
        </w:rPr>
        <w:t xml:space="preserve">☐ 7. </w:t>
      </w:r>
      <w:r>
        <w:t>Application-file Delete removes the object and purges the exact CDN URL.</w:t>
      </w:r>
    </w:p>
    <w:p>
      <w:pPr>
        <w:spacing w:after="60"/>
        <w:ind w:left="144" w:hanging="72"/>
      </w:pPr>
      <w:r>
        <w:rPr>
          <w:b/>
          <w:color w:val="1769E0"/>
        </w:rPr>
        <w:t xml:space="preserve">☐ 8. </w:t>
      </w:r>
      <w:r>
        <w:t>Advertisements displays exactly 20 fixed slots.</w:t>
      </w:r>
    </w:p>
    <w:p>
      <w:pPr>
        <w:spacing w:after="60"/>
        <w:ind w:left="144" w:hanging="72"/>
      </w:pPr>
      <w:r>
        <w:rPr>
          <w:b/>
          <w:color w:val="1769E0"/>
        </w:rPr>
        <w:t xml:space="preserve">☐ 9. </w:t>
      </w:r>
      <w:r>
        <w:t>Advertisement object keys are immutable and slots cannot be deleted.</w:t>
      </w:r>
    </w:p>
    <w:p>
      <w:pPr>
        <w:spacing w:after="60"/>
        <w:ind w:left="144" w:hanging="72"/>
      </w:pPr>
      <w:r>
        <w:rPr>
          <w:b/>
          <w:color w:val="1769E0"/>
        </w:rPr>
        <w:t xml:space="preserve">☐ 10. </w:t>
      </w:r>
      <w:r>
        <w:t>An empty advertisement slot shows Upload; an occupied slot shows Replace only.</w:t>
      </w:r>
    </w:p>
    <w:p>
      <w:pPr>
        <w:spacing w:after="60"/>
        <w:ind w:left="144" w:hanging="72"/>
      </w:pPr>
      <w:r>
        <w:rPr>
          <w:b/>
          <w:color w:val="1769E0"/>
        </w:rPr>
        <w:t xml:space="preserve">☐ 11. </w:t>
      </w:r>
      <w:r>
        <w:t>Replacing an advertisement keeps the same CDN URL and does not change its probability or assignments.</w:t>
      </w:r>
    </w:p>
    <w:p>
      <w:pPr>
        <w:spacing w:after="60"/>
        <w:ind w:left="144" w:hanging="72"/>
      </w:pPr>
      <w:r>
        <w:rPr>
          <w:b/>
          <w:color w:val="1769E0"/>
        </w:rPr>
        <w:t xml:space="preserve">☐ 12. </w:t>
      </w:r>
      <w:r>
        <w:t>Each advertisement has a probability input from 0 to 100.</w:t>
      </w:r>
    </w:p>
    <w:p>
      <w:pPr>
        <w:spacing w:after="60"/>
        <w:ind w:left="144" w:hanging="72"/>
      </w:pPr>
      <w:r>
        <w:rPr>
          <w:b/>
          <w:color w:val="1769E0"/>
        </w:rPr>
        <w:t xml:space="preserve">☐ 13. </w:t>
      </w:r>
      <w:r>
        <w:t>The total across all 20 probability values must equal exactly 100.</w:t>
      </w:r>
    </w:p>
    <w:p>
      <w:pPr>
        <w:spacing w:after="60"/>
        <w:ind w:left="144" w:hanging="72"/>
      </w:pPr>
      <w:r>
        <w:rPr>
          <w:b/>
          <w:color w:val="1769E0"/>
        </w:rPr>
        <w:t xml:space="preserve">☐ 14. </w:t>
      </w:r>
      <w:r>
        <w:t>Setting one slot to 100 automatically sets all remaining slots to 0.</w:t>
      </w:r>
    </w:p>
    <w:p>
      <w:pPr>
        <w:spacing w:after="60"/>
        <w:ind w:left="144" w:hanging="72"/>
      </w:pPr>
      <w:r>
        <w:rPr>
          <w:b/>
          <w:color w:val="1769E0"/>
        </w:rPr>
        <w:t xml:space="preserve">☐ 15. </w:t>
      </w:r>
      <w:r>
        <w:t>Each advertisement has a dynamic application checklist.</w:t>
      </w:r>
    </w:p>
    <w:p>
      <w:pPr>
        <w:spacing w:after="60"/>
        <w:ind w:left="144" w:hanging="72"/>
      </w:pPr>
      <w:r>
        <w:rPr>
          <w:b/>
          <w:color w:val="1769E0"/>
        </w:rPr>
        <w:t xml:space="preserve">☐ 16. </w:t>
      </w:r>
      <w:r>
        <w:t>Desktop applications receive only uploaded advertisements assigned to that application with probability greater than 0.</w:t>
      </w:r>
    </w:p>
    <w:p>
      <w:pPr>
        <w:spacing w:after="60"/>
        <w:ind w:left="144" w:hanging="72"/>
      </w:pPr>
      <w:r>
        <w:rPr>
          <w:b/>
          <w:color w:val="1769E0"/>
        </w:rPr>
        <w:t xml:space="preserve">☐ 17. </w:t>
      </w:r>
      <w:r>
        <w:t>A 50/50 configuration alternates deterministically, beginning with the lower slot number.</w:t>
      </w:r>
    </w:p>
    <w:p>
      <w:pPr>
        <w:spacing w:after="60"/>
        <w:ind w:left="144" w:hanging="72"/>
      </w:pPr>
      <w:r>
        <w:rPr>
          <w:b/>
          <w:color w:val="1769E0"/>
        </w:rPr>
        <w:t xml:space="preserve">☐ 18. </w:t>
      </w:r>
      <w:r>
        <w:t>Unequal weights are distributed using deterministic weighted rotation.</w:t>
      </w:r>
    </w:p>
    <w:p>
      <w:pPr>
        <w:spacing w:after="60"/>
        <w:ind w:left="144" w:hanging="72"/>
      </w:pPr>
      <w:r>
        <w:rPr>
          <w:b/>
          <w:color w:val="1769E0"/>
        </w:rPr>
        <w:t xml:space="preserve">☐ 19. </w:t>
      </w:r>
      <w:r>
        <w:t>Rotation state is independent per device and application.</w:t>
      </w:r>
    </w:p>
    <w:p>
      <w:pPr>
        <w:spacing w:after="60"/>
        <w:ind w:left="144" w:hanging="72"/>
      </w:pPr>
      <w:r>
        <w:rPr>
          <w:b/>
          <w:color w:val="1769E0"/>
        </w:rPr>
        <w:t xml:space="preserve">☐ 20. </w:t>
      </w:r>
      <w:r>
        <w:t>Probability and application changes increment a configuration version and reset relevant rotation state.</w:t>
      </w:r>
    </w:p>
    <w:p>
      <w:pPr>
        <w:spacing w:after="60"/>
        <w:ind w:left="144" w:hanging="72"/>
      </w:pPr>
      <w:r>
        <w:rPr>
          <w:b/>
          <w:color w:val="1769E0"/>
        </w:rPr>
        <w:t xml:space="preserve">☐ 21. </w:t>
      </w:r>
      <w:r>
        <w:t>Every upload, replace, delete, purge, retry, and configuration change is audited.</w:t>
      </w:r>
    </w:p>
    <w:p>
      <w:pPr>
        <w:spacing w:after="60"/>
        <w:ind w:left="144" w:hanging="72"/>
      </w:pPr>
      <w:r>
        <w:rPr>
          <w:b/>
          <w:color w:val="1769E0"/>
        </w:rPr>
        <w:t xml:space="preserve">☐ 22. </w:t>
      </w:r>
      <w:r>
        <w:t>A failed CDN purge after a successful upload is reported as Partial Success and can be retried without another upload.</w:t>
      </w:r>
    </w:p>
    <w:p>
      <w:pPr>
        <w:spacing w:after="60"/>
        <w:ind w:left="144" w:hanging="72"/>
      </w:pPr>
      <w:r>
        <w:rPr>
          <w:b/>
          <w:color w:val="1769E0"/>
        </w:rPr>
        <w:t xml:space="preserve">☐ 23. </w:t>
      </w:r>
      <w:r>
        <w:t>Test Connection verifies R2 access and cache-purge access without revealing credentials.</w:t>
      </w:r>
    </w:p>
    <w:p>
      <w:pPr>
        <w:spacing w:after="60"/>
        <w:ind w:left="144" w:hanging="72"/>
      </w:pPr>
      <w:r>
        <w:rPr>
          <w:b/>
          <w:color w:val="1769E0"/>
        </w:rPr>
        <w:t xml:space="preserve">☐ 24. </w:t>
      </w:r>
      <w:r>
        <w:t>The UI follows the existing admin portal’s dark theme and responsive behavior.</w:t>
      </w:r>
    </w:p>
    <w:p>
      <w:pPr>
        <w:pStyle w:val="Heading1"/>
      </w:pPr>
      <w:r>
        <w:t>Appendix A. UI Mockups</w:t>
      </w:r>
    </w:p>
    <w:tbl>
      <w:tblPr>
        <w:tblW w:type="auto" w:w="0"/>
        <w:jc w:val="center"/>
        <w:tblLayout w:type="fixed"/>
        <w:tblLook w:firstColumn="1" w:firstRow="1" w:lastColumn="0" w:lastRow="0" w:noHBand="0" w:noVBand="1" w:val="04A0"/>
      </w:tblPr>
      <w:tblGrid>
        <w:gridCol w:w="216"/>
        <w:gridCol w:w="9432"/>
      </w:tblGrid>
      <w:tr>
        <w:trPr>
          <w:tblHeader w:val="true"/>
        </w:trPr>
        <w:tc>
          <w:tcPr>
            <w:tcW w:type="dxa" w:w="5112"/>
            <w:shd w:fill="1769E0"/>
            <w:tcBorders>
              <w:top w:val="single" w:sz="4" w:color="EAF3FF"/>
              <w:left w:val="single" w:sz="4" w:color="EAF3FF"/>
              <w:bottom w:val="single" w:sz="4" w:color="EAF3FF"/>
              <w:right w:val="single" w:sz="4" w:color="EAF3FF"/>
            </w:tcBorders>
          </w:tcPr>
          <w:p/>
        </w:tc>
        <w:tc>
          <w:tcPr>
            <w:tcW w:type="dxa" w:w="5112"/>
            <w:shd w:fill="EAF3FF"/>
            <w:tcBorders>
              <w:top w:val="single" w:sz="4" w:color="EAF3FF"/>
              <w:left w:val="single" w:sz="4" w:color="EAF3FF"/>
              <w:bottom w:val="single" w:sz="4" w:color="EAF3FF"/>
              <w:right w:val="single" w:sz="4" w:color="EAF3FF"/>
            </w:tcBorders>
            <w:tcMar>
              <w:top w:w="120" w:type="dxa"/>
              <w:start w:w="160" w:type="dxa"/>
              <w:bottom w:w="120" w:type="dxa"/>
              <w:end w:w="160" w:type="dxa"/>
            </w:tcMar>
          </w:tcPr>
          <w:p>
            <w:pPr>
              <w:spacing w:after="40"/>
            </w:pPr>
            <w:r>
              <w:rPr>
                <w:b/>
                <w:color w:val="1769E0"/>
                <w:sz w:val="21"/>
              </w:rPr>
              <w:t>Mockup note</w:t>
            </w:r>
          </w:p>
          <w:p>
            <w:pPr>
              <w:pStyle w:val="BodyText"/>
              <w:spacing w:after="0"/>
            </w:pPr>
            <w:r>
              <w:t>These images show the desired information architecture and visual direction. Exact text, paths, validation, and behavior must follow the written specification.</w:t>
            </w:r>
          </w:p>
        </w:tc>
      </w:tr>
    </w:tbl>
    <w:p>
      <w:pPr>
        <w:spacing w:after="0"/>
      </w:pPr>
    </w:p>
    <w:p>
      <w:pPr>
        <w:spacing w:after="80"/>
        <w:jc w:val="center"/>
      </w:pPr>
      <w:r>
        <w:drawing>
          <wp:inline xmlns:a="http://schemas.openxmlformats.org/drawingml/2006/main" xmlns:pic="http://schemas.openxmlformats.org/drawingml/2006/picture">
            <wp:extent cx="6126480" cy="2093671"/>
            <wp:docPr id="4" name="Picture 4" descr="Figure 4. Cloudflare Management overview and quick actions." title="Figure 4. Cloudflare Management overview and quick actions."/>
            <wp:cNvGraphicFramePr>
              <a:graphicFrameLocks noChangeAspect="1"/>
            </wp:cNvGraphicFramePr>
            <a:graphic>
              <a:graphicData uri="http://schemas.openxmlformats.org/drawingml/2006/picture">
                <pic:pic>
                  <pic:nvPicPr>
                    <pic:cNvPr id="0" name="overview.png"/>
                    <pic:cNvPicPr/>
                  </pic:nvPicPr>
                  <pic:blipFill>
                    <a:blip r:embed="rId14"/>
                    <a:stretch>
                      <a:fillRect/>
                    </a:stretch>
                  </pic:blipFill>
                  <pic:spPr>
                    <a:xfrm>
                      <a:off x="0" y="0"/>
                      <a:ext cx="6126480" cy="2093671"/>
                    </a:xfrm>
                    <a:prstGeom prst="rect"/>
                  </pic:spPr>
                </pic:pic>
              </a:graphicData>
            </a:graphic>
          </wp:inline>
        </w:drawing>
      </w:r>
    </w:p>
    <w:p>
      <w:pPr>
        <w:spacing w:after="160"/>
        <w:jc w:val="center"/>
      </w:pPr>
      <w:r>
        <w:rPr>
          <w:i/>
          <w:color w:val="5B6573"/>
          <w:sz w:val="18"/>
        </w:rPr>
        <w:t>Figure 4. Cloudflare Management overview and quick actions.</w:t>
      </w:r>
    </w:p>
    <w:p>
      <w:pPr>
        <w:spacing w:after="80"/>
        <w:jc w:val="center"/>
      </w:pPr>
      <w:r>
        <w:drawing>
          <wp:inline xmlns:a="http://schemas.openxmlformats.org/drawingml/2006/main" xmlns:pic="http://schemas.openxmlformats.org/drawingml/2006/picture">
            <wp:extent cx="6126480" cy="4084320"/>
            <wp:docPr id="5" name="Picture 5" descr="Figure 5. Combined design board showing GML Exam Engine, Advertisements, and overview layouts." title="Figure 5. Combined design board showing GML Exam Engine, Advertisements, and overview layouts."/>
            <wp:cNvGraphicFramePr>
              <a:graphicFrameLocks noChangeAspect="1"/>
            </wp:cNvGraphicFramePr>
            <a:graphic>
              <a:graphicData uri="http://schemas.openxmlformats.org/drawingml/2006/picture">
                <pic:pic>
                  <pic:nvPicPr>
                    <pic:cNvPr id="0" name="a_dark_themed_admin_dashboard_ui_screenshot_collag.png"/>
                    <pic:cNvPicPr/>
                  </pic:nvPicPr>
                  <pic:blipFill>
                    <a:blip r:embed="rId15"/>
                    <a:stretch>
                      <a:fillRect/>
                    </a:stretch>
                  </pic:blipFill>
                  <pic:spPr>
                    <a:xfrm>
                      <a:off x="0" y="0"/>
                      <a:ext cx="6126480" cy="4084320"/>
                    </a:xfrm>
                    <a:prstGeom prst="rect"/>
                  </pic:spPr>
                </pic:pic>
              </a:graphicData>
            </a:graphic>
          </wp:inline>
        </w:drawing>
      </w:r>
    </w:p>
    <w:p>
      <w:pPr>
        <w:spacing w:after="160"/>
        <w:jc w:val="center"/>
      </w:pPr>
      <w:r>
        <w:rPr>
          <w:i/>
          <w:color w:val="5B6573"/>
          <w:sz w:val="18"/>
        </w:rPr>
        <w:t>Figure 5. Combined design board showing GML Exam Engine, Advertisements, and overview layouts.</w:t>
      </w:r>
    </w:p>
    <w:p>
      <w:pPr>
        <w:pStyle w:val="Heading1"/>
      </w:pPr>
      <w:r>
        <w:t>Implementation Summary</w:t>
      </w:r>
    </w:p>
    <w:tbl>
      <w:tblPr>
        <w:tblW w:type="auto" w:w="0"/>
        <w:jc w:val="center"/>
        <w:tblLayout w:type="fixed"/>
        <w:tblLook w:firstColumn="1" w:firstRow="1" w:lastColumn="0" w:lastRow="0" w:noHBand="0" w:noVBand="1" w:val="04A0"/>
      </w:tblPr>
      <w:tblGrid>
        <w:gridCol w:w="9648"/>
      </w:tblGrid>
      <w:tr>
        <w:trPr>
          <w:tblHeader w:val="true"/>
        </w:trPr>
        <w:tc>
          <w:tcPr>
            <w:tcW w:type="dxa" w:w="10224"/>
            <w:shd w:fill="F1F3F6"/>
            <w:tcBorders>
              <w:top w:val="single" w:sz="8" w:color="D5DAE2"/>
              <w:left w:val="single" w:sz="8" w:color="D5DAE2"/>
              <w:bottom w:val="single" w:sz="8" w:color="D5DAE2"/>
              <w:right w:val="single" w:sz="8" w:color="D5DAE2"/>
            </w:tcBorders>
            <w:tcMar>
              <w:top w:w="120" w:type="dxa"/>
              <w:start w:w="180" w:type="dxa"/>
              <w:bottom w:w="120" w:type="dxa"/>
              <w:end w:w="180" w:type="dxa"/>
            </w:tcMar>
          </w:tcPr>
          <w:p>
            <w:pPr>
              <w:spacing w:after="0"/>
            </w:pPr>
            <w:r>
              <w:rPr>
                <w:rFonts w:ascii="Consolas" w:hAnsi="Consolas"/>
                <w:color w:val="1C2430"/>
                <w:sz w:val="18"/>
              </w:rPr>
              <w:t>Permanent asset rule:</w:t>
            </w:r>
            <w:r>
              <w:br/>
            </w:r>
            <w:r>
              <w:rPr>
                <w:rFonts w:ascii="Consolas" w:hAnsi="Consolas"/>
                <w:color w:val="1C2430"/>
                <w:sz w:val="18"/>
              </w:rPr>
              <w:t>Same logical file -&gt; same R2 object key -&gt; same CDN URL</w:t>
            </w:r>
            <w:r>
              <w:br/>
            </w:r>
            <w:r>
              <w:rPr>
                <w:rFonts w:ascii="Consolas" w:hAnsi="Consolas"/>
                <w:color w:val="1C2430"/>
                <w:sz w:val="18"/>
              </w:rPr>
            </w:r>
            <w:r>
              <w:br/>
            </w:r>
            <w:r>
              <w:rPr>
                <w:rFonts w:ascii="Consolas" w:hAnsi="Consolas"/>
                <w:color w:val="1C2430"/>
                <w:sz w:val="18"/>
              </w:rPr>
              <w:t>Replacement flow:</w:t>
            </w:r>
            <w:r>
              <w:br/>
            </w:r>
            <w:r>
              <w:rPr>
                <w:rFonts w:ascii="Consolas" w:hAnsi="Consolas"/>
                <w:color w:val="1C2430"/>
                <w:sz w:val="18"/>
              </w:rPr>
              <w:t>Validate -&gt; upload to same key -&gt; verify -&gt; purge exact URL -&gt; audit</w:t>
            </w:r>
            <w:r>
              <w:br/>
            </w:r>
            <w:r>
              <w:rPr>
                <w:rFonts w:ascii="Consolas" w:hAnsi="Consolas"/>
                <w:color w:val="1C2430"/>
                <w:sz w:val="18"/>
              </w:rPr>
            </w:r>
            <w:r>
              <w:br/>
            </w:r>
            <w:r>
              <w:rPr>
                <w:rFonts w:ascii="Consolas" w:hAnsi="Consolas"/>
                <w:color w:val="1C2430"/>
                <w:sz w:val="18"/>
              </w:rPr>
              <w:t>Advertisement selection flow:</w:t>
            </w:r>
            <w:r>
              <w:br/>
            </w:r>
            <w:r>
              <w:rPr>
                <w:rFonts w:ascii="Consolas" w:hAnsi="Consolas"/>
                <w:color w:val="1C2430"/>
                <w:sz w:val="18"/>
              </w:rPr>
              <w:t>Filter by uploaded + probability &gt; 0 + application assignment</w:t>
            </w:r>
            <w:r>
              <w:br/>
            </w:r>
            <w:r>
              <w:rPr>
                <w:rFonts w:ascii="Consolas" w:hAnsi="Consolas"/>
                <w:color w:val="1C2430"/>
                <w:sz w:val="18"/>
              </w:rPr>
              <w:t>-&gt; normalize eligible weights</w:t>
            </w:r>
            <w:r>
              <w:br/>
            </w:r>
            <w:r>
              <w:rPr>
                <w:rFonts w:ascii="Consolas" w:hAnsi="Consolas"/>
                <w:color w:val="1C2430"/>
                <w:sz w:val="18"/>
              </w:rPr>
              <w:t>-&gt; deterministic weighted rotation per device and application</w:t>
            </w:r>
            <w:r>
              <w:br/>
            </w:r>
            <w:r>
              <w:rPr>
                <w:rFonts w:ascii="Consolas" w:hAnsi="Consolas"/>
                <w:color w:val="1C2430"/>
                <w:sz w:val="18"/>
              </w:rPr>
              <w:t>-&gt; return one CDN URL</w:t>
            </w:r>
          </w:p>
        </w:tc>
      </w:tr>
    </w:tbl>
    <w:p>
      <w:pPr>
        <w:spacing w:after="0"/>
      </w:pPr>
    </w:p>
    <w:sectPr w:rsidR="00FC693F" w:rsidRPr="0006063C" w:rsidSect="00034616">
      <w:headerReference w:type="default" r:id="rId9"/>
      <w:footerReference w:type="default" r:id="rId10"/>
      <w:pgSz w:w="12240" w:h="15840"/>
      <w:pgMar w:top="936"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7"/>
      </w:rPr>
      <w:t xml:space="preserve">Developer Implementation Specification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GRADE MY LABS  |  CLOUDFLARE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F1A2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85D"/>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69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1A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1769E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1C243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color w:val="1C2430"/>
      <w:sz w:val="17"/>
    </w:rPr>
  </w:style>
  <w:style w:type="paragraph" w:customStyle="1" w:styleId="SmallNote">
    <w:name w:val="Small Note"/>
    <w:pPr>
      <w:spacing w:after="8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