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7D9BA09A" w:rsidP="4C3507BF" w:rsidRDefault="7D9BA09A" w14:paraId="1D93C8E8" w14:textId="2A972D59">
      <w:pPr>
        <w:pStyle w:val="Heading1"/>
        <w:spacing w:before="322" w:beforeAutospacing="off" w:after="322" w:afterAutospacing="off"/>
      </w:pPr>
      <w:r w:rsidRPr="4C3507BF" w:rsidR="7D9BA09A">
        <w:rPr>
          <w:rFonts w:ascii="Aptos" w:hAnsi="Aptos" w:eastAsia="Aptos" w:cs="Aptos"/>
          <w:b w:val="1"/>
          <w:bCs w:val="1"/>
          <w:noProof w:val="0"/>
          <w:sz w:val="48"/>
          <w:szCs w:val="48"/>
          <w:lang w:val="en-US"/>
        </w:rPr>
        <w:t>Model Selection &amp; Hardware Specification Report</w:t>
      </w:r>
    </w:p>
    <w:p w:rsidR="7D9BA09A" w:rsidP="4C3507BF" w:rsidRDefault="7D9BA09A" w14:paraId="6AA7A1FD" w14:textId="7605E83D">
      <w:pPr>
        <w:spacing w:before="240" w:beforeAutospacing="off" w:after="240" w:afterAutospacing="off"/>
      </w:pP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Project: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Saudi Arabic Document Assistant in LMS</w:t>
      </w:r>
      <w:r>
        <w:br/>
      </w: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Prepared for: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MoD</w:t>
      </w:r>
      <w:r>
        <w:br/>
      </w: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Date: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5 Aug 2025</w:t>
      </w:r>
    </w:p>
    <w:p w:rsidR="4C3507BF" w:rsidRDefault="4C3507BF" w14:paraId="63AA798E" w14:textId="60D5964B"/>
    <w:p w:rsidR="7D9BA09A" w:rsidP="4C3507BF" w:rsidRDefault="7D9BA09A" w14:paraId="60EDC119" w14:textId="769FC26C">
      <w:pPr>
        <w:pStyle w:val="Heading2"/>
        <w:spacing w:before="299" w:beforeAutospacing="off" w:after="299" w:afterAutospacing="off"/>
      </w:pPr>
      <w:r w:rsidRPr="4C3507BF" w:rsidR="7D9BA09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1. Model Comparison – Selection Criteria</w:t>
      </w:r>
    </w:p>
    <w:tbl>
      <w:tblPr>
        <w:tblStyle w:val="GridTable5Dark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1785"/>
        <w:gridCol w:w="4160"/>
        <w:gridCol w:w="3415"/>
      </w:tblGrid>
      <w:tr w:rsidR="4C3507BF" w:rsidTr="4C3507BF" w14:paraId="799CAF7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7AB06022" w14:textId="26D9779F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Criteria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057EF4A8" w14:textId="0FB0E974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Qwen‑2.5‑72B‑Instruct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5E299506" w14:textId="656FC347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JAIS‑30B</w:t>
            </w:r>
          </w:p>
        </w:tc>
      </w:tr>
      <w:tr w:rsidR="4C3507BF" w:rsidTr="4C3507BF" w14:paraId="55E883B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69784DA2" w14:textId="2B9B6E85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Arabic Ability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6E14B353" w14:textId="798C0688">
            <w:pPr>
              <w:spacing w:before="0" w:beforeAutospacing="off" w:after="0" w:afterAutospacing="off"/>
            </w:pPr>
            <w:r w:rsidR="4C3507BF">
              <w:rPr/>
              <w:t>Strong multilingual Arabic (Modern Standard + Gulf dialects) via large, diverse corpus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1C1D3ED3" w14:textId="00FAA9A0">
            <w:pPr>
              <w:spacing w:before="0" w:beforeAutospacing="off" w:after="0" w:afterAutospacing="off"/>
            </w:pPr>
            <w:r w:rsidR="4C3507BF">
              <w:rPr/>
              <w:t>Native Arabic focus, optimized for Arabic/English</w:t>
            </w:r>
          </w:p>
        </w:tc>
      </w:tr>
      <w:tr w:rsidR="4C3507BF" w:rsidTr="4C3507BF" w14:paraId="7A2A6CAC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1649CC39" w14:textId="6D1B5D2D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Grounded Answers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0372BD51" w14:textId="77FE3F62">
            <w:pPr>
              <w:spacing w:before="0" w:beforeAutospacing="off" w:after="0" w:afterAutospacing="off"/>
            </w:pPr>
            <w:r w:rsidR="4C3507BF">
              <w:rPr/>
              <w:t>128K context allows whole-document grounding (less chunking, fewer hallucinations)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54925BC2" w14:textId="598DF3F3">
            <w:pPr>
              <w:spacing w:before="0" w:beforeAutospacing="off" w:after="0" w:afterAutospacing="off"/>
            </w:pPr>
            <w:r w:rsidR="4C3507BF">
              <w:rPr/>
              <w:t xml:space="preserve">Shorter context </w:t>
            </w:r>
            <w:r w:rsidR="29D64C49">
              <w:rPr/>
              <w:t>(16</w:t>
            </w:r>
            <w:r w:rsidR="4C3507BF">
              <w:rPr/>
              <w:t>K), more chunking needed</w:t>
            </w:r>
          </w:p>
        </w:tc>
      </w:tr>
      <w:tr w:rsidR="4C3507BF" w:rsidTr="4C3507BF" w14:paraId="7E0933A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2369ADB6" w14:textId="14F92D1D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Hallucination Resistance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7F0BF604" w14:textId="22066676">
            <w:pPr>
              <w:spacing w:before="0" w:beforeAutospacing="off" w:after="0" w:afterAutospacing="off"/>
            </w:pPr>
            <w:r w:rsidR="4C3507BF">
              <w:rPr/>
              <w:t>Rigorous alignment (DPO, SFT) – lower hallucination rate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2FD2C3EF" w14:textId="07CCC72A">
            <w:pPr>
              <w:spacing w:before="0" w:beforeAutospacing="off" w:after="0" w:afterAutospacing="off"/>
            </w:pPr>
            <w:r w:rsidR="4C3507BF">
              <w:rPr/>
              <w:t>Strong in Arabic but fewer large-scale eval metrics</w:t>
            </w:r>
          </w:p>
        </w:tc>
      </w:tr>
      <w:tr w:rsidR="4C3507BF" w:rsidTr="4C3507BF" w14:paraId="1D68A63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69F23F8C" w14:textId="3F990667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Conciseness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1D02C162" w14:textId="2CE7A6A4">
            <w:pPr>
              <w:spacing w:before="0" w:beforeAutospacing="off" w:after="0" w:afterAutospacing="off"/>
            </w:pPr>
            <w:r w:rsidR="4C3507BF">
              <w:rPr/>
              <w:t>Highly instruction-tuned for concise, structured outputs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030FE0EA" w14:textId="69E91980">
            <w:pPr>
              <w:spacing w:before="0" w:beforeAutospacing="off" w:after="0" w:afterAutospacing="off"/>
            </w:pPr>
            <w:r w:rsidR="4C3507BF">
              <w:rPr/>
              <w:t>Concise in Arabic, natural phrasing</w:t>
            </w:r>
          </w:p>
        </w:tc>
      </w:tr>
      <w:tr w:rsidR="4C3507BF" w:rsidTr="4C3507BF" w14:paraId="794AA93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62E5328A" w14:textId="63387FC8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Performance in Mixed Domains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2A05737E" w14:textId="580B6002">
            <w:pPr>
              <w:spacing w:before="0" w:beforeAutospacing="off" w:after="0" w:afterAutospacing="off"/>
            </w:pPr>
            <w:r w:rsidR="4C3507BF">
              <w:rPr/>
              <w:t>Strong general-purpose, domain-agnostic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2DD9B592" w14:textId="3EAAA6AD">
            <w:pPr>
              <w:spacing w:before="0" w:beforeAutospacing="off" w:after="0" w:afterAutospacing="off"/>
            </w:pPr>
            <w:r w:rsidR="4C3507BF">
              <w:rPr/>
              <w:t>Best in Arabic-heavy domains if fine-tuned</w:t>
            </w:r>
          </w:p>
        </w:tc>
      </w:tr>
      <w:tr w:rsidR="4C3507BF" w:rsidTr="4C3507BF" w14:paraId="52BEDC6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050BB336" w14:textId="5F4B17DB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Scaling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5235ADFF" w14:textId="05A1D21F">
            <w:pPr>
              <w:spacing w:before="0" w:beforeAutospacing="off" w:after="0" w:afterAutospacing="off"/>
            </w:pPr>
            <w:r w:rsidR="4C3507BF">
              <w:rPr/>
              <w:t>Handles multi-document chat with minimal engineering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1A67866B" w14:textId="29C3DC61">
            <w:pPr>
              <w:spacing w:before="0" w:beforeAutospacing="off" w:after="0" w:afterAutospacing="off"/>
            </w:pPr>
            <w:r w:rsidR="4C3507BF">
              <w:rPr/>
              <w:t>Works well but needs tighter RAG integration</w:t>
            </w:r>
          </w:p>
        </w:tc>
      </w:tr>
      <w:tr w:rsidR="4C3507BF" w:rsidTr="4C3507BF" w14:paraId="73EC5AB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85" w:type="dxa"/>
            <w:tcMar/>
          </w:tcPr>
          <w:p w:rsidR="4C3507BF" w:rsidP="4C3507BF" w:rsidRDefault="4C3507BF" w14:paraId="48C3A827" w14:textId="2254C625">
            <w:pPr>
              <w:spacing w:before="0" w:beforeAutospacing="off" w:after="0" w:afterAutospacing="off"/>
            </w:pPr>
            <w:r w:rsidRPr="4C3507BF" w:rsidR="4C3507BF">
              <w:rPr>
                <w:b w:val="1"/>
                <w:bCs w:val="1"/>
              </w:rPr>
              <w:t>Recommendation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4160" w:type="dxa"/>
            <w:tcMar/>
          </w:tcPr>
          <w:p w:rsidR="4C3507BF" w:rsidP="4C3507BF" w:rsidRDefault="4C3507BF" w14:paraId="53C6A04D" w14:textId="2EA8F164">
            <w:pPr>
              <w:spacing w:before="0" w:beforeAutospacing="off" w:after="0" w:afterAutospacing="off"/>
            </w:pPr>
            <w:r w:rsidR="4C3507BF">
              <w:rPr>
                <w:b w:val="0"/>
                <w:bCs w:val="0"/>
              </w:rPr>
              <w:t xml:space="preserve">Preferred primary </w:t>
            </w:r>
            <w:r w:rsidR="486BB8C8">
              <w:rPr>
                <w:b w:val="0"/>
                <w:bCs w:val="0"/>
              </w:rPr>
              <w:t>model better</w:t>
            </w:r>
            <w:r w:rsidR="4C3507BF">
              <w:rPr/>
              <w:t xml:space="preserve"> grounding &amp; context handling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415" w:type="dxa"/>
            <w:tcMar/>
          </w:tcPr>
          <w:p w:rsidR="4C3507BF" w:rsidP="4C3507BF" w:rsidRDefault="4C3507BF" w14:paraId="39475A89" w14:textId="4B0A4D4C">
            <w:pPr>
              <w:spacing w:before="0" w:beforeAutospacing="off" w:after="0" w:afterAutospacing="off"/>
            </w:pPr>
            <w:r w:rsidR="4C3507BF">
              <w:rPr/>
              <w:t>Consider only if Arabic tone/domain nuance outweighs context needs</w:t>
            </w:r>
          </w:p>
        </w:tc>
      </w:tr>
    </w:tbl>
    <w:p w:rsidR="7D9BA09A" w:rsidP="4C3507BF" w:rsidRDefault="7D9BA09A" w14:paraId="7F2F79AD" w14:textId="3D2AD692">
      <w:pPr>
        <w:pStyle w:val="Heading3"/>
        <w:bidi w:val="0"/>
      </w:pPr>
      <w:r w:rsidRPr="4C3507BF" w:rsidR="7D9BA09A">
        <w:rPr>
          <w:noProof w:val="0"/>
          <w:lang w:val="en-US"/>
        </w:rPr>
        <w:t>Conclusion:</w:t>
      </w:r>
    </w:p>
    <w:p w:rsidR="7D9BA09A" w:rsidP="4C3507BF" w:rsidRDefault="7D9BA09A" w14:paraId="497970E0" w14:textId="5F110D1B">
      <w:pPr>
        <w:pStyle w:val="ListParagraph"/>
        <w:numPr>
          <w:ilvl w:val="0"/>
          <w:numId w:val="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Primary recommendation: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C3507BF" w:rsidR="7D9BA09A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Qwen‑2.5‑72B‑</w:t>
      </w:r>
      <w:r w:rsidRPr="4C3507BF" w:rsidR="52523823">
        <w:rPr>
          <w:rFonts w:ascii="Aptos" w:hAnsi="Aptos" w:eastAsia="Aptos" w:cs="Aptos"/>
          <w:b w:val="0"/>
          <w:bCs w:val="0"/>
          <w:noProof w:val="0"/>
          <w:sz w:val="24"/>
          <w:szCs w:val="24"/>
          <w:lang w:val="en-US"/>
        </w:rPr>
        <w:t>Instruct,</w:t>
      </w:r>
      <w:r w:rsidRPr="4C3507BF" w:rsidR="5765C686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>due to ultra-long context window and lower hallucination rate, ideal for RAG over Arabic documents without excessive chunking.</w:t>
      </w:r>
    </w:p>
    <w:p w:rsidR="7D9BA09A" w:rsidP="4C3507BF" w:rsidRDefault="7D9BA09A" w14:paraId="42CE41BA" w14:textId="1D71C451">
      <w:pPr>
        <w:pStyle w:val="ListParagraph"/>
        <w:numPr>
          <w:ilvl w:val="0"/>
          <w:numId w:val="1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Secondary </w:t>
      </w: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option</w:t>
      </w:r>
      <w:r w:rsidRPr="4C3507BF" w:rsidR="7D9BA09A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: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JAIS‑30B</w:t>
      </w:r>
      <w:r w:rsidRPr="4C3507BF" w:rsidR="10349615">
        <w:rPr>
          <w:rFonts w:ascii="Aptos" w:hAnsi="Aptos" w:eastAsia="Aptos" w:cs="Aptos"/>
          <w:noProof w:val="0"/>
          <w:sz w:val="24"/>
          <w:szCs w:val="24"/>
          <w:lang w:val="en-US"/>
        </w:rPr>
        <w:t>,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only if </w:t>
      </w:r>
      <w:r w:rsidRPr="4C3507BF" w:rsidR="7D9BA09A">
        <w:rPr>
          <w:rFonts w:ascii="Aptos" w:hAnsi="Aptos" w:eastAsia="Aptos" w:cs="Aptos"/>
          <w:i w:val="1"/>
          <w:iCs w:val="1"/>
          <w:noProof w:val="0"/>
          <w:sz w:val="24"/>
          <w:szCs w:val="24"/>
          <w:lang w:val="en-US"/>
        </w:rPr>
        <w:t>native Arabic tone &amp; domain nuance</w:t>
      </w:r>
      <w:r w:rsidRPr="4C3507BF" w:rsidR="7D9BA09A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is prioritized over extreme context length.</w:t>
      </w:r>
    </w:p>
    <w:p w:rsidR="4C3507BF" w:rsidRDefault="4C3507BF" w14:paraId="696D73E8" w14:textId="5F741FEA"/>
    <w:p w:rsidR="7D9BA09A" w:rsidP="4C3507BF" w:rsidRDefault="7D9BA09A" w14:paraId="25382C9F" w14:textId="00E00F83">
      <w:pPr>
        <w:pStyle w:val="Heading2"/>
        <w:bidi w:val="0"/>
        <w:spacing w:before="299" w:beforeAutospacing="off" w:after="299" w:afterAutospacing="off"/>
      </w:pPr>
      <w:r w:rsidRPr="4C3507BF" w:rsidR="7D9BA09A">
        <w:rPr>
          <w:rFonts w:ascii="Aptos" w:hAnsi="Aptos" w:eastAsia="Aptos" w:cs="Aptos"/>
          <w:b w:val="1"/>
          <w:bCs w:val="1"/>
          <w:noProof w:val="0"/>
          <w:sz w:val="36"/>
          <w:szCs w:val="36"/>
          <w:lang w:val="en-US"/>
        </w:rPr>
        <w:t>2. Hardware Specifications</w:t>
      </w:r>
    </w:p>
    <w:p w:rsidR="5C8A5E80" w:rsidP="4C3507BF" w:rsidRDefault="5C8A5E80" w14:paraId="054F59ED" w14:textId="2CF143D0">
      <w:pPr>
        <w:pStyle w:val="Heading3"/>
        <w:rPr>
          <w:noProof w:val="0"/>
          <w:lang w:val="en-US"/>
        </w:rPr>
      </w:pPr>
      <w:r w:rsidRPr="4C3507BF" w:rsidR="5C8A5E80">
        <w:rPr>
          <w:noProof w:val="0"/>
          <w:lang w:val="en-US"/>
        </w:rPr>
        <w:t>Part 1: System Specification Tables with User Capacity</w:t>
      </w:r>
    </w:p>
    <w:p w:rsidR="5C8A5E80" w:rsidP="4C3507BF" w:rsidRDefault="5C8A5E80" w14:paraId="2D3999CD" w14:textId="37558AB7">
      <w:pPr>
        <w:pStyle w:val="Heading4"/>
      </w:pPr>
      <w:r w:rsidRPr="4C3507BF" w:rsidR="5C8A5E80">
        <w:rPr>
          <w:noProof w:val="0"/>
          <w:lang w:val="en-US"/>
        </w:rPr>
        <w:t>A. Minimum Viable Configuration (per system</w:t>
      </w:r>
      <w:r w:rsidRPr="4C3507BF" w:rsidR="5C8A5E80">
        <w:rPr>
          <w:noProof w:val="0"/>
          <w:lang w:val="en-US"/>
        </w:rPr>
        <w:t>)</w:t>
      </w:r>
    </w:p>
    <w:tbl>
      <w:tblPr>
        <w:tblStyle w:val="GridTable5Dark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35"/>
        <w:gridCol w:w="5978"/>
      </w:tblGrid>
      <w:tr w:rsidR="4C3507BF" w:rsidTr="4C3507BF" w14:paraId="391FD4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0DEDD083" w14:textId="1F04A4CF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Component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43FD344F" w14:textId="0E44F5CE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Specification</w:t>
            </w:r>
          </w:p>
        </w:tc>
      </w:tr>
      <w:tr w:rsidR="4C3507BF" w:rsidTr="4C3507BF" w14:paraId="1CB95FB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25B59FD6" w14:textId="0373EF4C">
            <w:pPr>
              <w:spacing w:before="0" w:beforeAutospacing="off" w:after="0" w:afterAutospacing="off"/>
            </w:pPr>
            <w:r w:rsidR="4C3507BF">
              <w:rPr/>
              <w:t>Server Platform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6FF37A70" w14:textId="03908171">
            <w:pPr>
              <w:spacing w:before="0" w:beforeAutospacing="off" w:after="0" w:afterAutospacing="off"/>
            </w:pPr>
            <w:r w:rsidR="4C3507BF">
              <w:rPr/>
              <w:t>Supermicro SYS-420GP-TNAR+ / ASUS ESC-N8A-E11</w:t>
            </w:r>
          </w:p>
        </w:tc>
      </w:tr>
      <w:tr w:rsidR="4C3507BF" w:rsidTr="4C3507BF" w14:paraId="39BD333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743D0213" w14:textId="354FE264">
            <w:pPr>
              <w:spacing w:before="0" w:beforeAutospacing="off" w:after="0" w:afterAutospacing="off"/>
            </w:pPr>
            <w:r w:rsidR="4C3507BF">
              <w:rPr/>
              <w:t>GPUs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07C88314" w14:textId="4AD5785A">
            <w:pPr>
              <w:spacing w:before="0" w:beforeAutospacing="off" w:after="0" w:afterAutospacing="off"/>
            </w:pPr>
            <w:r w:rsidR="4C3507BF">
              <w:rPr/>
              <w:t>4× NVIDIA A100 80GB SXM4</w:t>
            </w:r>
          </w:p>
        </w:tc>
      </w:tr>
      <w:tr w:rsidR="4C3507BF" w:rsidTr="4C3507BF" w14:paraId="3B6DC83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26C18473" w14:textId="6D882480">
            <w:pPr>
              <w:spacing w:before="0" w:beforeAutospacing="off" w:after="0" w:afterAutospacing="off"/>
            </w:pPr>
            <w:r w:rsidR="4C3507BF">
              <w:rPr/>
              <w:t>CPU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14476885" w14:textId="7026DCBF">
            <w:pPr>
              <w:spacing w:before="0" w:beforeAutospacing="off" w:after="0" w:afterAutospacing="off"/>
            </w:pPr>
            <w:r w:rsidR="4C3507BF">
              <w:rPr/>
              <w:t>2× Intel Xeon Silver 4316 (2×16-core)</w:t>
            </w:r>
          </w:p>
        </w:tc>
      </w:tr>
      <w:tr w:rsidR="4C3507BF" w:rsidTr="4C3507BF" w14:paraId="06B2A70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5ED3C941" w14:textId="5C3B5253">
            <w:pPr>
              <w:spacing w:before="0" w:beforeAutospacing="off" w:after="0" w:afterAutospacing="off"/>
            </w:pPr>
            <w:r w:rsidR="4C3507BF">
              <w:rPr/>
              <w:t>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5DE9EBD6" w14:textId="02EE23B9">
            <w:pPr>
              <w:spacing w:before="0" w:beforeAutospacing="off" w:after="0" w:afterAutospacing="off"/>
            </w:pPr>
            <w:r w:rsidR="4C3507BF">
              <w:rPr/>
              <w:t>512 GB DDR4 ECC</w:t>
            </w:r>
          </w:p>
        </w:tc>
      </w:tr>
      <w:tr w:rsidR="4C3507BF" w:rsidTr="4C3507BF" w14:paraId="4C7278E3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7D656798" w14:textId="6EE3F39F">
            <w:pPr>
              <w:spacing w:before="0" w:beforeAutospacing="off" w:after="0" w:afterAutospacing="off"/>
            </w:pPr>
            <w:r w:rsidR="4C3507BF">
              <w:rPr/>
              <w:t>GPU Interconnect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47D8F5D8" w14:textId="681B31F2">
            <w:pPr>
              <w:spacing w:before="0" w:beforeAutospacing="off" w:after="0" w:afterAutospacing="off"/>
            </w:pPr>
            <w:r w:rsidR="4C3507BF">
              <w:rPr/>
              <w:t>NVLink (4-GPU topology)</w:t>
            </w:r>
          </w:p>
        </w:tc>
      </w:tr>
      <w:tr w:rsidR="4C3507BF" w:rsidTr="4C3507BF" w14:paraId="3E8A07E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6E40BA64" w14:textId="1D09DDAE">
            <w:pPr>
              <w:spacing w:before="0" w:beforeAutospacing="off" w:after="0" w:afterAutospacing="off"/>
            </w:pPr>
            <w:r w:rsidR="4C3507BF">
              <w:rPr/>
              <w:t>Storage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49B6AC0D" w14:textId="46EBA220">
            <w:pPr>
              <w:spacing w:before="0" w:beforeAutospacing="off" w:after="0" w:afterAutospacing="off"/>
            </w:pPr>
            <w:r w:rsidR="4C3507BF">
              <w:rPr/>
              <w:t>2× 3.84 TB NVMe SSD (Gen4)</w:t>
            </w:r>
          </w:p>
        </w:tc>
      </w:tr>
      <w:tr w:rsidR="4C3507BF" w:rsidTr="4C3507BF" w14:paraId="1D050CE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283F7B84" w14:textId="41082930">
            <w:pPr>
              <w:spacing w:before="0" w:beforeAutospacing="off" w:after="0" w:afterAutospacing="off"/>
            </w:pPr>
            <w:r w:rsidR="4C3507BF">
              <w:rPr/>
              <w:t>Networking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382DB981" w14:textId="66AE8B45">
            <w:pPr>
              <w:spacing w:before="0" w:beforeAutospacing="off" w:after="0" w:afterAutospacing="off"/>
            </w:pPr>
            <w:r w:rsidR="4C3507BF">
              <w:rPr/>
              <w:t>Dual 25 GbE NICs</w:t>
            </w:r>
          </w:p>
        </w:tc>
      </w:tr>
      <w:tr w:rsidR="4C3507BF" w:rsidTr="4C3507BF" w14:paraId="0A24D15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65BBC947" w14:textId="378EB595">
            <w:pPr>
              <w:spacing w:before="0" w:beforeAutospacing="off" w:after="0" w:afterAutospacing="off"/>
            </w:pPr>
            <w:r w:rsidR="4C3507BF">
              <w:rPr/>
              <w:t>Power Draw (per node)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3B0BCD4A" w14:textId="66BF6BFB">
            <w:pPr>
              <w:spacing w:before="0" w:beforeAutospacing="off" w:after="0" w:afterAutospacing="off"/>
            </w:pPr>
            <w:r w:rsidR="4C3507BF">
              <w:rPr/>
              <w:t>~3.0–3.5 kW</w:t>
            </w:r>
          </w:p>
        </w:tc>
      </w:tr>
      <w:tr w:rsidR="4C3507BF" w:rsidTr="4C3507BF" w14:paraId="55340A8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480FE7F4" w14:textId="3CBCC187">
            <w:pPr>
              <w:spacing w:before="0" w:beforeAutospacing="off" w:after="0" w:afterAutospacing="off"/>
            </w:pPr>
            <w:r w:rsidR="4C3507BF">
              <w:rPr/>
              <w:t>Cooling Requirement (per node)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2F91548C" w14:textId="5E2527C7">
            <w:pPr>
              <w:spacing w:before="0" w:beforeAutospacing="off" w:after="0" w:afterAutospacing="off"/>
            </w:pPr>
            <w:r w:rsidR="4C3507BF">
              <w:rPr/>
              <w:t>~12,000–14,000 BTU/hr</w:t>
            </w:r>
          </w:p>
        </w:tc>
      </w:tr>
      <w:tr w:rsidR="4C3507BF" w:rsidTr="4C3507BF" w14:paraId="041ED0B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35" w:type="dxa"/>
            <w:tcMar/>
          </w:tcPr>
          <w:p w:rsidR="4C3507BF" w:rsidP="4C3507BF" w:rsidRDefault="4C3507BF" w14:paraId="7E4DE25E" w14:textId="1A5A0A08">
            <w:pPr>
              <w:spacing w:before="0" w:beforeAutospacing="off" w:after="0" w:afterAutospacing="off"/>
            </w:pPr>
            <w:r w:rsidR="4C3507BF">
              <w:rPr/>
              <w:t>Approx. Concurrent Users Supported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78" w:type="dxa"/>
            <w:tcMar/>
          </w:tcPr>
          <w:p w:rsidR="4C3507BF" w:rsidP="4C3507BF" w:rsidRDefault="4C3507BF" w14:paraId="6310BBBB" w14:textId="04867ECB">
            <w:pPr>
              <w:spacing w:before="0" w:beforeAutospacing="off" w:after="0" w:afterAutospacing="off"/>
            </w:pPr>
            <w:r w:rsidR="4C3507BF">
              <w:rPr/>
              <w:t>~200–300 real-time LLM sessions</w:t>
            </w:r>
          </w:p>
        </w:tc>
      </w:tr>
    </w:tbl>
    <w:p w:rsidR="5C8A5E80" w:rsidP="4C3507BF" w:rsidRDefault="5C8A5E80" w14:paraId="4925F497" w14:textId="547BC633">
      <w:pPr>
        <w:pStyle w:val="Heading4"/>
        <w:bidi w:val="0"/>
      </w:pPr>
      <w:r w:rsidRPr="4C3507BF" w:rsidR="5C8A5E80">
        <w:rPr>
          <w:noProof w:val="0"/>
          <w:lang w:val="en-US"/>
        </w:rPr>
        <w:t>B. High Headroom / Future-Proof Configuration (per system)</w:t>
      </w:r>
    </w:p>
    <w:tbl>
      <w:tblPr>
        <w:tblStyle w:val="GridTable5Dark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3180"/>
        <w:gridCol w:w="5956"/>
      </w:tblGrid>
      <w:tr w:rsidR="4C3507BF" w:rsidTr="4C3507BF" w14:paraId="0B95B97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32FC754D" w14:textId="44B07FE4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Component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4B6D18C7" w14:textId="386CF8C5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Specification</w:t>
            </w:r>
          </w:p>
        </w:tc>
      </w:tr>
      <w:tr w:rsidR="4C3507BF" w:rsidTr="4C3507BF" w14:paraId="4D080F2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30669C21" w14:textId="4AE4844D">
            <w:pPr>
              <w:bidi w:val="0"/>
              <w:spacing w:before="0" w:beforeAutospacing="off" w:after="0" w:afterAutospacing="off"/>
            </w:pPr>
            <w:r w:rsidR="4C3507BF">
              <w:rPr/>
              <w:t>Server Platform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6F4F7C16" w14:textId="04366693">
            <w:pPr>
              <w:bidi w:val="0"/>
              <w:spacing w:before="0" w:beforeAutospacing="off" w:after="0" w:afterAutospacing="off"/>
            </w:pPr>
            <w:r w:rsidR="4C3507BF">
              <w:rPr/>
              <w:t>NVIDIA DGX H100 / Dell PowerEdge XE9680 / Supermicro 420GP</w:t>
            </w:r>
          </w:p>
        </w:tc>
      </w:tr>
      <w:tr w:rsidR="4C3507BF" w:rsidTr="4C3507BF" w14:paraId="28B073D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372F4866" w14:textId="2F677497">
            <w:pPr>
              <w:bidi w:val="0"/>
              <w:spacing w:before="0" w:beforeAutospacing="off" w:after="0" w:afterAutospacing="off"/>
            </w:pPr>
            <w:r w:rsidR="4C3507BF">
              <w:rPr/>
              <w:t>GPUs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165020CB" w14:textId="6E9A4E18">
            <w:pPr>
              <w:bidi w:val="0"/>
              <w:spacing w:before="0" w:beforeAutospacing="off" w:after="0" w:afterAutospacing="off"/>
            </w:pPr>
            <w:r w:rsidR="4C3507BF">
              <w:rPr/>
              <w:t>8× NVIDIA H100 80GB SXM5 (NVSwitch)</w:t>
            </w:r>
          </w:p>
        </w:tc>
      </w:tr>
      <w:tr w:rsidR="4C3507BF" w:rsidTr="4C3507BF" w14:paraId="1FA0D2F4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469FFAEC" w14:textId="69B64668">
            <w:pPr>
              <w:bidi w:val="0"/>
              <w:spacing w:before="0" w:beforeAutospacing="off" w:after="0" w:afterAutospacing="off"/>
            </w:pPr>
            <w:r w:rsidR="4C3507BF">
              <w:rPr/>
              <w:t>CPU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097B4CA4" w14:textId="55477B82">
            <w:pPr>
              <w:bidi w:val="0"/>
              <w:spacing w:before="0" w:beforeAutospacing="off" w:after="0" w:afterAutospacing="off"/>
            </w:pPr>
            <w:r w:rsidR="4C3507BF">
              <w:rPr/>
              <w:t>2× Intel Xeon 8592+ (2×64-core)</w:t>
            </w:r>
          </w:p>
        </w:tc>
      </w:tr>
      <w:tr w:rsidR="4C3507BF" w:rsidTr="4C3507BF" w14:paraId="34A653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06F80720" w14:textId="7F42B30E">
            <w:pPr>
              <w:bidi w:val="0"/>
              <w:spacing w:before="0" w:beforeAutospacing="off" w:after="0" w:afterAutospacing="off"/>
            </w:pPr>
            <w:r w:rsidR="4C3507BF">
              <w:rPr/>
              <w:t>RAM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5EB9B4A2" w14:textId="647F39ED">
            <w:pPr>
              <w:bidi w:val="0"/>
              <w:spacing w:before="0" w:beforeAutospacing="off" w:after="0" w:afterAutospacing="off"/>
            </w:pPr>
            <w:r w:rsidR="4C3507BF">
              <w:rPr/>
              <w:t>1.5–2 TB DDR5 ECC</w:t>
            </w:r>
          </w:p>
        </w:tc>
      </w:tr>
      <w:tr w:rsidR="4C3507BF" w:rsidTr="4C3507BF" w14:paraId="3F88742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35761276" w14:textId="2CFB25EE">
            <w:pPr>
              <w:bidi w:val="0"/>
              <w:spacing w:before="0" w:beforeAutospacing="off" w:after="0" w:afterAutospacing="off"/>
            </w:pPr>
            <w:r w:rsidR="4C3507BF">
              <w:rPr/>
              <w:t>Storage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6077ECE7" w14:textId="677C1051">
            <w:pPr>
              <w:bidi w:val="0"/>
              <w:spacing w:before="0" w:beforeAutospacing="off" w:after="0" w:afterAutospacing="off"/>
            </w:pPr>
            <w:r w:rsidR="4C3507BF">
              <w:rPr/>
              <w:t>4× 7.68 TB NVMe Gen4 SSDs (RAID 10)</w:t>
            </w:r>
          </w:p>
        </w:tc>
      </w:tr>
      <w:tr w:rsidR="4C3507BF" w:rsidTr="4C3507BF" w14:paraId="38DC886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3EB11C2B" w14:textId="2F052704">
            <w:pPr>
              <w:bidi w:val="0"/>
              <w:spacing w:before="0" w:beforeAutospacing="off" w:after="0" w:afterAutospacing="off"/>
            </w:pPr>
            <w:r w:rsidR="4C3507BF">
              <w:rPr/>
              <w:t>Networking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2D2799EC" w14:textId="54DA7684">
            <w:pPr>
              <w:bidi w:val="0"/>
              <w:spacing w:before="0" w:beforeAutospacing="off" w:after="0" w:afterAutospacing="off"/>
            </w:pPr>
            <w:r w:rsidR="4C3507BF">
              <w:rPr/>
              <w:t>Dual 100 GbE or InfiniBand HDR (200 Gbps)</w:t>
            </w:r>
          </w:p>
        </w:tc>
      </w:tr>
      <w:tr w:rsidR="4C3507BF" w:rsidTr="4C3507BF" w14:paraId="60D89EC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1BD11D86" w14:textId="6CF9BAAD">
            <w:pPr>
              <w:bidi w:val="0"/>
              <w:spacing w:before="0" w:beforeAutospacing="off" w:after="0" w:afterAutospacing="off"/>
            </w:pPr>
            <w:r w:rsidR="4C3507BF">
              <w:rPr/>
              <w:t>Power Draw (per node)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64391979" w14:textId="3C935AC7">
            <w:pPr>
              <w:bidi w:val="0"/>
              <w:spacing w:before="0" w:beforeAutospacing="off" w:after="0" w:afterAutospacing="off"/>
            </w:pPr>
            <w:r w:rsidR="4C3507BF">
              <w:rPr/>
              <w:t>~6.5–7.0 kW</w:t>
            </w:r>
          </w:p>
        </w:tc>
      </w:tr>
      <w:tr w:rsidR="4C3507BF" w:rsidTr="4C3507BF" w14:paraId="4D24AE2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151FC8A6" w14:textId="5005962D">
            <w:pPr>
              <w:bidi w:val="0"/>
              <w:spacing w:before="0" w:beforeAutospacing="off" w:after="0" w:afterAutospacing="off"/>
            </w:pPr>
            <w:r w:rsidR="4C3507BF">
              <w:rPr/>
              <w:t>Cooling Requirement (per node)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143E3B08" w14:textId="182968C1">
            <w:pPr>
              <w:bidi w:val="0"/>
              <w:spacing w:before="0" w:beforeAutospacing="off" w:after="0" w:afterAutospacing="off"/>
            </w:pPr>
            <w:r w:rsidR="4C3507BF">
              <w:rPr/>
              <w:t>~24,000–26,000 BTU/hr</w:t>
            </w:r>
          </w:p>
        </w:tc>
      </w:tr>
      <w:tr w:rsidR="4C3507BF" w:rsidTr="4C3507BF" w14:paraId="15BEE47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80" w:type="dxa"/>
            <w:tcMar/>
          </w:tcPr>
          <w:p w:rsidR="4C3507BF" w:rsidP="4C3507BF" w:rsidRDefault="4C3507BF" w14:paraId="478F7EE7" w14:textId="6555D036">
            <w:pPr>
              <w:bidi w:val="0"/>
              <w:spacing w:before="0" w:beforeAutospacing="off" w:after="0" w:afterAutospacing="off"/>
            </w:pPr>
            <w:r w:rsidR="4C3507BF">
              <w:rPr/>
              <w:t>Approx. Concurrent Users Supported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5956" w:type="dxa"/>
            <w:tcMar/>
          </w:tcPr>
          <w:p w:rsidR="4C3507BF" w:rsidP="4C3507BF" w:rsidRDefault="4C3507BF" w14:paraId="70B0D7F6" w14:textId="09FB79EE">
            <w:pPr>
              <w:bidi w:val="0"/>
              <w:spacing w:before="0" w:beforeAutospacing="off" w:after="0" w:afterAutospacing="off"/>
            </w:pPr>
            <w:r w:rsidR="4C3507BF">
              <w:rPr/>
              <w:t>~450–600 real-time LLM sessions</w:t>
            </w:r>
          </w:p>
        </w:tc>
      </w:tr>
    </w:tbl>
    <w:p w:rsidR="5C8A5E80" w:rsidP="4C3507BF" w:rsidRDefault="5C8A5E80" w14:paraId="1BA9C613" w14:textId="4129571A">
      <w:pPr>
        <w:pStyle w:val="Heading3"/>
        <w:bidi w:val="0"/>
      </w:pPr>
      <w:r w:rsidRPr="4C3507BF" w:rsidR="5C8A5E80">
        <w:rPr>
          <w:noProof w:val="0"/>
          <w:lang w:val="en-US"/>
        </w:rPr>
        <w:t>Part 2: Rack Planning with User Distribution</w:t>
      </w:r>
    </w:p>
    <w:p w:rsidR="5C8A5E80" w:rsidP="4C3507BF" w:rsidRDefault="5C8A5E80" w14:paraId="7CCB15D7" w14:textId="0B730075">
      <w:pPr>
        <w:pStyle w:val="Heading4"/>
        <w:bidi w:val="0"/>
      </w:pPr>
      <w:r w:rsidRPr="4C3507BF" w:rsidR="5C8A5E80">
        <w:rPr>
          <w:noProof w:val="0"/>
          <w:lang w:val="en-US"/>
        </w:rPr>
        <w:t>Assumptions:</w:t>
      </w:r>
    </w:p>
    <w:p w:rsidR="5C8A5E80" w:rsidP="4C3507BF" w:rsidRDefault="5C8A5E80" w14:paraId="145F4415" w14:textId="3D5E9577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5C8A5E80">
        <w:rPr>
          <w:rFonts w:ascii="Aptos" w:hAnsi="Aptos" w:eastAsia="Aptos" w:cs="Aptos"/>
          <w:noProof w:val="0"/>
          <w:sz w:val="24"/>
          <w:szCs w:val="24"/>
          <w:lang w:val="en-US"/>
        </w:rPr>
        <w:t>Standard 42U rack</w:t>
      </w:r>
    </w:p>
    <w:p w:rsidR="5C8A5E80" w:rsidP="4C3507BF" w:rsidRDefault="5C8A5E80" w14:paraId="5DF3AF6C" w14:textId="670FC851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5C8A5E80">
        <w:rPr>
          <w:rFonts w:ascii="Aptos" w:hAnsi="Aptos" w:eastAsia="Aptos" w:cs="Aptos"/>
          <w:noProof w:val="0"/>
          <w:sz w:val="24"/>
          <w:szCs w:val="24"/>
          <w:lang w:val="en-US"/>
        </w:rPr>
        <w:t>4U per high-end server, 4–5 servers max per rack</w:t>
      </w:r>
    </w:p>
    <w:p w:rsidR="5C8A5E80" w:rsidP="4C3507BF" w:rsidRDefault="5C8A5E80" w14:paraId="115DBCEE" w14:textId="5E38D30B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5C8A5E80">
        <w:rPr>
          <w:rFonts w:ascii="Aptos" w:hAnsi="Aptos" w:eastAsia="Aptos" w:cs="Aptos"/>
          <w:noProof w:val="0"/>
          <w:sz w:val="24"/>
          <w:szCs w:val="24"/>
          <w:lang w:val="en-US"/>
        </w:rPr>
        <w:t>4–6 kW per system, high-density cooling needed</w:t>
      </w:r>
    </w:p>
    <w:p w:rsidR="5C8A5E80" w:rsidP="4C3507BF" w:rsidRDefault="5C8A5E80" w14:paraId="753569DF" w14:textId="13297881">
      <w:pPr>
        <w:pStyle w:val="ListParagraph"/>
        <w:numPr>
          <w:ilvl w:val="0"/>
          <w:numId w:val="5"/>
        </w:numPr>
        <w:bidi w:val="0"/>
        <w:spacing w:before="240" w:beforeAutospacing="off" w:after="240" w:afterAutospacing="off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5C8A5E80">
        <w:rPr>
          <w:rFonts w:ascii="Aptos" w:hAnsi="Aptos" w:eastAsia="Aptos" w:cs="Aptos"/>
          <w:noProof w:val="0"/>
          <w:sz w:val="24"/>
          <w:szCs w:val="24"/>
          <w:lang w:val="en-US"/>
        </w:rPr>
        <w:t>Cooling via in-rack liquid cooling or rear-door heat exchangers recommended</w:t>
      </w:r>
    </w:p>
    <w:p w:rsidR="5C8A5E80" w:rsidP="4C3507BF" w:rsidRDefault="5C8A5E80" w14:paraId="34E0B9A0" w14:textId="36F6C624">
      <w:pPr>
        <w:pStyle w:val="Heading4"/>
        <w:bidi w:val="0"/>
      </w:pPr>
      <w:r w:rsidRPr="4C3507BF" w:rsidR="5C8A5E80">
        <w:rPr>
          <w:noProof w:val="0"/>
          <w:lang w:val="en-US"/>
        </w:rPr>
        <w:t>A. Per Rack Capacity Summary</w:t>
      </w:r>
    </w:p>
    <w:tbl>
      <w:tblPr>
        <w:tblStyle w:val="GridTable5Dark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380"/>
        <w:gridCol w:w="3035"/>
        <w:gridCol w:w="1768"/>
        <w:gridCol w:w="1800"/>
      </w:tblGrid>
      <w:tr w:rsidR="4C3507BF" w:rsidTr="4C3507BF" w14:paraId="38CD61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tcMar/>
          </w:tcPr>
          <w:p w:rsidR="4C3507BF" w:rsidP="4C3507BF" w:rsidRDefault="4C3507BF" w14:paraId="04D55F73" w14:textId="417092CF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Rack 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5" w:type="dxa"/>
            <w:tcMar/>
          </w:tcPr>
          <w:p w:rsidR="4C3507BF" w:rsidP="4C3507BF" w:rsidRDefault="4C3507BF" w14:paraId="647332F1" w14:textId="1B293A74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Server 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8" w:type="dxa"/>
            <w:tcMar/>
          </w:tcPr>
          <w:p w:rsidR="4C3507BF" w:rsidP="4C3507BF" w:rsidRDefault="4C3507BF" w14:paraId="0DDA0F90" w14:textId="7909A14E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Servers per Rack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R="4C3507BF" w:rsidP="4C3507BF" w:rsidRDefault="4C3507BF" w14:paraId="617490B3" w14:textId="315F7F41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Users per Rack</w:t>
            </w:r>
          </w:p>
        </w:tc>
      </w:tr>
      <w:tr w:rsidR="4C3507BF" w:rsidTr="4C3507BF" w14:paraId="1641103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tcMar/>
          </w:tcPr>
          <w:p w:rsidR="4C3507BF" w:rsidP="4C3507BF" w:rsidRDefault="4C3507BF" w14:paraId="400B04C3" w14:textId="768B52D9">
            <w:pPr>
              <w:bidi w:val="0"/>
              <w:spacing w:before="0" w:beforeAutospacing="off" w:after="0" w:afterAutospacing="off"/>
            </w:pPr>
            <w:r w:rsidR="4C3507BF">
              <w:rPr/>
              <w:t>Minimum Config Rack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5" w:type="dxa"/>
            <w:tcMar/>
          </w:tcPr>
          <w:p w:rsidR="4C3507BF" w:rsidP="4C3507BF" w:rsidRDefault="4C3507BF" w14:paraId="310C6B23" w14:textId="090565D3">
            <w:pPr>
              <w:bidi w:val="0"/>
              <w:spacing w:before="0" w:beforeAutospacing="off" w:after="0" w:afterAutospacing="off"/>
            </w:pPr>
            <w:r w:rsidR="4C3507BF">
              <w:rPr/>
              <w:t>4× A100 80GB nodes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8" w:type="dxa"/>
            <w:tcMar/>
          </w:tcPr>
          <w:p w:rsidR="4C3507BF" w:rsidP="4C3507BF" w:rsidRDefault="4C3507BF" w14:paraId="19970F60" w14:textId="40982E3B">
            <w:pPr>
              <w:bidi w:val="0"/>
              <w:spacing w:before="0" w:beforeAutospacing="off" w:after="0" w:afterAutospacing="off"/>
            </w:pPr>
            <w:r w:rsidR="4C3507BF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R="4C3507BF" w:rsidP="4C3507BF" w:rsidRDefault="4C3507BF" w14:paraId="62E93608" w14:textId="15A4CA35">
            <w:pPr>
              <w:bidi w:val="0"/>
              <w:spacing w:before="0" w:beforeAutospacing="off" w:after="0" w:afterAutospacing="off"/>
            </w:pPr>
            <w:r w:rsidR="4C3507BF">
              <w:rPr/>
              <w:t>~1,000</w:t>
            </w:r>
          </w:p>
        </w:tc>
      </w:tr>
      <w:tr w:rsidR="4C3507BF" w:rsidTr="4C3507BF" w14:paraId="2239AA1A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tcMar/>
          </w:tcPr>
          <w:p w:rsidR="4C3507BF" w:rsidP="4C3507BF" w:rsidRDefault="4C3507BF" w14:paraId="732ED8B4" w14:textId="180C48A2">
            <w:pPr>
              <w:bidi w:val="0"/>
              <w:spacing w:before="0" w:beforeAutospacing="off" w:after="0" w:afterAutospacing="off"/>
            </w:pPr>
            <w:r w:rsidR="4C3507BF">
              <w:rPr/>
              <w:t>High Headroom Rack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5" w:type="dxa"/>
            <w:tcMar/>
          </w:tcPr>
          <w:p w:rsidR="4C3507BF" w:rsidP="4C3507BF" w:rsidRDefault="4C3507BF" w14:paraId="4C1C4995" w14:textId="65C43627">
            <w:pPr>
              <w:bidi w:val="0"/>
              <w:spacing w:before="0" w:beforeAutospacing="off" w:after="0" w:afterAutospacing="off"/>
            </w:pPr>
            <w:r w:rsidR="4C3507BF">
              <w:rPr/>
              <w:t>8× H100 80GB SXM5 nodes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8" w:type="dxa"/>
            <w:tcMar/>
          </w:tcPr>
          <w:p w:rsidR="4C3507BF" w:rsidP="4C3507BF" w:rsidRDefault="4C3507BF" w14:paraId="27505DE5" w14:textId="59145DFF">
            <w:pPr>
              <w:bidi w:val="0"/>
              <w:spacing w:before="0" w:beforeAutospacing="off" w:after="0" w:afterAutospacing="off"/>
            </w:pPr>
            <w:r w:rsidR="4C3507BF">
              <w:rPr/>
              <w:t>4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R="4C3507BF" w:rsidP="4C3507BF" w:rsidRDefault="4C3507BF" w14:paraId="055F8F2F" w14:textId="64B10C39">
            <w:pPr>
              <w:bidi w:val="0"/>
              <w:spacing w:before="0" w:beforeAutospacing="off" w:after="0" w:afterAutospacing="off"/>
            </w:pPr>
            <w:r w:rsidR="4C3507BF">
              <w:rPr/>
              <w:t>~2,000</w:t>
            </w:r>
          </w:p>
        </w:tc>
      </w:tr>
      <w:tr w:rsidR="4C3507BF" w:rsidTr="4C3507BF" w14:paraId="06160E6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tcMar/>
          </w:tcPr>
          <w:p w:rsidR="4C3507BF" w:rsidP="4C3507BF" w:rsidRDefault="4C3507BF" w14:paraId="0A025000" w14:textId="01352EA6">
            <w:pPr>
              <w:bidi w:val="0"/>
              <w:spacing w:before="0" w:beforeAutospacing="off" w:after="0" w:afterAutospacing="off"/>
            </w:pPr>
            <w:r w:rsidR="4C3507BF">
              <w:rPr/>
              <w:t>Embedding / Vector DB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5" w:type="dxa"/>
            <w:tcMar/>
          </w:tcPr>
          <w:p w:rsidR="4C3507BF" w:rsidP="4C3507BF" w:rsidRDefault="4C3507BF" w14:paraId="1FB75E3B" w14:textId="06B3988F">
            <w:pPr>
              <w:bidi w:val="0"/>
              <w:spacing w:before="0" w:beforeAutospacing="off" w:after="0" w:afterAutospacing="off"/>
            </w:pPr>
            <w:r w:rsidR="4C3507BF">
              <w:rPr/>
              <w:t>2–3× L40S or A100 light nodes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8" w:type="dxa"/>
            <w:tcMar/>
          </w:tcPr>
          <w:p w:rsidR="4C3507BF" w:rsidP="4C3507BF" w:rsidRDefault="4C3507BF" w14:paraId="7294FDFA" w14:textId="101993F6">
            <w:pPr>
              <w:bidi w:val="0"/>
              <w:spacing w:before="0" w:beforeAutospacing="off" w:after="0" w:afterAutospacing="off"/>
            </w:pPr>
            <w:r w:rsidR="4C3507BF">
              <w:rPr/>
              <w:t>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R="4C3507BF" w:rsidP="4C3507BF" w:rsidRDefault="4C3507BF" w14:paraId="3FE33623" w14:textId="623B65CE">
            <w:pPr>
              <w:bidi w:val="0"/>
              <w:spacing w:before="0" w:beforeAutospacing="off" w:after="0" w:afterAutospacing="off"/>
            </w:pPr>
            <w:r w:rsidR="4C3507BF">
              <w:rPr/>
              <w:t>Supports ~6,000+</w:t>
            </w:r>
          </w:p>
        </w:tc>
      </w:tr>
      <w:tr w:rsidR="4C3507BF" w:rsidTr="4C3507BF" w14:paraId="6852AF99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80" w:type="dxa"/>
            <w:tcMar/>
          </w:tcPr>
          <w:p w:rsidR="4C3507BF" w:rsidP="4C3507BF" w:rsidRDefault="4C3507BF" w14:paraId="72CE0BA9" w14:textId="39199B94">
            <w:pPr>
              <w:bidi w:val="0"/>
              <w:spacing w:before="0" w:beforeAutospacing="off" w:after="0" w:afterAutospacing="off"/>
            </w:pPr>
            <w:r w:rsidR="4C3507BF">
              <w:rPr/>
              <w:t>Admin/Monitoring Rack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3035" w:type="dxa"/>
            <w:tcMar/>
          </w:tcPr>
          <w:p w:rsidR="4C3507BF" w:rsidP="4C3507BF" w:rsidRDefault="4C3507BF" w14:paraId="18800171" w14:textId="630B5D53">
            <w:pPr>
              <w:bidi w:val="0"/>
              <w:spacing w:before="0" w:beforeAutospacing="off" w:after="0" w:afterAutospacing="off"/>
            </w:pPr>
            <w:r w:rsidR="4C3507BF">
              <w:rPr/>
              <w:t>No GPU / Light GPU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768" w:type="dxa"/>
            <w:tcMar/>
          </w:tcPr>
          <w:p w:rsidR="4C3507BF" w:rsidP="4C3507BF" w:rsidRDefault="4C3507BF" w14:paraId="21BD42AB" w14:textId="5A445BD9">
            <w:pPr>
              <w:bidi w:val="0"/>
              <w:spacing w:before="0" w:beforeAutospacing="off" w:after="0" w:afterAutospacing="off"/>
            </w:pPr>
            <w:r w:rsidR="4C3507BF">
              <w:rPr/>
              <w:t>2–3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00" w:type="dxa"/>
            <w:tcMar/>
          </w:tcPr>
          <w:p w:rsidR="4C3507BF" w:rsidP="4C3507BF" w:rsidRDefault="4C3507BF" w14:paraId="4755F998" w14:textId="16332C8D">
            <w:pPr>
              <w:bidi w:val="0"/>
              <w:spacing w:before="0" w:beforeAutospacing="off" w:after="0" w:afterAutospacing="off"/>
            </w:pPr>
            <w:r w:rsidR="4C3507BF">
              <w:rPr/>
              <w:t>N/A</w:t>
            </w:r>
          </w:p>
        </w:tc>
      </w:tr>
    </w:tbl>
    <w:p w:rsidR="48C3084A" w:rsidP="4C3507BF" w:rsidRDefault="48C3084A" w14:paraId="0BB2E974" w14:textId="3AC5ED1C">
      <w:pPr>
        <w:pStyle w:val="Heading4"/>
        <w:bidi w:val="0"/>
      </w:pPr>
      <w:r w:rsidRPr="4C3507BF" w:rsidR="48C3084A">
        <w:rPr>
          <w:noProof w:val="0"/>
          <w:lang w:val="en-US"/>
        </w:rPr>
        <w:t xml:space="preserve">B. </w:t>
      </w:r>
      <w:r w:rsidRPr="4C3507BF" w:rsidR="5C8A5E80">
        <w:rPr>
          <w:noProof w:val="0"/>
          <w:lang w:val="en-US"/>
        </w:rPr>
        <w:t>Cooling Setup Recommendation</w:t>
      </w:r>
    </w:p>
    <w:tbl>
      <w:tblPr>
        <w:tblStyle w:val="GridTable5Dark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820"/>
        <w:gridCol w:w="6120"/>
      </w:tblGrid>
      <w:tr w:rsidR="4C3507BF" w:rsidTr="4C3507BF" w14:paraId="1D8A08F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tcMar/>
          </w:tcPr>
          <w:p w:rsidR="5066A595" w:rsidP="4C3507BF" w:rsidRDefault="5066A595" w14:paraId="595CB28C" w14:textId="754D3DCA">
            <w:pPr>
              <w:pStyle w:val="Normal"/>
              <w:bidi w:val="0"/>
              <w:rPr>
                <w:noProof w:val="0"/>
                <w:lang w:val="en-US"/>
              </w:rPr>
            </w:pPr>
            <w:r w:rsidRPr="4C3507BF" w:rsidR="5066A595">
              <w:rPr>
                <w:noProof w:val="0"/>
                <w:lang w:val="en-US"/>
              </w:rPr>
              <w:t>Configuration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20" w:type="dxa"/>
            <w:tcMar/>
          </w:tcPr>
          <w:p w:rsidR="5066A595" w:rsidP="4C3507BF" w:rsidRDefault="5066A595" w14:paraId="6E15BFEA" w14:textId="3F629155">
            <w:pPr>
              <w:pStyle w:val="Normal"/>
              <w:bidi w:val="0"/>
              <w:rPr>
                <w:noProof w:val="0"/>
                <w:lang w:val="en-US"/>
              </w:rPr>
            </w:pPr>
            <w:r w:rsidRPr="4C3507BF" w:rsidR="5066A595">
              <w:rPr>
                <w:noProof w:val="0"/>
                <w:lang w:val="en-US"/>
              </w:rPr>
              <w:t>Cooling Setup</w:t>
            </w:r>
          </w:p>
        </w:tc>
      </w:tr>
      <w:tr w:rsidR="4C3507BF" w:rsidTr="4C3507BF" w14:paraId="02E8730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tcMar/>
          </w:tcPr>
          <w:p w:rsidR="5066A595" w:rsidRDefault="5066A595" w14:paraId="0C0424CE" w14:textId="684C7802">
            <w:r w:rsidRPr="4C3507BF" w:rsidR="5066A59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Minimum Config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20" w:type="dxa"/>
            <w:tcMar/>
          </w:tcPr>
          <w:p w:rsidR="5066A595" w:rsidRDefault="5066A595" w14:paraId="63CDE2B0" w14:textId="3BFC5314">
            <w:r w:rsidRPr="4C3507BF" w:rsidR="5066A59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Hot aisle/cold aisle + 20 kW CRAC units per rack or rear-door heat exchangers</w:t>
            </w:r>
          </w:p>
        </w:tc>
      </w:tr>
      <w:tr w:rsidR="4C3507BF" w:rsidTr="4C3507BF" w14:paraId="29308EF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tcMar/>
          </w:tcPr>
          <w:p w:rsidR="5066A595" w:rsidRDefault="5066A595" w14:paraId="10C1F731" w14:textId="5CA68F7D">
            <w:r w:rsidRPr="4C3507BF" w:rsidR="5066A59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High Headroom Config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20" w:type="dxa"/>
            <w:tcMar/>
          </w:tcPr>
          <w:p w:rsidR="5066A595" w:rsidRDefault="5066A595" w14:paraId="57905111" w14:textId="509557F7">
            <w:r w:rsidRPr="4C3507BF" w:rsidR="5066A59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Direct-to-chip liquid cooling (e.g., CoolIT) or rear-door liquid-cooled units, 30–35 kW per rack</w:t>
            </w:r>
          </w:p>
        </w:tc>
      </w:tr>
      <w:tr w:rsidR="4C3507BF" w:rsidTr="4C3507BF" w14:paraId="57B0DAD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20" w:type="dxa"/>
            <w:tcMar/>
          </w:tcPr>
          <w:p w:rsidR="5066A595" w:rsidRDefault="5066A595" w14:paraId="331AF14C" w14:textId="3664A8E5">
            <w:r w:rsidRPr="4C3507BF" w:rsidR="5066A59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All Racks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6120" w:type="dxa"/>
            <w:tcMar/>
          </w:tcPr>
          <w:p w:rsidR="5066A595" w:rsidRDefault="5066A595" w14:paraId="35111D0B" w14:textId="21ADF8B4">
            <w:r w:rsidRPr="4C3507BF" w:rsidR="5066A595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Raised floor + environmental monitoring (for airflow, pressure, humidity)</w:t>
            </w:r>
          </w:p>
        </w:tc>
      </w:tr>
    </w:tbl>
    <w:p w:rsidR="5C8A5E80" w:rsidP="4C3507BF" w:rsidRDefault="5C8A5E80" w14:paraId="04B6B39B" w14:textId="02B1D07B">
      <w:pPr>
        <w:pStyle w:val="Heading3"/>
        <w:bidi w:val="0"/>
        <w:ind w:left="0"/>
      </w:pPr>
      <w:r w:rsidRPr="4C3507BF" w:rsidR="5C8A5E80">
        <w:rPr>
          <w:noProof w:val="0"/>
          <w:lang w:val="en-US"/>
        </w:rPr>
        <w:t>Part 3: Deployment Planning for 6,000 Concurrent Users</w:t>
      </w:r>
    </w:p>
    <w:tbl>
      <w:tblPr>
        <w:tblStyle w:val="GridTable5Dark-Accent1"/>
        <w:bidiVisual w:val="0"/>
        <w:tblW w:w="0" w:type="auto"/>
        <w:tblLayout w:type="fixed"/>
        <w:tblLook w:val="06A0" w:firstRow="1" w:lastRow="0" w:firstColumn="1" w:lastColumn="0" w:noHBand="1" w:noVBand="1"/>
      </w:tblPr>
      <w:tblGrid>
        <w:gridCol w:w="2312"/>
        <w:gridCol w:w="1893"/>
        <w:gridCol w:w="1942"/>
        <w:gridCol w:w="2895"/>
      </w:tblGrid>
      <w:tr w:rsidR="4C3507BF" w:rsidTr="4C3507BF" w14:paraId="4E6274C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Mar/>
          </w:tcPr>
          <w:p w:rsidR="4C3507BF" w:rsidP="4C3507BF" w:rsidRDefault="4C3507BF" w14:paraId="25003E28" w14:textId="283DBDDC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Configuration Type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93" w:type="dxa"/>
            <w:tcMar/>
          </w:tcPr>
          <w:p w:rsidR="4C3507BF" w:rsidP="4C3507BF" w:rsidRDefault="4C3507BF" w14:paraId="5C3BF809" w14:textId="629A3A12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Servers Needed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42" w:type="dxa"/>
            <w:tcMar/>
          </w:tcPr>
          <w:p w:rsidR="4C3507BF" w:rsidP="4C3507BF" w:rsidRDefault="4C3507BF" w14:paraId="3D042B3C" w14:textId="47CE19B3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Racks Required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5" w:type="dxa"/>
            <w:tcMar/>
          </w:tcPr>
          <w:p w:rsidR="4C3507BF" w:rsidP="4C3507BF" w:rsidRDefault="4C3507BF" w14:paraId="4FFACC4D" w14:textId="0F83D875">
            <w:pPr>
              <w:bidi w:val="0"/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Total Users Covered</w:t>
            </w:r>
          </w:p>
        </w:tc>
      </w:tr>
      <w:tr w:rsidR="4C3507BF" w:rsidTr="4C3507BF" w14:paraId="054FDF37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Mar/>
          </w:tcPr>
          <w:p w:rsidR="4C3507BF" w:rsidP="4C3507BF" w:rsidRDefault="4C3507BF" w14:paraId="280376DE" w14:textId="700082ED">
            <w:pPr>
              <w:bidi w:val="0"/>
              <w:spacing w:before="0" w:beforeAutospacing="off" w:after="0" w:afterAutospacing="off"/>
            </w:pPr>
            <w:r w:rsidR="4C3507BF">
              <w:rPr/>
              <w:t>High Headroom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93" w:type="dxa"/>
            <w:tcMar/>
          </w:tcPr>
          <w:p w:rsidR="4C3507BF" w:rsidP="4C3507BF" w:rsidRDefault="4C3507BF" w14:paraId="28868D3C" w14:textId="4DEA1AD3">
            <w:pPr>
              <w:bidi w:val="0"/>
              <w:spacing w:before="0" w:beforeAutospacing="off" w:after="0" w:afterAutospacing="off"/>
            </w:pPr>
            <w:r w:rsidR="4C3507BF">
              <w:rPr/>
              <w:t>12–15 servers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42" w:type="dxa"/>
            <w:tcMar/>
          </w:tcPr>
          <w:p w:rsidR="4C3507BF" w:rsidP="4C3507BF" w:rsidRDefault="4C3507BF" w14:paraId="548FA105" w14:textId="2C924C3C">
            <w:pPr>
              <w:bidi w:val="0"/>
              <w:spacing w:before="0" w:beforeAutospacing="off" w:after="0" w:afterAutospacing="off"/>
            </w:pPr>
            <w:r w:rsidR="4C3507BF">
              <w:rPr/>
              <w:t>3–4 racks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5" w:type="dxa"/>
            <w:tcMar/>
          </w:tcPr>
          <w:p w:rsidR="4C3507BF" w:rsidP="4C3507BF" w:rsidRDefault="4C3507BF" w14:paraId="61CC100F" w14:textId="187AA5F9">
            <w:pPr>
              <w:bidi w:val="0"/>
              <w:spacing w:before="0" w:beforeAutospacing="off" w:after="0" w:afterAutospacing="off"/>
            </w:pPr>
            <w:r w:rsidR="4C3507BF">
              <w:rPr/>
              <w:t>6,000–7,500</w:t>
            </w:r>
          </w:p>
        </w:tc>
      </w:tr>
      <w:tr w:rsidR="4C3507BF" w:rsidTr="4C3507BF" w14:paraId="469DB81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12" w:type="dxa"/>
            <w:tcMar/>
          </w:tcPr>
          <w:p w:rsidR="4C3507BF" w:rsidP="4C3507BF" w:rsidRDefault="4C3507BF" w14:paraId="2C653E16" w14:textId="67D96B09">
            <w:pPr>
              <w:bidi w:val="0"/>
              <w:spacing w:before="0" w:beforeAutospacing="off" w:after="0" w:afterAutospacing="off"/>
            </w:pPr>
            <w:r w:rsidR="4C3507BF">
              <w:rPr/>
              <w:t>Minimum Config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893" w:type="dxa"/>
            <w:tcMar/>
          </w:tcPr>
          <w:p w:rsidR="4C3507BF" w:rsidP="4C3507BF" w:rsidRDefault="4C3507BF" w14:paraId="2FC3911D" w14:textId="0D3719A1">
            <w:pPr>
              <w:bidi w:val="0"/>
              <w:spacing w:before="0" w:beforeAutospacing="off" w:after="0" w:afterAutospacing="off"/>
            </w:pPr>
            <w:r w:rsidR="4C3507BF">
              <w:rPr/>
              <w:t>20–24 servers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1942" w:type="dxa"/>
            <w:tcMar/>
          </w:tcPr>
          <w:p w:rsidR="4C3507BF" w:rsidP="4C3507BF" w:rsidRDefault="4C3507BF" w14:paraId="6883D24D" w14:textId="4BA74DA9">
            <w:pPr>
              <w:bidi w:val="0"/>
              <w:spacing w:before="0" w:beforeAutospacing="off" w:after="0" w:afterAutospacing="off"/>
            </w:pPr>
            <w:r w:rsidR="4C3507BF">
              <w:rPr/>
              <w:t>5–6 racks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895" w:type="dxa"/>
            <w:tcMar/>
          </w:tcPr>
          <w:p w:rsidR="4C3507BF" w:rsidP="4C3507BF" w:rsidRDefault="4C3507BF" w14:paraId="0B60D630" w14:textId="46A13AF5">
            <w:pPr>
              <w:bidi w:val="0"/>
              <w:spacing w:before="0" w:beforeAutospacing="off" w:after="0" w:afterAutospacing="off"/>
            </w:pPr>
            <w:r w:rsidR="4C3507BF">
              <w:rPr/>
              <w:t>6,000–7,200</w:t>
            </w:r>
          </w:p>
        </w:tc>
      </w:tr>
    </w:tbl>
    <w:p w:rsidR="5C8A5E80" w:rsidP="4C3507BF" w:rsidRDefault="5C8A5E80" w14:paraId="47FE61E9" w14:textId="5DD517E7">
      <w:pPr>
        <w:pStyle w:val="Heading3"/>
        <w:bidi w:val="0"/>
        <w:ind w:left="0"/>
      </w:pPr>
      <w:r w:rsidRPr="4C3507BF" w:rsidR="5C8A5E80">
        <w:rPr>
          <w:noProof w:val="0"/>
          <w:lang w:val="en-US"/>
        </w:rPr>
        <w:t>Part 4: Summary Table for IT/Procurement Teams</w:t>
      </w:r>
    </w:p>
    <w:tbl>
      <w:tblPr>
        <w:tblStyle w:val="GridTable5Dark-Accent1"/>
        <w:tblW w:w="0" w:type="auto"/>
        <w:tblLayout w:type="fixed"/>
        <w:tblLook w:val="06A0" w:firstRow="1" w:lastRow="0" w:firstColumn="1" w:lastColumn="0" w:noHBand="1" w:noVBand="1"/>
      </w:tblPr>
      <w:tblGrid>
        <w:gridCol w:w="2340"/>
        <w:gridCol w:w="2340"/>
        <w:gridCol w:w="2340"/>
        <w:gridCol w:w="2025"/>
      </w:tblGrid>
      <w:tr w:rsidR="4C3507BF" w:rsidTr="4C3507BF" w14:paraId="64A7FB3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C3507BF" w:rsidP="4C3507BF" w:rsidRDefault="4C3507BF" w14:paraId="77F848A0" w14:textId="0A2CF947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Layer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C3507BF" w:rsidP="4C3507BF" w:rsidRDefault="4C3507BF" w14:paraId="01297A77" w14:textId="48F49336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Count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4C3507BF" w:rsidP="4C3507BF" w:rsidRDefault="4C3507BF" w14:paraId="1C9C5E3B" w14:textId="428AE93A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Capacity per Unit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4C3507BF" w:rsidP="4C3507BF" w:rsidRDefault="4C3507BF" w14:paraId="5229FF34" w14:textId="54284078">
            <w:pPr>
              <w:spacing w:before="0" w:beforeAutospacing="off" w:after="0" w:afterAutospacing="off"/>
              <w:jc w:val="center"/>
            </w:pPr>
            <w:r w:rsidRPr="4C3507BF" w:rsidR="4C3507BF">
              <w:rPr>
                <w:b w:val="1"/>
                <w:bCs w:val="1"/>
              </w:rPr>
              <w:t>Total Capacity</w:t>
            </w:r>
          </w:p>
        </w:tc>
      </w:tr>
      <w:tr w:rsidR="4C3507BF" w:rsidTr="4C3507BF" w14:paraId="4F448281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23832226" w14:textId="6F8AE91F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Inference Servers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072EA694" w14:textId="65BCB75B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12–15 (H100) or 20–24 (A100)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64D8EE81" w14:textId="6B05AABF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400–600 (H100) / 200–300 (A100) users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590FA708" w:rsidRDefault="590FA708" w14:paraId="47B24C48" w14:textId="391F653B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6,000+ users</w:t>
            </w:r>
          </w:p>
        </w:tc>
      </w:tr>
      <w:tr w:rsidR="4C3507BF" w:rsidTr="4C3507BF" w14:paraId="40F4B3D6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26BE8C0C" w14:textId="15F10BC1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Rack Units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367258AF" w14:textId="4621E531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3–4 (H100) or 5–6 (A100)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2B31B378" w14:textId="67FB754E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2,000+ users (H100) / 1,000+ (A100)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590FA708" w:rsidRDefault="590FA708" w14:paraId="39A0684A" w14:textId="2E490354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Scalable as needed</w:t>
            </w:r>
          </w:p>
        </w:tc>
      </w:tr>
      <w:tr w:rsidR="4C3507BF" w:rsidTr="4C3507BF" w14:paraId="1872DC30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7C9E03DC" w14:textId="5E398ECC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Retrieval Nodes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06CA9088" w14:textId="7E335EC0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2–3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531AC852" w14:textId="0128F9E5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Shared async vector DB (e.g., Faiss, Qdrant)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590FA708" w:rsidRDefault="590FA708" w14:paraId="2D395EF2" w14:textId="4219F0F7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N/A</w:t>
            </w:r>
          </w:p>
        </w:tc>
      </w:tr>
      <w:tr w:rsidR="4C3507BF" w:rsidTr="4C3507BF" w14:paraId="4ADC8225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0A3CA6E9" w14:textId="6AAE60B2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Admin/Storage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2C211B70" w14:textId="251B292F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2–3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6AA7F9F1" w14:textId="446D41AF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Monitoring, logging, backups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590FA708" w:rsidRDefault="590FA708" w14:paraId="7ECFF770" w14:textId="24B86850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N/A</w:t>
            </w:r>
          </w:p>
        </w:tc>
      </w:tr>
      <w:tr w:rsidR="4C3507BF" w:rsidTr="4C3507BF" w14:paraId="143CFF8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731D31CF" w14:textId="3492EC97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Storage Backend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2690D757" w14:textId="62DFD4D0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~50–100 TB (NVMe + NAS/RAID)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340" w:type="dxa"/>
            <w:tcMar/>
          </w:tcPr>
          <w:p w:rsidR="590FA708" w:rsidRDefault="590FA708" w14:paraId="5255E110" w14:textId="51BBBE67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PDF/doc ingestion, logs, finetuned weights</w:t>
            </w:r>
          </w:p>
        </w:tc>
        <w:tc>
          <w:tcPr>
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w:tcW w:w="2025" w:type="dxa"/>
            <w:tcMar/>
          </w:tcPr>
          <w:p w:rsidR="590FA708" w:rsidRDefault="590FA708" w14:paraId="35AD4183" w14:textId="27BDDF76">
            <w:r w:rsidRPr="4C3507BF" w:rsidR="590FA708">
              <w:rPr>
                <w:rFonts w:ascii="Aptos" w:hAnsi="Aptos" w:eastAsia="Aptos" w:cs="Aptos"/>
                <w:noProof w:val="0"/>
                <w:sz w:val="24"/>
                <w:szCs w:val="24"/>
                <w:lang w:val="en-US"/>
              </w:rPr>
              <w:t>Scalable</w:t>
            </w:r>
          </w:p>
        </w:tc>
      </w:tr>
    </w:tbl>
    <w:p w:rsidR="3234EA97" w:rsidP="4C3507BF" w:rsidRDefault="3234EA97" w14:paraId="5989A7B8" w14:textId="13B013D4">
      <w:pPr>
        <w:pStyle w:val="Heading2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4C3507BF" w:rsidR="3234EA97">
        <w:rPr>
          <w:noProof w:val="0"/>
          <w:lang w:val="en-US"/>
        </w:rPr>
        <w:t>3. Basic Architectural Overview</w:t>
      </w:r>
    </w:p>
    <w:p w:rsidR="3234EA97" w:rsidP="4C3507BF" w:rsidRDefault="3234EA97" w14:paraId="7F2D7E00" w14:textId="3EBF3415">
      <w:pPr>
        <w:rPr>
          <w:noProof w:val="0"/>
          <w:lang w:val="en-US"/>
        </w:rPr>
      </w:pPr>
      <w:r w:rsidR="3234EA97">
        <w:drawing>
          <wp:inline wp14:editId="4038A694" wp14:anchorId="3EF291EC">
            <wp:extent cx="5943600" cy="5943600"/>
            <wp:effectExtent l="0" t="0" r="0" b="0"/>
            <wp:docPr id="1936264494" name="drawing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936264494" name=""/>
                    <pic:cNvPicPr/>
                  </pic:nvPicPr>
                  <pic:blipFill>
                    <a:blip xmlns:r="http://schemas.openxmlformats.org/officeDocument/2006/relationships" r:embed="rId207618586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569f999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68458721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a2c66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609cdb7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a4923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21BC02"/>
    <w:rsid w:val="011BB4DF"/>
    <w:rsid w:val="01FB6B9A"/>
    <w:rsid w:val="04323CD1"/>
    <w:rsid w:val="074AF87D"/>
    <w:rsid w:val="0CCE5084"/>
    <w:rsid w:val="10349615"/>
    <w:rsid w:val="10494548"/>
    <w:rsid w:val="1217F10D"/>
    <w:rsid w:val="13C5038E"/>
    <w:rsid w:val="17C2EF73"/>
    <w:rsid w:val="1869F0B8"/>
    <w:rsid w:val="1884B750"/>
    <w:rsid w:val="19D1D193"/>
    <w:rsid w:val="1B23E8A2"/>
    <w:rsid w:val="1BCB5C58"/>
    <w:rsid w:val="1CF1F2A3"/>
    <w:rsid w:val="1ECA6F17"/>
    <w:rsid w:val="20097DBE"/>
    <w:rsid w:val="222AEE71"/>
    <w:rsid w:val="22F67E2E"/>
    <w:rsid w:val="239F741B"/>
    <w:rsid w:val="26A6FD6E"/>
    <w:rsid w:val="26A6FD6E"/>
    <w:rsid w:val="29D64C49"/>
    <w:rsid w:val="2A0AFA35"/>
    <w:rsid w:val="2B39D9DE"/>
    <w:rsid w:val="2B4A3B1C"/>
    <w:rsid w:val="3234EA97"/>
    <w:rsid w:val="36C4C24D"/>
    <w:rsid w:val="3B4ED094"/>
    <w:rsid w:val="4048A852"/>
    <w:rsid w:val="4134D0A9"/>
    <w:rsid w:val="4134D0A9"/>
    <w:rsid w:val="442A3CD8"/>
    <w:rsid w:val="4501AB68"/>
    <w:rsid w:val="45BA79E6"/>
    <w:rsid w:val="45FBA2DB"/>
    <w:rsid w:val="462E8293"/>
    <w:rsid w:val="486BB8C8"/>
    <w:rsid w:val="48C3084A"/>
    <w:rsid w:val="4918E963"/>
    <w:rsid w:val="4918E963"/>
    <w:rsid w:val="4953A63E"/>
    <w:rsid w:val="495FDF17"/>
    <w:rsid w:val="4B580C19"/>
    <w:rsid w:val="4C3507BF"/>
    <w:rsid w:val="4D3CAFB2"/>
    <w:rsid w:val="5066A595"/>
    <w:rsid w:val="514FC02E"/>
    <w:rsid w:val="52523823"/>
    <w:rsid w:val="57654FB5"/>
    <w:rsid w:val="5765C686"/>
    <w:rsid w:val="590082A4"/>
    <w:rsid w:val="590FA708"/>
    <w:rsid w:val="5AD3209B"/>
    <w:rsid w:val="5C18964A"/>
    <w:rsid w:val="5C8A5E80"/>
    <w:rsid w:val="5F12276C"/>
    <w:rsid w:val="5FEFC92E"/>
    <w:rsid w:val="5FF82142"/>
    <w:rsid w:val="62A4FAF3"/>
    <w:rsid w:val="637966CE"/>
    <w:rsid w:val="64D7B701"/>
    <w:rsid w:val="65DF8CF5"/>
    <w:rsid w:val="688F2854"/>
    <w:rsid w:val="6B8216F8"/>
    <w:rsid w:val="6FFA7FD0"/>
    <w:rsid w:val="7021BC02"/>
    <w:rsid w:val="76BF4663"/>
    <w:rsid w:val="787C61D2"/>
    <w:rsid w:val="7D9BA0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21BC02"/>
  <w15:chartTrackingRefBased/>
  <w15:docId w15:val="{D0F14425-6033-4FAC-BAE3-805BA43E3A9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uiPriority w:val="34"/>
    <w:name w:val="List Paragraph"/>
    <w:basedOn w:val="Normal"/>
    <w:qFormat/>
    <w:rsid w:val="4C3507BF"/>
    <w:pPr>
      <w:spacing/>
      <w:ind w:left="720"/>
      <w:contextualSpacing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table" w:styleId="GridTable5Dark-Accent1" mc:Ignorable="w14">
    <w:name xmlns:w="http://schemas.openxmlformats.org/wordprocessingml/2006/main" w:val="Grid Table 5 Dark Accent 1"/>
    <w:basedOn xmlns:w="http://schemas.openxmlformats.org/wordprocessingml/2006/main" w:val="TableNormal"/>
    <w:uiPriority xmlns:w="http://schemas.openxmlformats.org/wordprocessingml/2006/main" w:val="50"/>
    <w:pPr xmlns:w="http://schemas.openxmlformats.org/wordprocessingml/2006/main">
      <w:spacing xmlns:w="http://schemas.openxmlformats.org/wordprocessingml/2006/main" w:after="0" w:line="240" w:lineRule="auto"/>
    </w:pPr>
    <w:tblPr xmlns:w="http://schemas.openxmlformats.org/wordprocessingml/2006/main">
      <w:tblStyleRowBandSize w:val="1"/>
      <w:tblStyleColBandSize w:val="1"/>
      <w:tblInd w:w="0" w:type="dxa"/>
      <w:tblBorders>
        <w:top w:val="single" w:color="FFFFFF" w:themeColor="background1" w:sz="4" w:space="0"/>
        <w:left w:val="single" w:color="FFFFFF" w:themeColor="background1" w:sz="4" w:space="0"/>
        <w:bottom w:val="single" w:color="FFFFFF" w:themeColor="background1" w:sz="4" w:space="0"/>
        <w:right w:val="single" w:color="FFFFFF" w:themeColor="background1" w:sz="4" w:space="0"/>
        <w:insideH w:val="single" w:color="FFFFFF" w:themeColor="background1" w:sz="4" w:space="0"/>
        <w:insideV w:val="single" w:color="FFFFFF" w:themeColor="background1" w:sz="4" w:space="0"/>
      </w:tblBorders>
      <w:tblCellMar>
        <w:top w:w="0" w:type="dxa"/>
        <w:left w:w="108" w:type="dxa"/>
        <w:bottom w:w="0" w:type="dxa"/>
        <w:right w:w="108" w:type="dxa"/>
      </w:tblCellMar>
    </w:tblPr>
    <w:tcPr xmlns:w="http://schemas.openxmlformats.org/wordprocessingml/2006/main">
      <w:shd w:val="clear" w:color="auto" w:fill="DEEAF6" w:themeFill="accent1" w:themeFillTint="33"/>
    </w:tcPr>
    <w:tblStylePr xmlns:w="http://schemas.openxmlformats.org/wordprocessingml/2006/main" w:type="firstRow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Row">
      <w:rPr>
        <w:b/>
        <w:bCs/>
        <w:color w:val="FFFFFF" w:themeColor="background1"/>
      </w:rPr>
      <w:tblPr/>
      <w:tcPr>
        <w:tcBorders>
          <w:left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H w:val="nil"/>
          <w:insideV w:val="nil"/>
        </w:tcBorders>
        <w:shd w:val="clear" w:color="auto" w:fill="5B9BD5" w:themeFill="accent1"/>
      </w:tcPr>
    </w:tblStylePr>
    <w:tblStylePr xmlns:w="http://schemas.openxmlformats.org/wordprocessingml/2006/main" w:type="fir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left w:val="single" w:color="FFFFFF" w:themeColor="background1" w:sz="4" w:space="0"/>
          <w:bottom w:val="single" w:color="FFFFFF" w:themeColor="background1" w:sz="4" w:space="0"/>
          <w:insideV w:val="nil"/>
        </w:tcBorders>
        <w:shd w:val="clear" w:color="auto" w:fill="5B9BD5" w:themeFill="accent1"/>
      </w:tcPr>
    </w:tblStylePr>
    <w:tblStylePr xmlns:w="http://schemas.openxmlformats.org/wordprocessingml/2006/main" w:type="lastCol">
      <w:rPr>
        <w:b/>
        <w:bCs/>
        <w:color w:val="FFFFFF" w:themeColor="background1"/>
      </w:rPr>
      <w:tblPr/>
      <w:tcPr>
        <w:tcBorders>
          <w:top w:val="single" w:color="FFFFFF" w:themeColor="background1" w:sz="4" w:space="0"/>
          <w:bottom w:val="single" w:color="FFFFFF" w:themeColor="background1" w:sz="4" w:space="0"/>
          <w:right w:val="single" w:color="FFFFFF" w:themeColor="background1" w:sz="4" w:space="0"/>
          <w:insideV w:val="nil"/>
        </w:tcBorders>
        <w:shd w:val="clear" w:color="auto" w:fill="5B9BD5" w:themeFill="accent1"/>
      </w:tcPr>
    </w:tblStylePr>
    <w:tblStylePr xmlns:w="http://schemas.openxmlformats.org/wordprocessingml/2006/main" w:type="band1Vert">
      <w:tblPr/>
      <w:tcPr>
        <w:shd w:val="clear" w:color="auto" w:fill="BDD6EE" w:themeFill="accent1" w:themeFillTint="66"/>
      </w:tcPr>
    </w:tblStylePr>
    <w:tblStylePr xmlns:w="http://schemas.openxmlformats.org/wordprocessingml/2006/main" w:type="band1Horz">
      <w:tblPr/>
      <w:tcPr>
        <w:shd w:val="clear" w:color="auto" w:fill="BDD6EE" w:themeFill="accent1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Id2076185860" /><Relationship Type="http://schemas.openxmlformats.org/officeDocument/2006/relationships/numbering" Target="numbering.xml" Id="R47192cd396b7487a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2025-08-06T04:10:05.0174127Z</dcterms:created>
  <dcterms:modified xsi:type="dcterms:W3CDTF">2025-08-06T09:55:20.6766416Z</dcterms:modified>
  <dc:creator>Abdur Rehman  Amin</dc:creator>
  <lastModifiedBy>Abdur Rehman  Amin</lastModifiedBy>
</coreProperties>
</file>