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36"/>
        </w:rPr>
        <w:t>Student ID:  m2300045</w:t>
        <w:br/>
        <w:t xml:space="preserve">    Student's Fullname:  XAYDAROVA SURAYYO UROZALI QIZI</w:t>
        <w:br/>
        <w:t xml:space="preserve">    Group:  MCF-8R</w:t>
        <w:br/>
        <w:t xml:space="preserve">    Direction:  70412202-M.Sc. Corporate Finance</w:t>
        <w:br/>
        <w:t xml:space="preserve">    Subject:  MSCCF10-FINANCIAL MARKETS AND INSTITUTIONS </w:t>
        <w:br/>
        <w:t xml:space="preserve">    Language:  RU</w:t>
        <w:br/>
        <w:t xml:space="preserve">    Teacher's Fullname:  ELMURODOV SHOXJAXON</w:t>
        <w:br/>
        <w:t xml:space="preserve">    Exam date:  31.05.2024</w:t>
        <w:br/>
        <w:t xml:space="preserve">    Exam time:  07:00</w:t>
        <w:br/>
        <w:t xml:space="preserve">    Exam room:  D-703</w:t>
        <w:br/>
        <w:t xml:space="preserve">    Correct answers:  8</w:t>
        <w:br/>
        <w:t xml:space="preserve">    Wrong answers:  12</w:t>
        <w:br/>
        <w:t xml:space="preserve">    Created time of the document: June 23, 2024  //  20:09:59</w:t>
        <w:br/>
        <w:t xml:space="preserve">    </w:t>
      </w:r>
      <w:r>
        <w:rPr>
          <w:sz w:val="36"/>
        </w:rPr>
        <w:br/>
        <w:drawing>
          <wp:inline xmlns:a="http://schemas.openxmlformats.org/drawingml/2006/main" xmlns:pic="http://schemas.openxmlformats.org/drawingml/2006/picture">
            <wp:extent cx="142875" cy="142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student's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correct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wrong answer</w:t>
        <w:br/>
        <w:drawing>
          <wp:inline xmlns:a="http://schemas.openxmlformats.org/drawingml/2006/main" xmlns:pic="http://schemas.openxmlformats.org/drawingml/2006/picture">
            <wp:extent cx="190500" cy="177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/>
                  </pic:spPr>
                </pic:pic>
              </a:graphicData>
            </a:graphic>
          </wp:inline>
        </w:drawing>
        <w:t xml:space="preserve"> - questions' rate</w:t>
        <w:br/>
      </w:r>
    </w:p>
    <w:p>
      <w:pPr>
        <w:jc w:val="center"/>
      </w:pPr>
      <w:r>
        <w:t>TEST</w:t>
      </w:r>
    </w:p>
    <w:p>
      <w:r>
        <w:rPr>
          <w:b w:val="0"/>
        </w:rPr>
        <w:br/>
        <w:drawing>
          <wp:inline xmlns:a="http://schemas.openxmlformats.org/drawingml/2006/main" xmlns:pic="http://schemas.openxmlformats.org/drawingml/2006/picture">
            <wp:extent cx="182880" cy="1706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1.</w:t>
        <w:t xml:space="preserve">Что из перечисленного является примером небанковской финансовой организации?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Коммерческий банк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Кредитный союз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Инвестиционный банк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Страховая компания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2.</w:t>
        <w:t xml:space="preserve">Выберите правильный ответ. Рынок ценных бумаг – это: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совокупность сделок, связанных с покупкой и продажей валюты;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совокупность сделок с ценными бумагами;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сделки с недвижимостью.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нет правильного ответа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3.</w:t>
        <w:t xml:space="preserve">Главная задача рынка ценных бумаг – это: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привлечение капитала для политического развития;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удовлетворение общественных потребностей;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привлечение капитала для экономического развития.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все ответы верны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4.</w:t>
        <w:t xml:space="preserve">Организованный рынок ценных бумаг осуществляется …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государством;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биржей;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акциями;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облигациями.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5.</w:t>
        <w:t xml:space="preserve">Ценной бумагой не является: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Варрант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платежное поручение;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опцион.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6.</w:t>
        <w:t xml:space="preserve">Какие рынки являются самыми ликвидными и эффективными?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ярмарки;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фьючерсные биржи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базары;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караванная торговля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7.</w:t>
        <w:t xml:space="preserve">Специфическая черта валютного рынка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обусловленность международной экономической деятельностью;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платность валютных сделок;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срочность сделок;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наличие теневой сферы рынка.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8.</w:t>
        <w:t xml:space="preserve">Выберите вариант в котором указаны только деривативы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форвард, своп и акция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опцион, фьючерс и своп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облигация и форвард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валютный своп, привелигированная акция и варрант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9.</w:t>
        <w:t xml:space="preserve">В качестве базового актива по деривативам могут выступать: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процентные ставки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товары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все ответы верны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фьчерсы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10.</w:t>
        <w:t xml:space="preserve">Производный финансовый инструмент, стандартный срочный биржевой контракт купли продажи базового актива, при заключении которого стороны (продавец и покупатель) договариваются только об уровне цены и сроке поставки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опцион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фьючерс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варрант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своп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11.</w:t>
        <w:t xml:space="preserve">Между участниками производятся только денежные расчёты в сумме разницы между ценой контракта и фактической ценой актива на дату исполнения контракта без физической поставки базового актива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поставочный фьючерс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валютный опцион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расчетный фьючерс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12.</w:t>
        <w:t xml:space="preserve">На дату исполнения контракта покупатель должен приобрести, а продавец продать установленное в спецификации количество базового актива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поставочный фьючерс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форвард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валютный опцион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расчетный фьючерс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13.</w:t>
        <w:t xml:space="preserve">В спецификации фьючерса указываются следующие параметры: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наименование контракта;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условное наименование (сокращение);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тип контракта (расчетный/поставочный);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все ответы верны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14.</w:t>
        <w:t xml:space="preserve">Важнейшие правовые акты, регулирующими финансовый рынок Республики Узбекистан?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Гражданский кодекс Республики Узбекистан и Закон Республики Узбекистан «О Центральном банке Республики Узбекистан»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Закон Республики Узбекистан «О платежах и платежных системах» и Гражданский кодекс Республики Узбекистан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Закон Республики Узбекистан «О Центральном банке Республики Узбекистан»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Закон Республики Узбекистан «О рынке ценных бумаг»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15.</w:t>
        <w:t xml:space="preserve">К какому методу государственного регулирования рынка ценных бумаг относится регистрация выпусков эмиссионных ценных бумаг и контроль за соблюдением эмитентами условий и обязательств, предусмотренных в них?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Прямому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косвенному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учредительскому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опосредованному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16.</w:t>
        <w:t xml:space="preserve">Поручительство, по которому лицо принимает на себя ответственность перед кредитором за выполнение обязательств заемщиком, которому он дает это поручительство –- это: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авизо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аваль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протест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инкассо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17.</w:t>
        <w:t xml:space="preserve">Какая модель регулирования, предусматривает наличие государственного ведомства, специализирующегося на регулировании отношений в сфере рынка ценных бумаг?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смешанное и централизованное регулирование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централизованное регулирование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децентрализованное регулирование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децентрализованное и централизованное регулирование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18.</w:t>
        <w:t xml:space="preserve">Какие учреждения не относятся к финансовым посредникам: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ломбарды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страховые организации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инвестиционные фонды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холдинги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19.</w:t>
        <w:t xml:space="preserve">В каком инвестиционном фонде держатель паев инвестиционного фонда не вправе требовать от управляющей компании выкупа принадлежащих ему паев: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Акционерный паевой инвестиционный фонд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Закрытый паевой инвестиционный фонд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Интервальный паевой инвестиционный фонд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Выкупной паевой инвестиционный фонд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20.</w:t>
        <w:t xml:space="preserve">Соотношение спроса и предложения как по отдельным видам финансовых активов (акции какого-либо АО), так и по всей массе финансовых активов (акции, облигации), сложившееся в данный момент под влиянием различных факторов: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сбалансированность спроса и предложения финансовых активов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емкость финансового рынка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сбалансированность предложения финансовых активов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конъюнктура финансового рынка
</w:t>
        <w:br/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