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5B4F"/>
          <w:sz w:val="44"/>
          <w:szCs w:val="44"/>
        </w:rPr>
        <w:t xml:space="preserve">Product Requirements Document</w:t>
      </w:r>
    </w:p>
    <w:p>
      <w:pPr>
        <w:spacing w:before="240"/>
        <w:jc w:val="center"/>
      </w:pPr>
      <w:r>
        <w:rPr>
          <w:color w:val="222222"/>
          <w:sz w:val="30"/>
          <w:szCs w:val="30"/>
        </w:rPr>
        <w:t xml:space="preserve">Independent Multi-User Pricing &amp; PRD Generator Tool</w:t>
      </w:r>
    </w:p>
    <w:p>
      <w:pPr>
        <w:spacing w:before="200"/>
        <w:jc w:val="center"/>
      </w:pPr>
      <w:r>
        <w:rPr>
          <w:i/>
          <w:iCs/>
          <w:color w:val="595959"/>
          <w:sz w:val="22"/>
          <w:szCs w:val="22"/>
        </w:rPr>
        <w:t xml:space="preserve">A self-serve web tool for freelance developers and teams to estimate software project pricing and auto-generate client proposals and developer PRDs</w:t>
      </w:r>
    </w:p>
    <w:p>
      <w:pPr>
        <w:spacing w:before="1200"/>
        <w:jc w:val="center"/>
      </w:pPr>
      <w:r>
        <w:rPr>
          <w:color w:val="595959"/>
          <w:sz w:val="22"/>
          <w:szCs w:val="22"/>
        </w:rPr>
        <w:t xml:space="preserve">Version 1.0</w:t>
      </w:r>
    </w:p>
    <w:p>
      <w:pPr>
        <w:spacing w:before="80"/>
        <w:jc w:val="center"/>
      </w:pPr>
      <w:r>
        <w:rPr>
          <w:color w:val="595959"/>
          <w:sz w:val="22"/>
          <w:szCs w:val="22"/>
        </w:rPr>
        <w:t xml:space="preserve">Prepared: July 2026</w:t>
      </w:r>
    </w:p>
    <w:p>
      <w:r>
        <w:br w:type="page"/>
      </w:r>
    </w:p>
    <w:p>
      <w:pPr>
        <w:pStyle w:val="Heading1"/>
        <w:spacing w:after="160" w:before="360"/>
      </w:pPr>
      <w:r>
        <w:rPr>
          <w:b/>
          <w:bCs/>
          <w:color w:val="2E5B4F"/>
          <w:sz w:val="28"/>
          <w:szCs w:val="28"/>
        </w:rPr>
        <w:t xml:space="preserve">1. Overview</w:t>
      </w:r>
    </w:p>
    <w:p>
      <w:pPr>
        <w:pStyle w:val="Heading2"/>
        <w:spacing w:after="120" w:before="280"/>
      </w:pPr>
      <w:r>
        <w:rPr>
          <w:b/>
          <w:bCs/>
          <w:color w:val="222222"/>
          <w:sz w:val="24"/>
          <w:szCs w:val="24"/>
        </w:rPr>
        <w:t xml:space="preserve">1.1 Purpose</w:t>
      </w:r>
    </w:p>
    <w:p>
      <w:pPr>
        <w:spacing w:after="160" w:line="300"/>
      </w:pPr>
      <w:r>
        <w:rPr>
          <w:sz w:val="22"/>
          <w:szCs w:val="22"/>
        </w:rPr>
        <w:t xml:space="preserve">This document defines the requirements for a standalone, free, internal-use web tool that helps individual users — primarily freelance software developers and internal team members — estimate project pricing and automatically generate two linked outputs once a package is selected: a client-facing proposal and a developer-facing Product Requirements Document (PRD).</w:t>
      </w:r>
    </w:p>
    <w:p>
      <w:pPr>
        <w:pStyle w:val="Heading2"/>
        <w:spacing w:after="120" w:before="280"/>
      </w:pPr>
      <w:r>
        <w:rPr>
          <w:b/>
          <w:bCs/>
          <w:color w:val="222222"/>
          <w:sz w:val="24"/>
          <w:szCs w:val="24"/>
        </w:rPr>
        <w:t xml:space="preserve">1.2 Background</w:t>
      </w:r>
    </w:p>
    <w:p>
      <w:pPr>
        <w:spacing w:after="160" w:line="300"/>
      </w:pPr>
      <w:r>
        <w:rPr>
          <w:sz w:val="22"/>
          <w:szCs w:val="22"/>
        </w:rPr>
        <w:t xml:space="preserve">Software project pricing is inconsistent and often anchored too low because developers estimate from their own minimum acceptable price rather than from project scope and value. A structured intake process (screens, complexity, integrations, platform, maintenance) turns pricing into a repeatable, semi-mechanical process instead of a guess. This tool operationalizes that process and extends it one step further: once a price and package are selected, the same structured data is reused to generate a scope-locking PRD, reducing scope creep and disputes after a project begins.</w:t>
      </w:r>
    </w:p>
    <w:p>
      <w:pPr>
        <w:pStyle w:val="Heading2"/>
        <w:spacing w:after="120" w:before="280"/>
      </w:pPr>
      <w:r>
        <w:rPr>
          <w:b/>
          <w:bCs/>
          <w:color w:val="222222"/>
          <w:sz w:val="24"/>
          <w:szCs w:val="24"/>
        </w:rPr>
        <w:t xml:space="preserve">1.3 Product Summary</w:t>
      </w:r>
    </w:p>
    <w:p>
      <w:pPr>
        <w:spacing w:after="160" w:line="300"/>
      </w:pPr>
      <w:r>
        <w:rPr>
          <w:sz w:val="22"/>
          <w:szCs w:val="22"/>
        </w:rPr>
        <w:t xml:space="preserve">The tool is a self-serve, multi-tenant web application. Each user signs up independently, configures their own pricing rules (starting from an editable default template), creates project quotes using a guided intake flow, and receives an automatically calculated price broken into package tiers. Selecting a tier locks the scope and generates a client proposal and a developer PRD from that same data. Every user's configuration, quotes, and history are private to them — there is no shared admin or dependency on a central configuration.</w:t>
      </w:r>
    </w:p>
    <w:p>
      <w:pPr>
        <w:pStyle w:val="Heading1"/>
        <w:spacing w:after="160" w:before="360"/>
      </w:pPr>
      <w:r>
        <w:rPr>
          <w:b/>
          <w:bCs/>
          <w:color w:val="2E5B4F"/>
          <w:sz w:val="28"/>
          <w:szCs w:val="28"/>
        </w:rPr>
        <w:t xml:space="preserve">2. Goals &amp; Non-Goals</w:t>
      </w:r>
    </w:p>
    <w:p>
      <w:pPr>
        <w:pStyle w:val="Heading2"/>
        <w:spacing w:after="120" w:before="280"/>
      </w:pPr>
      <w:r>
        <w:rPr>
          <w:b/>
          <w:bCs/>
          <w:color w:val="222222"/>
          <w:sz w:val="24"/>
          <w:szCs w:val="24"/>
        </w:rPr>
        <w:t xml:space="preserve">2.1 Goals</w:t>
      </w:r>
    </w:p>
    <w:p>
      <w:pPr>
        <w:pStyle w:val="ListParagraph"/>
        <w:numPr>
          <w:ilvl w:val="0"/>
          <w:numId w:val="2"/>
        </w:numPr>
        <w:spacing w:after="80"/>
      </w:pPr>
      <w:r>
        <w:rPr>
          <w:sz w:val="22"/>
          <w:szCs w:val="22"/>
        </w:rPr>
        <w:t xml:space="preserve">Let any user estimate a software project price in minutes using a structured, repeatable method.</w:t>
      </w:r>
    </w:p>
    <w:p>
      <w:pPr>
        <w:pStyle w:val="ListParagraph"/>
        <w:numPr>
          <w:ilvl w:val="0"/>
          <w:numId w:val="2"/>
        </w:numPr>
        <w:spacing w:after="80"/>
      </w:pPr>
      <w:r>
        <w:rPr>
          <w:sz w:val="22"/>
          <w:szCs w:val="22"/>
        </w:rPr>
        <w:t xml:space="preserve">Eliminate ad-hoc, anchor-low pricing habits by starting the estimate from scope and value inputs, not a target number.</w:t>
      </w:r>
    </w:p>
    <w:p>
      <w:pPr>
        <w:pStyle w:val="ListParagraph"/>
        <w:numPr>
          <w:ilvl w:val="0"/>
          <w:numId w:val="2"/>
        </w:numPr>
        <w:spacing w:after="80"/>
      </w:pPr>
      <w:r>
        <w:rPr>
          <w:sz w:val="22"/>
          <w:szCs w:val="22"/>
        </w:rPr>
        <w:t xml:space="preserve">Automatically generate a developer PRD and a client proposal from the same locked project data — no duplicate authoring.</w:t>
      </w:r>
    </w:p>
    <w:p>
      <w:pPr>
        <w:pStyle w:val="ListParagraph"/>
        <w:numPr>
          <w:ilvl w:val="0"/>
          <w:numId w:val="2"/>
        </w:numPr>
        <w:spacing w:after="80"/>
      </w:pPr>
      <w:r>
        <w:rPr>
          <w:sz w:val="22"/>
          <w:szCs w:val="22"/>
        </w:rPr>
        <w:t xml:space="preserve">Make the tool fully self-serve and independent per user: no shared admin, no cross-user dependency.</w:t>
      </w:r>
    </w:p>
    <w:p>
      <w:pPr>
        <w:pStyle w:val="ListParagraph"/>
        <w:numPr>
          <w:ilvl w:val="0"/>
          <w:numId w:val="2"/>
        </w:numPr>
        <w:spacing w:after="80"/>
      </w:pPr>
      <w:r>
        <w:rPr>
          <w:sz w:val="22"/>
          <w:szCs w:val="22"/>
        </w:rPr>
        <w:t xml:space="preserve">Ship with a sensible default pricing template so new users can produce a usable quote on day one.</w:t>
      </w:r>
    </w:p>
    <w:p>
      <w:pPr>
        <w:pStyle w:val="ListParagraph"/>
        <w:numPr>
          <w:ilvl w:val="0"/>
          <w:numId w:val="2"/>
        </w:numPr>
        <w:spacing w:after="80"/>
      </w:pPr>
      <w:r>
        <w:rPr>
          <w:sz w:val="22"/>
          <w:szCs w:val="22"/>
        </w:rPr>
        <w:t xml:space="preserve">Keep a private history of past quotes and generated documents per user.</w:t>
      </w:r>
    </w:p>
    <w:p>
      <w:pPr>
        <w:pStyle w:val="Heading2"/>
        <w:spacing w:after="120" w:before="280"/>
      </w:pPr>
      <w:r>
        <w:rPr>
          <w:b/>
          <w:bCs/>
          <w:color w:val="222222"/>
          <w:sz w:val="24"/>
          <w:szCs w:val="24"/>
        </w:rPr>
        <w:t xml:space="preserve">2.2 Non-Goals (v1)</w:t>
      </w:r>
    </w:p>
    <w:p>
      <w:pPr>
        <w:pStyle w:val="ListParagraph"/>
        <w:numPr>
          <w:ilvl w:val="0"/>
          <w:numId w:val="2"/>
        </w:numPr>
        <w:spacing w:after="80"/>
      </w:pPr>
      <w:r>
        <w:rPr>
          <w:sz w:val="22"/>
          <w:szCs w:val="22"/>
        </w:rPr>
        <w:t xml:space="preserve">No billing, payments, or subscription tiers — the tool is free for all users.</w:t>
      </w:r>
    </w:p>
    <w:p>
      <w:pPr>
        <w:pStyle w:val="ListParagraph"/>
        <w:numPr>
          <w:ilvl w:val="0"/>
          <w:numId w:val="2"/>
        </w:numPr>
        <w:spacing w:after="80"/>
      </w:pPr>
      <w:r>
        <w:rPr>
          <w:sz w:val="22"/>
          <w:szCs w:val="22"/>
        </w:rPr>
        <w:t xml:space="preserve">No shared/team-wide pricing configuration or role-based permissions across users.</w:t>
      </w:r>
    </w:p>
    <w:p>
      <w:pPr>
        <w:pStyle w:val="ListParagraph"/>
        <w:numPr>
          <w:ilvl w:val="0"/>
          <w:numId w:val="2"/>
        </w:numPr>
        <w:spacing w:after="80"/>
      </w:pPr>
      <w:r>
        <w:rPr>
          <w:sz w:val="22"/>
          <w:szCs w:val="22"/>
        </w:rPr>
        <w:t xml:space="preserve">No client-facing self-intake portal (clients do not fill the form themselves in v1).</w:t>
      </w:r>
    </w:p>
    <w:p>
      <w:pPr>
        <w:pStyle w:val="ListParagraph"/>
        <w:numPr>
          <w:ilvl w:val="0"/>
          <w:numId w:val="2"/>
        </w:numPr>
        <w:spacing w:after="80"/>
      </w:pPr>
      <w:r>
        <w:rPr>
          <w:sz w:val="22"/>
          <w:szCs w:val="22"/>
        </w:rPr>
        <w:t xml:space="preserve">No native mobile apps — web only for v1.</w:t>
      </w:r>
    </w:p>
    <w:p>
      <w:pPr>
        <w:pStyle w:val="ListParagraph"/>
        <w:numPr>
          <w:ilvl w:val="0"/>
          <w:numId w:val="2"/>
        </w:numPr>
        <w:spacing w:after="80"/>
      </w:pPr>
      <w:r>
        <w:rPr>
          <w:sz w:val="22"/>
          <w:szCs w:val="22"/>
        </w:rPr>
        <w:t xml:space="preserve">No account merging or admin-managed transfer of a user's data between accounts (use config export/import instead — see Section 10.3).</w:t>
      </w:r>
    </w:p>
    <w:p>
      <w:pPr>
        <w:pStyle w:val="ListParagraph"/>
        <w:numPr>
          <w:ilvl w:val="0"/>
          <w:numId w:val="2"/>
        </w:numPr>
        <w:spacing w:after="80"/>
      </w:pPr>
      <w:r>
        <w:rPr>
          <w:sz w:val="22"/>
          <w:szCs w:val="22"/>
        </w:rPr>
        <w:t xml:space="preserve">No multi-currency conversion or collaboration/sharing features between users in v1.</w:t>
      </w:r>
    </w:p>
    <w:p>
      <w:pPr>
        <w:pStyle w:val="Heading1"/>
        <w:spacing w:after="160" w:before="360"/>
      </w:pPr>
      <w:r>
        <w:rPr>
          <w:b/>
          <w:bCs/>
          <w:color w:val="2E5B4F"/>
          <w:sz w:val="28"/>
          <w:szCs w:val="28"/>
        </w:rPr>
        <w:t xml:space="preserve">3. Users &amp; Roles</w:t>
      </w:r>
    </w:p>
    <w:p>
      <w:pPr>
        <w:pStyle w:val="Heading2"/>
        <w:spacing w:after="120" w:before="280"/>
      </w:pPr>
      <w:r>
        <w:rPr>
          <w:b/>
          <w:bCs/>
          <w:color w:val="222222"/>
          <w:sz w:val="24"/>
          <w:szCs w:val="24"/>
        </w:rPr>
        <w:t xml:space="preserve">3.1 User Model</w:t>
      </w:r>
    </w:p>
    <w:p>
      <w:pPr>
        <w:spacing w:after="160" w:line="300"/>
      </w:pPr>
      <w:r>
        <w:rPr>
          <w:sz w:val="22"/>
          <w:szCs w:val="22"/>
        </w:rPr>
        <w:t xml:space="preserve">There is a single user type. Every registered user is the sole owner and administrator of their own workspace — their own pricing configuration, quotes, and generated documents. No user can view or edit another user's data. There is no elevated "admin" role, since every user administers only their own space.</w:t>
      </w:r>
    </w:p>
    <w:p>
      <w:pPr>
        <w:pStyle w:val="Heading2"/>
        <w:spacing w:after="120" w:before="280"/>
      </w:pPr>
      <w:r>
        <w:rPr>
          <w:b/>
          <w:bCs/>
          <w:color w:val="222222"/>
          <w:sz w:val="24"/>
          <w:szCs w:val="24"/>
        </w:rPr>
        <w:t xml:space="preserve">3.2 Primary Personas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660"/>
      </w:tblGrid>
      <w:tr>
        <w:tc>
          <w:tcPr>
            <w:tcW w:type="dxa" w:w="2400"/>
            <w:shd w:fill="2E5B4F" w:color="auto" w:val="clear"/>
            <w:tcMar>
              <w:top w:type="dxa" w:w="100"/>
              <w:left w:type="dxa" w:w="120"/>
              <w:bottom w:type="dxa" w:w="100"/>
              <w:right w:type="dxa" w:w="120"/>
            </w:tcMar>
          </w:tcPr>
          <w:p>
            <w:r>
              <w:rPr>
                <w:b/>
                <w:bCs/>
                <w:color w:val="FFFFFF"/>
                <w:sz w:val="20"/>
                <w:szCs w:val="20"/>
              </w:rPr>
              <w:t xml:space="preserve">Persona</w:t>
            </w:r>
          </w:p>
        </w:tc>
        <w:tc>
          <w:tcPr>
            <w:tcW w:type="dxa" w:w="4200"/>
            <w:shd w:fill="2E5B4F" w:color="auto" w:val="clear"/>
            <w:tcMar>
              <w:top w:type="dxa" w:w="100"/>
              <w:left w:type="dxa" w:w="120"/>
              <w:bottom w:type="dxa" w:w="100"/>
              <w:right w:type="dxa" w:w="120"/>
            </w:tcMar>
          </w:tcPr>
          <w:p>
            <w:r>
              <w:rPr>
                <w:b/>
                <w:bCs/>
                <w:color w:val="FFFFFF"/>
                <w:sz w:val="20"/>
                <w:szCs w:val="20"/>
              </w:rPr>
              <w:t xml:space="preserve">Description</w:t>
            </w:r>
          </w:p>
        </w:tc>
        <w:tc>
          <w:tcPr>
            <w:tcW w:type="dxa" w:w="3660"/>
            <w:shd w:fill="2E5B4F" w:color="auto" w:val="clear"/>
            <w:tcMar>
              <w:top w:type="dxa" w:w="100"/>
              <w:left w:type="dxa" w:w="120"/>
              <w:bottom w:type="dxa" w:w="100"/>
              <w:right w:type="dxa" w:w="120"/>
            </w:tcMar>
          </w:tcPr>
          <w:p>
            <w:r>
              <w:rPr>
                <w:b/>
                <w:bCs/>
                <w:color w:val="FFFFFF"/>
                <w:sz w:val="20"/>
                <w:szCs w:val="20"/>
              </w:rPr>
              <w:t xml:space="preserve">Primary Need</w:t>
            </w:r>
          </w:p>
        </w:tc>
      </w:tr>
      <w:tr>
        <w:tc>
          <w:tcPr>
            <w:tcW w:type="dxa" w:w="2400"/>
            <w:tcMar>
              <w:top w:type="dxa" w:w="100"/>
              <w:left w:type="dxa" w:w="120"/>
              <w:bottom w:type="dxa" w:w="100"/>
              <w:right w:type="dxa" w:w="120"/>
            </w:tcMar>
          </w:tcPr>
          <w:p>
            <w:r>
              <w:rPr>
                <w:b w:val="false"/>
                <w:bCs w:val="false"/>
                <w:color w:val="000000"/>
                <w:sz w:val="20"/>
                <w:szCs w:val="20"/>
              </w:rPr>
              <w:t xml:space="preserve">Freelance developer</w:t>
            </w:r>
          </w:p>
        </w:tc>
        <w:tc>
          <w:tcPr>
            <w:tcW w:type="dxa" w:w="4200"/>
            <w:tcMar>
              <w:top w:type="dxa" w:w="100"/>
              <w:left w:type="dxa" w:w="120"/>
              <w:bottom w:type="dxa" w:w="100"/>
              <w:right w:type="dxa" w:w="120"/>
            </w:tcMar>
          </w:tcPr>
          <w:p>
            <w:r>
              <w:rPr>
                <w:b w:val="false"/>
                <w:bCs w:val="false"/>
                <w:color w:val="000000"/>
                <w:sz w:val="20"/>
                <w:szCs w:val="20"/>
              </w:rPr>
              <w:t xml:space="preserve">Quotes projects for individual clients</w:t>
            </w:r>
          </w:p>
        </w:tc>
        <w:tc>
          <w:tcPr>
            <w:tcW w:type="dxa" w:w="3660"/>
            <w:tcMar>
              <w:top w:type="dxa" w:w="100"/>
              <w:left w:type="dxa" w:w="120"/>
              <w:bottom w:type="dxa" w:w="100"/>
              <w:right w:type="dxa" w:w="120"/>
            </w:tcMar>
          </w:tcPr>
          <w:p>
            <w:r>
              <w:rPr>
                <w:b w:val="false"/>
                <w:bCs w:val="false"/>
                <w:color w:val="000000"/>
                <w:sz w:val="20"/>
                <w:szCs w:val="20"/>
              </w:rPr>
              <w:t xml:space="preserve">Fast, consistent, defensible pricing</w:t>
            </w:r>
          </w:p>
        </w:tc>
      </w:tr>
      <w:tr>
        <w:tc>
          <w:tcPr>
            <w:tcW w:type="dxa" w:w="2400"/>
            <w:tcMar>
              <w:top w:type="dxa" w:w="100"/>
              <w:left w:type="dxa" w:w="120"/>
              <w:bottom w:type="dxa" w:w="100"/>
              <w:right w:type="dxa" w:w="120"/>
            </w:tcMar>
          </w:tcPr>
          <w:p>
            <w:r>
              <w:rPr>
                <w:b w:val="false"/>
                <w:bCs w:val="false"/>
                <w:color w:val="000000"/>
                <w:sz w:val="20"/>
                <w:szCs w:val="20"/>
              </w:rPr>
              <w:t xml:space="preserve">Internal team member</w:t>
            </w:r>
          </w:p>
        </w:tc>
        <w:tc>
          <w:tcPr>
            <w:tcW w:type="dxa" w:w="4200"/>
            <w:tcMar>
              <w:top w:type="dxa" w:w="100"/>
              <w:left w:type="dxa" w:w="120"/>
              <w:bottom w:type="dxa" w:w="100"/>
              <w:right w:type="dxa" w:w="120"/>
            </w:tcMar>
          </w:tcPr>
          <w:p>
            <w:r>
              <w:rPr>
                <w:b w:val="false"/>
                <w:bCs w:val="false"/>
                <w:color w:val="000000"/>
                <w:sz w:val="20"/>
                <w:szCs w:val="20"/>
              </w:rPr>
              <w:t xml:space="preserve">Quotes projects on behalf of a company/team, independently</w:t>
            </w:r>
          </w:p>
        </w:tc>
        <w:tc>
          <w:tcPr>
            <w:tcW w:type="dxa" w:w="3660"/>
            <w:tcMar>
              <w:top w:type="dxa" w:w="100"/>
              <w:left w:type="dxa" w:w="120"/>
              <w:bottom w:type="dxa" w:w="100"/>
              <w:right w:type="dxa" w:w="120"/>
            </w:tcMar>
          </w:tcPr>
          <w:p>
            <w:r>
              <w:rPr>
                <w:b w:val="false"/>
                <w:bCs w:val="false"/>
                <w:color w:val="000000"/>
                <w:sz w:val="20"/>
                <w:szCs w:val="20"/>
              </w:rPr>
              <w:t xml:space="preserve">Own pricing logic without waiting on an admin</w:t>
            </w:r>
          </w:p>
        </w:tc>
      </w:tr>
      <w:tr>
        <w:tc>
          <w:tcPr>
            <w:tcW w:type="dxa" w:w="2400"/>
            <w:tcMar>
              <w:top w:type="dxa" w:w="100"/>
              <w:left w:type="dxa" w:w="120"/>
              <w:bottom w:type="dxa" w:w="100"/>
              <w:right w:type="dxa" w:w="120"/>
            </w:tcMar>
          </w:tcPr>
          <w:p>
            <w:r>
              <w:rPr>
                <w:b w:val="false"/>
                <w:bCs w:val="false"/>
                <w:color w:val="000000"/>
                <w:sz w:val="20"/>
                <w:szCs w:val="20"/>
              </w:rPr>
              <w:t xml:space="preserve">Project lead / estimator</w:t>
            </w:r>
          </w:p>
        </w:tc>
        <w:tc>
          <w:tcPr>
            <w:tcW w:type="dxa" w:w="4200"/>
            <w:tcMar>
              <w:top w:type="dxa" w:w="100"/>
              <w:left w:type="dxa" w:w="120"/>
              <w:bottom w:type="dxa" w:w="100"/>
              <w:right w:type="dxa" w:w="120"/>
            </w:tcMar>
          </w:tcPr>
          <w:p>
            <w:r>
              <w:rPr>
                <w:b w:val="false"/>
                <w:bCs w:val="false"/>
                <w:color w:val="000000"/>
                <w:sz w:val="20"/>
                <w:szCs w:val="20"/>
              </w:rPr>
              <w:t xml:space="preserve">Reviews own past quotes before follow-up calls</w:t>
            </w:r>
          </w:p>
        </w:tc>
        <w:tc>
          <w:tcPr>
            <w:tcW w:type="dxa" w:w="3660"/>
            <w:tcMar>
              <w:top w:type="dxa" w:w="100"/>
              <w:left w:type="dxa" w:w="120"/>
              <w:bottom w:type="dxa" w:w="100"/>
              <w:right w:type="dxa" w:w="120"/>
            </w:tcMar>
          </w:tcPr>
          <w:p>
            <w:r>
              <w:rPr>
                <w:b w:val="false"/>
                <w:bCs w:val="false"/>
                <w:color w:val="000000"/>
                <w:sz w:val="20"/>
                <w:szCs w:val="20"/>
              </w:rPr>
              <w:t xml:space="preserve">Quick access to history and generated docs</w:t>
            </w:r>
          </w:p>
        </w:tc>
      </w:tr>
    </w:tbl>
    <w:p>
      <w:pPr>
        <w:pStyle w:val="Heading1"/>
        <w:spacing w:after="160" w:before="360"/>
      </w:pPr>
      <w:r>
        <w:rPr>
          <w:b/>
          <w:bCs/>
          <w:color w:val="2E5B4F"/>
          <w:sz w:val="28"/>
          <w:szCs w:val="28"/>
        </w:rPr>
        <w:t xml:space="preserve">4. Core User Flow</w:t>
      </w:r>
    </w:p>
    <w:p>
      <w:pPr>
        <w:pStyle w:val="Heading2"/>
        <w:spacing w:after="120" w:before="280"/>
      </w:pPr>
      <w:r>
        <w:rPr>
          <w:b/>
          <w:bCs/>
          <w:color w:val="222222"/>
          <w:sz w:val="24"/>
          <w:szCs w:val="24"/>
        </w:rPr>
        <w:t xml:space="preserve">4.1 End-to-End Flow</w:t>
      </w:r>
    </w:p>
    <w:p>
      <w:pPr>
        <w:pStyle w:val="ListParagraph"/>
        <w:numPr>
          <w:ilvl w:val="0"/>
          <w:numId w:val="2"/>
        </w:numPr>
        <w:spacing w:after="80"/>
      </w:pPr>
      <w:r>
        <w:rPr>
          <w:sz w:val="22"/>
          <w:szCs w:val="22"/>
        </w:rPr>
        <w:t xml:space="preserve">1. Sign up / log in.</w:t>
      </w:r>
    </w:p>
    <w:p>
      <w:pPr>
        <w:pStyle w:val="ListParagraph"/>
        <w:numPr>
          <w:ilvl w:val="0"/>
          <w:numId w:val="2"/>
        </w:numPr>
        <w:spacing w:after="80"/>
      </w:pPr>
      <w:r>
        <w:rPr>
          <w:sz w:val="22"/>
          <w:szCs w:val="22"/>
        </w:rPr>
        <w:t xml:space="preserve">2. First-time setup wizard — configure own pricing rules, starting from a copyable default template.</w:t>
      </w:r>
    </w:p>
    <w:p>
      <w:pPr>
        <w:pStyle w:val="ListParagraph"/>
        <w:numPr>
          <w:ilvl w:val="0"/>
          <w:numId w:val="2"/>
        </w:numPr>
        <w:spacing w:after="80"/>
      </w:pPr>
      <w:r>
        <w:rPr>
          <w:sz w:val="22"/>
          <w:szCs w:val="22"/>
        </w:rPr>
        <w:t xml:space="preserve">3. Create a new project quote via guided intake (screens, integrations, platform, maintenance).</w:t>
      </w:r>
    </w:p>
    <w:p>
      <w:pPr>
        <w:pStyle w:val="ListParagraph"/>
        <w:numPr>
          <w:ilvl w:val="0"/>
          <w:numId w:val="2"/>
        </w:numPr>
        <w:spacing w:after="80"/>
      </w:pPr>
      <w:r>
        <w:rPr>
          <w:sz w:val="22"/>
          <w:szCs w:val="22"/>
        </w:rPr>
        <w:t xml:space="preserve">4. Pricing engine calculates a price and presents package tiers (Basic / Professional / Premium).</w:t>
      </w:r>
    </w:p>
    <w:p>
      <w:pPr>
        <w:pStyle w:val="ListParagraph"/>
        <w:numPr>
          <w:ilvl w:val="0"/>
          <w:numId w:val="2"/>
        </w:numPr>
        <w:spacing w:after="80"/>
      </w:pPr>
      <w:r>
        <w:rPr>
          <w:sz w:val="22"/>
          <w:szCs w:val="22"/>
        </w:rPr>
        <w:t xml:space="preserve">5. User selects a package — this locks the project scope.</w:t>
      </w:r>
    </w:p>
    <w:p>
      <w:pPr>
        <w:pStyle w:val="ListParagraph"/>
        <w:numPr>
          <w:ilvl w:val="0"/>
          <w:numId w:val="2"/>
        </w:numPr>
        <w:spacing w:after="80"/>
      </w:pPr>
      <w:r>
        <w:rPr>
          <w:sz w:val="22"/>
          <w:szCs w:val="22"/>
        </w:rPr>
        <w:t xml:space="preserve">6. Tool generates a Client Proposal and a Developer PRD from the same locked data.</w:t>
      </w:r>
    </w:p>
    <w:p>
      <w:pPr>
        <w:pStyle w:val="ListParagraph"/>
        <w:numPr>
          <w:ilvl w:val="0"/>
          <w:numId w:val="2"/>
        </w:numPr>
        <w:spacing w:after="80"/>
      </w:pPr>
      <w:r>
        <w:rPr>
          <w:sz w:val="22"/>
          <w:szCs w:val="22"/>
        </w:rPr>
        <w:t xml:space="preserve">7. Quote, package selection, and both generated documents are saved to the user's private history.</w:t>
      </w:r>
    </w:p>
    <w:p>
      <w:pPr>
        <w:pStyle w:val="Heading1"/>
        <w:spacing w:after="160" w:before="360"/>
      </w:pPr>
      <w:r>
        <w:rPr>
          <w:b/>
          <w:bCs/>
          <w:color w:val="2E5B4F"/>
          <w:sz w:val="28"/>
          <w:szCs w:val="28"/>
        </w:rPr>
        <w:t xml:space="preserve">5. Feature: First-Time Configuration Wizard</w:t>
      </w:r>
    </w:p>
    <w:p>
      <w:pPr>
        <w:spacing w:after="160" w:line="300"/>
      </w:pPr>
      <w:r>
        <w:rPr>
          <w:sz w:val="22"/>
          <w:szCs w:val="22"/>
        </w:rPr>
        <w:t xml:space="preserve">Triggered on first login. Offers a choice between starting from the default template (recommended) or from scratch. All values are editable at any time afterward from an account settings area, and later duplicated into named variants (see Section 10, Open Questions).</w:t>
      </w:r>
    </w:p>
    <w:p>
      <w:pPr>
        <w:pStyle w:val="Heading2"/>
        <w:spacing w:after="120" w:before="280"/>
      </w:pPr>
      <w:r>
        <w:rPr>
          <w:b/>
          <w:bCs/>
          <w:color w:val="222222"/>
          <w:sz w:val="24"/>
          <w:szCs w:val="24"/>
        </w:rPr>
        <w:t xml:space="preserve">5.1 Step 0 — Welcome / Template Choice</w:t>
      </w:r>
    </w:p>
    <w:p>
      <w:pPr>
        <w:pStyle w:val="ListParagraph"/>
        <w:numPr>
          <w:ilvl w:val="0"/>
          <w:numId w:val="2"/>
        </w:numPr>
        <w:spacing w:after="80"/>
      </w:pPr>
      <w:r>
        <w:rPr>
          <w:sz w:val="22"/>
          <w:szCs w:val="22"/>
        </w:rPr>
        <w:t xml:space="preserve">Option A: Start with default pricing template (recommended)</w:t>
      </w:r>
    </w:p>
    <w:p>
      <w:pPr>
        <w:pStyle w:val="ListParagraph"/>
        <w:numPr>
          <w:ilvl w:val="0"/>
          <w:numId w:val="2"/>
        </w:numPr>
        <w:spacing w:after="80"/>
      </w:pPr>
      <w:r>
        <w:rPr>
          <w:sz w:val="22"/>
          <w:szCs w:val="22"/>
        </w:rPr>
        <w:t xml:space="preserve">Option B: Start from scratch (all fields blank)</w:t>
      </w:r>
    </w:p>
    <w:p>
      <w:pPr>
        <w:pStyle w:val="Heading2"/>
        <w:spacing w:after="120" w:before="280"/>
      </w:pPr>
      <w:r>
        <w:rPr>
          <w:b/>
          <w:bCs/>
          <w:color w:val="222222"/>
          <w:sz w:val="24"/>
          <w:szCs w:val="24"/>
        </w:rPr>
        <w:t xml:space="preserve">5.2 Step 1 — Currency &amp; Base Rate</w:t>
      </w:r>
    </w:p>
    <w:p>
      <w:pPr>
        <w:pStyle w:val="ListParagraph"/>
        <w:numPr>
          <w:ilvl w:val="0"/>
          <w:numId w:val="2"/>
        </w:numPr>
        <w:spacing w:after="80"/>
      </w:pPr>
      <w:r>
        <w:rPr>
          <w:sz w:val="22"/>
          <w:szCs w:val="22"/>
        </w:rPr>
        <w:t xml:space="preserve">Currency selector (₦, $, etc.)</w:t>
      </w:r>
    </w:p>
    <w:p>
      <w:pPr>
        <w:pStyle w:val="ListParagraph"/>
        <w:numPr>
          <w:ilvl w:val="0"/>
          <w:numId w:val="2"/>
        </w:numPr>
        <w:spacing w:after="80"/>
      </w:pPr>
      <w:r>
        <w:rPr>
          <w:sz w:val="22"/>
          <w:szCs w:val="22"/>
        </w:rPr>
        <w:t xml:space="preserve">Base rate per "point" / per simple screen — the single number the rest of the config scales from</w:t>
      </w:r>
    </w:p>
    <w:p>
      <w:pPr>
        <w:pStyle w:val="ListParagraph"/>
        <w:numPr>
          <w:ilvl w:val="0"/>
          <w:numId w:val="2"/>
        </w:numPr>
        <w:spacing w:after="80"/>
      </w:pPr>
      <w:r>
        <w:rPr>
          <w:sz w:val="22"/>
          <w:szCs w:val="22"/>
        </w:rPr>
        <w:t xml:space="preserve">Default prefill: ₦20,000 per point</w:t>
      </w:r>
    </w:p>
    <w:p>
      <w:pPr>
        <w:pStyle w:val="Heading2"/>
        <w:spacing w:after="120" w:before="280"/>
      </w:pPr>
      <w:r>
        <w:rPr>
          <w:b/>
          <w:bCs/>
          <w:color w:val="222222"/>
          <w:sz w:val="24"/>
          <w:szCs w:val="24"/>
        </w:rPr>
        <w:t xml:space="preserve">5.3 Step 2 — Screen Complexity Tiers</w:t>
      </w:r>
    </w:p>
    <w:p>
      <w:pPr>
        <w:spacing w:after="160" w:line="300"/>
      </w:pPr>
      <w:r>
        <w:rPr>
          <w:sz w:val="22"/>
          <w:szCs w:val="22"/>
        </w:rPr>
        <w:t xml:space="preserve">Editable table, prefilled with three tiers: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1860"/>
      </w:tblGrid>
      <w:tr>
        <w:tc>
          <w:tcPr>
            <w:tcW w:type="dxa" w:w="2200"/>
            <w:shd w:fill="2E5B4F" w:color="auto" w:val="clear"/>
            <w:tcMar>
              <w:top w:type="dxa" w:w="100"/>
              <w:left w:type="dxa" w:w="120"/>
              <w:bottom w:type="dxa" w:w="100"/>
              <w:right w:type="dxa" w:w="120"/>
            </w:tcMar>
          </w:tcPr>
          <w:p>
            <w:r>
              <w:rPr>
                <w:b/>
                <w:bCs/>
                <w:color w:val="FFFFFF"/>
                <w:sz w:val="20"/>
                <w:szCs w:val="20"/>
              </w:rPr>
              <w:t xml:space="preserve">Tier</w:t>
            </w:r>
          </w:p>
        </w:tc>
        <w:tc>
          <w:tcPr>
            <w:tcW w:type="dxa" w:w="6200"/>
            <w:shd w:fill="2E5B4F" w:color="auto" w:val="clear"/>
            <w:tcMar>
              <w:top w:type="dxa" w:w="100"/>
              <w:left w:type="dxa" w:w="120"/>
              <w:bottom w:type="dxa" w:w="100"/>
              <w:right w:type="dxa" w:w="120"/>
            </w:tcMar>
          </w:tcPr>
          <w:p>
            <w:r>
              <w:rPr>
                <w:b/>
                <w:bCs/>
                <w:color w:val="FFFFFF"/>
                <w:sz w:val="20"/>
                <w:szCs w:val="20"/>
              </w:rPr>
              <w:t xml:space="preserve">Examples</w:t>
            </w:r>
          </w:p>
        </w:tc>
        <w:tc>
          <w:tcPr>
            <w:tcW w:type="dxa" w:w="1860"/>
            <w:shd w:fill="2E5B4F" w:color="auto" w:val="clear"/>
            <w:tcMar>
              <w:top w:type="dxa" w:w="100"/>
              <w:left w:type="dxa" w:w="120"/>
              <w:bottom w:type="dxa" w:w="100"/>
              <w:right w:type="dxa" w:w="120"/>
            </w:tcMar>
          </w:tcPr>
          <w:p>
            <w:r>
              <w:rPr>
                <w:b/>
                <w:bCs/>
                <w:color w:val="FFFFFF"/>
                <w:sz w:val="20"/>
                <w:szCs w:val="20"/>
              </w:rPr>
              <w:t xml:space="preserve">Multiplier</w:t>
            </w:r>
          </w:p>
        </w:tc>
      </w:tr>
      <w:tr>
        <w:tc>
          <w:tcPr>
            <w:tcW w:type="dxa" w:w="2200"/>
            <w:tcMar>
              <w:top w:type="dxa" w:w="100"/>
              <w:left w:type="dxa" w:w="120"/>
              <w:bottom w:type="dxa" w:w="100"/>
              <w:right w:type="dxa" w:w="120"/>
            </w:tcMar>
          </w:tcPr>
          <w:p>
            <w:r>
              <w:rPr>
                <w:b w:val="false"/>
                <w:bCs w:val="false"/>
                <w:color w:val="000000"/>
                <w:sz w:val="20"/>
                <w:szCs w:val="20"/>
              </w:rPr>
              <w:t xml:space="preserve">🟢 Simple</w:t>
            </w:r>
          </w:p>
        </w:tc>
        <w:tc>
          <w:tcPr>
            <w:tcW w:type="dxa" w:w="6200"/>
            <w:tcMar>
              <w:top w:type="dxa" w:w="100"/>
              <w:left w:type="dxa" w:w="120"/>
              <w:bottom w:type="dxa" w:w="100"/>
              <w:right w:type="dxa" w:w="120"/>
            </w:tcMar>
          </w:tcPr>
          <w:p>
            <w:r>
              <w:rPr>
                <w:b w:val="false"/>
                <w:bCs w:val="false"/>
                <w:color w:val="000000"/>
                <w:sz w:val="20"/>
                <w:szCs w:val="20"/>
              </w:rPr>
              <w:t xml:space="preserve">Login, Profile, Settings</w:t>
            </w:r>
          </w:p>
        </w:tc>
        <w:tc>
          <w:tcPr>
            <w:tcW w:type="dxa" w:w="1860"/>
            <w:tcMar>
              <w:top w:type="dxa" w:w="100"/>
              <w:left w:type="dxa" w:w="120"/>
              <w:bottom w:type="dxa" w:w="100"/>
              <w:right w:type="dxa" w:w="120"/>
            </w:tcMar>
          </w:tcPr>
          <w:p>
            <w:r>
              <w:rPr>
                <w:b w:val="false"/>
                <w:bCs w:val="false"/>
                <w:color w:val="000000"/>
                <w:sz w:val="20"/>
                <w:szCs w:val="20"/>
              </w:rPr>
              <w:t xml:space="preserve">1x</w:t>
            </w:r>
          </w:p>
        </w:tc>
      </w:tr>
      <w:tr>
        <w:tc>
          <w:tcPr>
            <w:tcW w:type="dxa" w:w="2200"/>
            <w:tcMar>
              <w:top w:type="dxa" w:w="100"/>
              <w:left w:type="dxa" w:w="120"/>
              <w:bottom w:type="dxa" w:w="100"/>
              <w:right w:type="dxa" w:w="120"/>
            </w:tcMar>
          </w:tcPr>
          <w:p>
            <w:r>
              <w:rPr>
                <w:b w:val="false"/>
                <w:bCs w:val="false"/>
                <w:color w:val="000000"/>
                <w:sz w:val="20"/>
                <w:szCs w:val="20"/>
              </w:rPr>
              <w:t xml:space="preserve">🟡 Medium</w:t>
            </w:r>
          </w:p>
        </w:tc>
        <w:tc>
          <w:tcPr>
            <w:tcW w:type="dxa" w:w="6200"/>
            <w:tcMar>
              <w:top w:type="dxa" w:w="100"/>
              <w:left w:type="dxa" w:w="120"/>
              <w:bottom w:type="dxa" w:w="100"/>
              <w:right w:type="dxa" w:w="120"/>
            </w:tcMar>
          </w:tcPr>
          <w:p>
            <w:r>
              <w:rPr>
                <w:b w:val="false"/>
                <w:bCs w:val="false"/>
                <w:color w:val="000000"/>
                <w:sz w:val="20"/>
                <w:szCs w:val="20"/>
              </w:rPr>
              <w:t xml:space="preserve">Dashboard, Product management, Reports</w:t>
            </w:r>
          </w:p>
        </w:tc>
        <w:tc>
          <w:tcPr>
            <w:tcW w:type="dxa" w:w="1860"/>
            <w:tcMar>
              <w:top w:type="dxa" w:w="100"/>
              <w:left w:type="dxa" w:w="120"/>
              <w:bottom w:type="dxa" w:w="100"/>
              <w:right w:type="dxa" w:w="120"/>
            </w:tcMar>
          </w:tcPr>
          <w:p>
            <w:r>
              <w:rPr>
                <w:b w:val="false"/>
                <w:bCs w:val="false"/>
                <w:color w:val="000000"/>
                <w:sz w:val="20"/>
                <w:szCs w:val="20"/>
              </w:rPr>
              <w:t xml:space="preserve">2x</w:t>
            </w:r>
          </w:p>
        </w:tc>
      </w:tr>
      <w:tr>
        <w:tc>
          <w:tcPr>
            <w:tcW w:type="dxa" w:w="2200"/>
            <w:tcMar>
              <w:top w:type="dxa" w:w="100"/>
              <w:left w:type="dxa" w:w="120"/>
              <w:bottom w:type="dxa" w:w="100"/>
              <w:right w:type="dxa" w:w="120"/>
            </w:tcMar>
          </w:tcPr>
          <w:p>
            <w:r>
              <w:rPr>
                <w:b w:val="false"/>
                <w:bCs w:val="false"/>
                <w:color w:val="000000"/>
                <w:sz w:val="20"/>
                <w:szCs w:val="20"/>
              </w:rPr>
              <w:t xml:space="preserve">🔴 Complex</w:t>
            </w:r>
          </w:p>
        </w:tc>
        <w:tc>
          <w:tcPr>
            <w:tcW w:type="dxa" w:w="6200"/>
            <w:tcMar>
              <w:top w:type="dxa" w:w="100"/>
              <w:left w:type="dxa" w:w="120"/>
              <w:bottom w:type="dxa" w:w="100"/>
              <w:right w:type="dxa" w:w="120"/>
            </w:tcMar>
          </w:tcPr>
          <w:p>
            <w:r>
              <w:rPr>
                <w:b w:val="false"/>
                <w:bCs w:val="false"/>
                <w:color w:val="000000"/>
                <w:sz w:val="20"/>
                <w:szCs w:val="20"/>
              </w:rPr>
              <w:t xml:space="preserve">Chat, Maps, AI, Payments, Real-time updates</w:t>
            </w:r>
          </w:p>
        </w:tc>
        <w:tc>
          <w:tcPr>
            <w:tcW w:type="dxa" w:w="1860"/>
            <w:tcMar>
              <w:top w:type="dxa" w:w="100"/>
              <w:left w:type="dxa" w:w="120"/>
              <w:bottom w:type="dxa" w:w="100"/>
              <w:right w:type="dxa" w:w="120"/>
            </w:tcMar>
          </w:tcPr>
          <w:p>
            <w:r>
              <w:rPr>
                <w:b w:val="false"/>
                <w:bCs w:val="false"/>
                <w:color w:val="000000"/>
                <w:sz w:val="20"/>
                <w:szCs w:val="20"/>
              </w:rPr>
              <w:t xml:space="preserve">4x</w:t>
            </w:r>
          </w:p>
        </w:tc>
      </w:tr>
    </w:tbl>
    <w:p>
      <w:pPr>
        <w:spacing w:after="160" w:line="300"/>
      </w:pPr>
      <w:r>
        <w:rPr>
          <w:i/>
          <w:iCs/>
          <w:sz w:val="22"/>
          <w:szCs w:val="22"/>
        </w:rPr>
        <w:t xml:space="preserve">Users may rename tiers, change multipliers, or add additional tiers.</w:t>
      </w:r>
    </w:p>
    <w:p>
      <w:pPr>
        <w:pStyle w:val="Heading2"/>
        <w:spacing w:after="120" w:before="280"/>
      </w:pPr>
      <w:r>
        <w:rPr>
          <w:b/>
          <w:bCs/>
          <w:color w:val="222222"/>
          <w:sz w:val="24"/>
          <w:szCs w:val="24"/>
        </w:rPr>
        <w:t xml:space="preserve">5.4 Step 3 — Integrations List</w:t>
      </w:r>
    </w:p>
    <w:p>
      <w:pPr>
        <w:spacing w:after="160" w:line="300"/>
      </w:pPr>
      <w:r>
        <w:rPr>
          <w:sz w:val="22"/>
          <w:szCs w:val="22"/>
        </w:rPr>
        <w:t xml:space="preserve">Prefilled checklist with default point values, editable, plus a custom-integration option:</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3460"/>
      </w:tblGrid>
      <w:tr>
        <w:tc>
          <w:tcPr>
            <w:tcW w:type="dxa" w:w="4600"/>
            <w:shd w:fill="2E5B4F" w:color="auto" w:val="clear"/>
            <w:tcMar>
              <w:top w:type="dxa" w:w="100"/>
              <w:left w:type="dxa" w:w="120"/>
              <w:bottom w:type="dxa" w:w="100"/>
              <w:right w:type="dxa" w:w="120"/>
            </w:tcMar>
          </w:tcPr>
          <w:p>
            <w:r>
              <w:rPr>
                <w:b/>
                <w:bCs/>
                <w:color w:val="FFFFFF"/>
                <w:sz w:val="20"/>
                <w:szCs w:val="20"/>
              </w:rPr>
              <w:t xml:space="preserve">Integration</w:t>
            </w:r>
          </w:p>
        </w:tc>
        <w:tc>
          <w:tcPr>
            <w:tcW w:type="dxa" w:w="2200"/>
            <w:shd w:fill="2E5B4F" w:color="auto" w:val="clear"/>
            <w:tcMar>
              <w:top w:type="dxa" w:w="100"/>
              <w:left w:type="dxa" w:w="120"/>
              <w:bottom w:type="dxa" w:w="100"/>
              <w:right w:type="dxa" w:w="120"/>
            </w:tcMar>
          </w:tcPr>
          <w:p>
            <w:r>
              <w:rPr>
                <w:b/>
                <w:bCs/>
                <w:color w:val="FFFFFF"/>
                <w:sz w:val="20"/>
                <w:szCs w:val="20"/>
              </w:rPr>
              <w:t xml:space="preserve">Default Points</w:t>
            </w:r>
          </w:p>
        </w:tc>
        <w:tc>
          <w:tcPr>
            <w:tcW w:type="dxa" w:w="3460"/>
            <w:shd w:fill="2E5B4F" w:color="auto" w:val="clear"/>
            <w:tcMar>
              <w:top w:type="dxa" w:w="100"/>
              <w:left w:type="dxa" w:w="120"/>
              <w:bottom w:type="dxa" w:w="100"/>
              <w:right w:type="dxa" w:w="120"/>
            </w:tcMar>
          </w:tcPr>
          <w:p>
            <w:r>
              <w:rPr>
                <w:b/>
                <w:bCs/>
                <w:color w:val="FFFFFF"/>
                <w:sz w:val="20"/>
                <w:szCs w:val="20"/>
              </w:rPr>
              <w:t xml:space="preserve">Notes</w:t>
            </w:r>
          </w:p>
        </w:tc>
      </w:tr>
      <w:tr>
        <w:tc>
          <w:tcPr>
            <w:tcW w:type="dxa" w:w="4600"/>
            <w:tcMar>
              <w:top w:type="dxa" w:w="100"/>
              <w:left w:type="dxa" w:w="120"/>
              <w:bottom w:type="dxa" w:w="100"/>
              <w:right w:type="dxa" w:w="120"/>
            </w:tcMar>
          </w:tcPr>
          <w:p>
            <w:r>
              <w:rPr>
                <w:b w:val="false"/>
                <w:bCs w:val="false"/>
                <w:color w:val="000000"/>
                <w:sz w:val="20"/>
                <w:szCs w:val="20"/>
              </w:rPr>
              <w:t xml:space="preserve">Paystack / Flutterwave / Monnify</w:t>
            </w:r>
          </w:p>
        </w:tc>
        <w:tc>
          <w:tcPr>
            <w:tcW w:type="dxa" w:w="2200"/>
            <w:tcMar>
              <w:top w:type="dxa" w:w="100"/>
              <w:left w:type="dxa" w:w="120"/>
              <w:bottom w:type="dxa" w:w="100"/>
              <w:right w:type="dxa" w:w="120"/>
            </w:tcMar>
          </w:tcPr>
          <w:p>
            <w:r>
              <w:rPr>
                <w:b w:val="false"/>
                <w:bCs w:val="false"/>
                <w:color w:val="000000"/>
                <w:sz w:val="20"/>
                <w:szCs w:val="20"/>
              </w:rPr>
              <w:t xml:space="preserve">+2 each</w:t>
            </w:r>
          </w:p>
        </w:tc>
        <w:tc>
          <w:tcPr>
            <w:tcW w:type="dxa" w:w="3460"/>
            <w:tcMar>
              <w:top w:type="dxa" w:w="100"/>
              <w:left w:type="dxa" w:w="120"/>
              <w:bottom w:type="dxa" w:w="100"/>
              <w:right w:type="dxa" w:w="120"/>
            </w:tcMar>
          </w:tcPr>
          <w:p>
            <w:r>
              <w:rPr>
                <w:b w:val="false"/>
                <w:bCs w:val="false"/>
                <w:color w:val="000000"/>
                <w:sz w:val="20"/>
                <w:szCs w:val="20"/>
              </w:rPr>
              <w:t xml:space="preserve">Payment gateways</w:t>
            </w:r>
          </w:p>
        </w:tc>
      </w:tr>
      <w:tr>
        <w:tc>
          <w:tcPr>
            <w:tcW w:type="dxa" w:w="4600"/>
            <w:tcMar>
              <w:top w:type="dxa" w:w="100"/>
              <w:left w:type="dxa" w:w="120"/>
              <w:bottom w:type="dxa" w:w="100"/>
              <w:right w:type="dxa" w:w="120"/>
            </w:tcMar>
          </w:tcPr>
          <w:p>
            <w:r>
              <w:rPr>
                <w:b w:val="false"/>
                <w:bCs w:val="false"/>
                <w:color w:val="000000"/>
                <w:sz w:val="20"/>
                <w:szCs w:val="20"/>
              </w:rPr>
              <w:t xml:space="preserve">Google Maps</w:t>
            </w:r>
          </w:p>
        </w:tc>
        <w:tc>
          <w:tcPr>
            <w:tcW w:type="dxa" w:w="2200"/>
            <w:tcMar>
              <w:top w:type="dxa" w:w="100"/>
              <w:left w:type="dxa" w:w="120"/>
              <w:bottom w:type="dxa" w:w="100"/>
              <w:right w:type="dxa" w:w="120"/>
            </w:tcMar>
          </w:tcPr>
          <w:p>
            <w:r>
              <w:rPr>
                <w:b w:val="false"/>
                <w:bCs w:val="false"/>
                <w:color w:val="000000"/>
                <w:sz w:val="20"/>
                <w:szCs w:val="20"/>
              </w:rPr>
              <w:t xml:space="preserve">+3</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Firebase</w:t>
            </w:r>
          </w:p>
        </w:tc>
        <w:tc>
          <w:tcPr>
            <w:tcW w:type="dxa" w:w="2200"/>
            <w:tcMar>
              <w:top w:type="dxa" w:w="100"/>
              <w:left w:type="dxa" w:w="120"/>
              <w:bottom w:type="dxa" w:w="100"/>
              <w:right w:type="dxa" w:w="120"/>
            </w:tcMar>
          </w:tcPr>
          <w:p>
            <w:r>
              <w:rPr>
                <w:b w:val="false"/>
                <w:bCs w:val="false"/>
                <w:color w:val="000000"/>
                <w:sz w:val="20"/>
                <w:szCs w:val="20"/>
              </w:rPr>
              <w:t xml:space="preserve">+2</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WhatsApp API</w:t>
            </w:r>
          </w:p>
        </w:tc>
        <w:tc>
          <w:tcPr>
            <w:tcW w:type="dxa" w:w="2200"/>
            <w:tcMar>
              <w:top w:type="dxa" w:w="100"/>
              <w:left w:type="dxa" w:w="120"/>
              <w:bottom w:type="dxa" w:w="100"/>
              <w:right w:type="dxa" w:w="120"/>
            </w:tcMar>
          </w:tcPr>
          <w:p>
            <w:r>
              <w:rPr>
                <w:b w:val="false"/>
                <w:bCs w:val="false"/>
                <w:color w:val="000000"/>
                <w:sz w:val="20"/>
                <w:szCs w:val="20"/>
              </w:rPr>
              <w:t xml:space="preserve">+2</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AI APIs</w:t>
            </w:r>
          </w:p>
        </w:tc>
        <w:tc>
          <w:tcPr>
            <w:tcW w:type="dxa" w:w="2200"/>
            <w:tcMar>
              <w:top w:type="dxa" w:w="100"/>
              <w:left w:type="dxa" w:w="120"/>
              <w:bottom w:type="dxa" w:w="100"/>
              <w:right w:type="dxa" w:w="120"/>
            </w:tcMar>
          </w:tcPr>
          <w:p>
            <w:r>
              <w:rPr>
                <w:b w:val="false"/>
                <w:bCs w:val="false"/>
                <w:color w:val="000000"/>
                <w:sz w:val="20"/>
                <w:szCs w:val="20"/>
              </w:rPr>
              <w:t xml:space="preserve">+4</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SMS OTP</w:t>
            </w:r>
          </w:p>
        </w:tc>
        <w:tc>
          <w:tcPr>
            <w:tcW w:type="dxa" w:w="2200"/>
            <w:tcMar>
              <w:top w:type="dxa" w:w="100"/>
              <w:left w:type="dxa" w:w="120"/>
              <w:bottom w:type="dxa" w:w="100"/>
              <w:right w:type="dxa" w:w="120"/>
            </w:tcMar>
          </w:tcPr>
          <w:p>
            <w:r>
              <w:rPr>
                <w:b w:val="false"/>
                <w:bCs w:val="false"/>
                <w:color w:val="000000"/>
                <w:sz w:val="20"/>
                <w:szCs w:val="20"/>
              </w:rPr>
              <w:t xml:space="preserve">+1</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Email</w:t>
            </w:r>
          </w:p>
        </w:tc>
        <w:tc>
          <w:tcPr>
            <w:tcW w:type="dxa" w:w="2200"/>
            <w:tcMar>
              <w:top w:type="dxa" w:w="100"/>
              <w:left w:type="dxa" w:w="120"/>
              <w:bottom w:type="dxa" w:w="100"/>
              <w:right w:type="dxa" w:w="120"/>
            </w:tcMar>
          </w:tcPr>
          <w:p>
            <w:r>
              <w:rPr>
                <w:b w:val="false"/>
                <w:bCs w:val="false"/>
                <w:color w:val="000000"/>
                <w:sz w:val="20"/>
                <w:szCs w:val="20"/>
              </w:rPr>
              <w:t xml:space="preserve">+1</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Push notifications</w:t>
            </w:r>
          </w:p>
        </w:tc>
        <w:tc>
          <w:tcPr>
            <w:tcW w:type="dxa" w:w="2200"/>
            <w:tcMar>
              <w:top w:type="dxa" w:w="100"/>
              <w:left w:type="dxa" w:w="120"/>
              <w:bottom w:type="dxa" w:w="100"/>
              <w:right w:type="dxa" w:w="120"/>
            </w:tcMar>
          </w:tcPr>
          <w:p>
            <w:r>
              <w:rPr>
                <w:b w:val="false"/>
                <w:bCs w:val="false"/>
                <w:color w:val="000000"/>
                <w:sz w:val="20"/>
                <w:szCs w:val="20"/>
              </w:rPr>
              <w:t xml:space="preserve">+1</w:t>
            </w:r>
          </w:p>
        </w:tc>
        <w:tc>
          <w:tcPr>
            <w:tcW w:type="dxa" w:w="3460"/>
            <w:tcMar>
              <w:top w:type="dxa" w:w="100"/>
              <w:left w:type="dxa" w:w="120"/>
              <w:bottom w:type="dxa" w:w="100"/>
              <w:right w:type="dxa" w:w="120"/>
            </w:tcMar>
          </w:tcPr>
          <w:p>
            <w:r>
              <w:rPr>
                <w:b w:val="false"/>
                <w:bCs w:val="false"/>
                <w:color w:val="000000"/>
                <w:sz w:val="20"/>
                <w:szCs w:val="20"/>
              </w:rPr>
              <w:t xml:space="preserve"/>
            </w:r>
          </w:p>
        </w:tc>
      </w:tr>
      <w:tr>
        <w:tc>
          <w:tcPr>
            <w:tcW w:type="dxa" w:w="4600"/>
            <w:tcMar>
              <w:top w:type="dxa" w:w="100"/>
              <w:left w:type="dxa" w:w="120"/>
              <w:bottom w:type="dxa" w:w="100"/>
              <w:right w:type="dxa" w:w="120"/>
            </w:tcMar>
          </w:tcPr>
          <w:p>
            <w:r>
              <w:rPr>
                <w:b w:val="false"/>
                <w:bCs w:val="false"/>
                <w:color w:val="000000"/>
                <w:sz w:val="20"/>
                <w:szCs w:val="20"/>
              </w:rPr>
              <w:t xml:space="preserve">Custom integration</w:t>
            </w:r>
          </w:p>
        </w:tc>
        <w:tc>
          <w:tcPr>
            <w:tcW w:type="dxa" w:w="2200"/>
            <w:tcMar>
              <w:top w:type="dxa" w:w="100"/>
              <w:left w:type="dxa" w:w="120"/>
              <w:bottom w:type="dxa" w:w="100"/>
              <w:right w:type="dxa" w:w="120"/>
            </w:tcMar>
          </w:tcPr>
          <w:p>
            <w:r>
              <w:rPr>
                <w:b w:val="false"/>
                <w:bCs w:val="false"/>
                <w:color w:val="000000"/>
                <w:sz w:val="20"/>
                <w:szCs w:val="20"/>
              </w:rPr>
              <w:t xml:space="preserve">user-defined</w:t>
            </w:r>
          </w:p>
        </w:tc>
        <w:tc>
          <w:tcPr>
            <w:tcW w:type="dxa" w:w="3460"/>
            <w:tcMar>
              <w:top w:type="dxa" w:w="100"/>
              <w:left w:type="dxa" w:w="120"/>
              <w:bottom w:type="dxa" w:w="100"/>
              <w:right w:type="dxa" w:w="120"/>
            </w:tcMar>
          </w:tcPr>
          <w:p>
            <w:r>
              <w:rPr>
                <w:b w:val="false"/>
                <w:bCs w:val="false"/>
                <w:color w:val="000000"/>
                <w:sz w:val="20"/>
                <w:szCs w:val="20"/>
              </w:rPr>
              <w:t xml:space="preserve">User can add new rows</w:t>
            </w:r>
          </w:p>
        </w:tc>
      </w:tr>
    </w:tbl>
    <w:p>
      <w:pPr>
        <w:pStyle w:val="Heading2"/>
        <w:spacing w:after="120" w:before="280"/>
      </w:pPr>
      <w:r>
        <w:rPr>
          <w:b/>
          <w:bCs/>
          <w:color w:val="222222"/>
          <w:sz w:val="24"/>
          <w:szCs w:val="24"/>
        </w:rPr>
        <w:t xml:space="preserve">5.5 Step 4 — Platform Multipliers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4600"/>
        <w:gridCol w:w="5660"/>
      </w:tblGrid>
      <w:tr>
        <w:tc>
          <w:tcPr>
            <w:tcW w:type="dxa" w:w="4600"/>
            <w:shd w:fill="2E5B4F" w:color="auto" w:val="clear"/>
            <w:tcMar>
              <w:top w:type="dxa" w:w="100"/>
              <w:left w:type="dxa" w:w="120"/>
              <w:bottom w:type="dxa" w:w="100"/>
              <w:right w:type="dxa" w:w="120"/>
            </w:tcMar>
          </w:tcPr>
          <w:p>
            <w:r>
              <w:rPr>
                <w:b/>
                <w:bCs/>
                <w:color w:val="FFFFFF"/>
                <w:sz w:val="20"/>
                <w:szCs w:val="20"/>
              </w:rPr>
              <w:t xml:space="preserve">Platform</w:t>
            </w:r>
          </w:p>
        </w:tc>
        <w:tc>
          <w:tcPr>
            <w:tcW w:type="dxa" w:w="5660"/>
            <w:shd w:fill="2E5B4F" w:color="auto" w:val="clear"/>
            <w:tcMar>
              <w:top w:type="dxa" w:w="100"/>
              <w:left w:type="dxa" w:w="120"/>
              <w:bottom w:type="dxa" w:w="100"/>
              <w:right w:type="dxa" w:w="120"/>
            </w:tcMar>
          </w:tcPr>
          <w:p>
            <w:r>
              <w:rPr>
                <w:b/>
                <w:bCs/>
                <w:color w:val="FFFFFF"/>
                <w:sz w:val="20"/>
                <w:szCs w:val="20"/>
              </w:rPr>
              <w:t xml:space="preserve">Default Multiplier</w:t>
            </w:r>
          </w:p>
        </w:tc>
      </w:tr>
      <w:tr>
        <w:tc>
          <w:tcPr>
            <w:tcW w:type="dxa" w:w="4600"/>
            <w:tcMar>
              <w:top w:type="dxa" w:w="100"/>
              <w:left w:type="dxa" w:w="120"/>
              <w:bottom w:type="dxa" w:w="100"/>
              <w:right w:type="dxa" w:w="120"/>
            </w:tcMar>
          </w:tcPr>
          <w:p>
            <w:r>
              <w:rPr>
                <w:b w:val="false"/>
                <w:bCs w:val="false"/>
                <w:color w:val="000000"/>
                <w:sz w:val="20"/>
                <w:szCs w:val="20"/>
              </w:rPr>
              <w:t xml:space="preserve">Web only</w:t>
            </w:r>
          </w:p>
        </w:tc>
        <w:tc>
          <w:tcPr>
            <w:tcW w:type="dxa" w:w="5660"/>
            <w:tcMar>
              <w:top w:type="dxa" w:w="100"/>
              <w:left w:type="dxa" w:w="120"/>
              <w:bottom w:type="dxa" w:w="100"/>
              <w:right w:type="dxa" w:w="120"/>
            </w:tcMar>
          </w:tcPr>
          <w:p>
            <w:r>
              <w:rPr>
                <w:b w:val="false"/>
                <w:bCs w:val="false"/>
                <w:color w:val="000000"/>
                <w:sz w:val="20"/>
                <w:szCs w:val="20"/>
              </w:rPr>
              <w:t xml:space="preserve">1x (baseline)</w:t>
            </w:r>
          </w:p>
        </w:tc>
      </w:tr>
      <w:tr>
        <w:tc>
          <w:tcPr>
            <w:tcW w:type="dxa" w:w="4600"/>
            <w:tcMar>
              <w:top w:type="dxa" w:w="100"/>
              <w:left w:type="dxa" w:w="120"/>
              <w:bottom w:type="dxa" w:w="100"/>
              <w:right w:type="dxa" w:w="120"/>
            </w:tcMar>
          </w:tcPr>
          <w:p>
            <w:r>
              <w:rPr>
                <w:b w:val="false"/>
                <w:bCs w:val="false"/>
                <w:color w:val="000000"/>
                <w:sz w:val="20"/>
                <w:szCs w:val="20"/>
              </w:rPr>
              <w:t xml:space="preserve">+ Android</w:t>
            </w:r>
          </w:p>
        </w:tc>
        <w:tc>
          <w:tcPr>
            <w:tcW w:type="dxa" w:w="5660"/>
            <w:tcMar>
              <w:top w:type="dxa" w:w="100"/>
              <w:left w:type="dxa" w:w="120"/>
              <w:bottom w:type="dxa" w:w="100"/>
              <w:right w:type="dxa" w:w="120"/>
            </w:tcMar>
          </w:tcPr>
          <w:p>
            <w:r>
              <w:rPr>
                <w:b w:val="false"/>
                <w:bCs w:val="false"/>
                <w:color w:val="000000"/>
                <w:sz w:val="20"/>
                <w:szCs w:val="20"/>
              </w:rPr>
              <w:t xml:space="preserve">+0.4x</w:t>
            </w:r>
          </w:p>
        </w:tc>
      </w:tr>
      <w:tr>
        <w:tc>
          <w:tcPr>
            <w:tcW w:type="dxa" w:w="4600"/>
            <w:tcMar>
              <w:top w:type="dxa" w:w="100"/>
              <w:left w:type="dxa" w:w="120"/>
              <w:bottom w:type="dxa" w:w="100"/>
              <w:right w:type="dxa" w:w="120"/>
            </w:tcMar>
          </w:tcPr>
          <w:p>
            <w:r>
              <w:rPr>
                <w:b w:val="false"/>
                <w:bCs w:val="false"/>
                <w:color w:val="000000"/>
                <w:sz w:val="20"/>
                <w:szCs w:val="20"/>
              </w:rPr>
              <w:t xml:space="preserve">+ iOS</w:t>
            </w:r>
          </w:p>
        </w:tc>
        <w:tc>
          <w:tcPr>
            <w:tcW w:type="dxa" w:w="5660"/>
            <w:tcMar>
              <w:top w:type="dxa" w:w="100"/>
              <w:left w:type="dxa" w:w="120"/>
              <w:bottom w:type="dxa" w:w="100"/>
              <w:right w:type="dxa" w:w="120"/>
            </w:tcMar>
          </w:tcPr>
          <w:p>
            <w:r>
              <w:rPr>
                <w:b w:val="false"/>
                <w:bCs w:val="false"/>
                <w:color w:val="000000"/>
                <w:sz w:val="20"/>
                <w:szCs w:val="20"/>
              </w:rPr>
              <w:t xml:space="preserve">+0.4x</w:t>
            </w:r>
          </w:p>
        </w:tc>
      </w:tr>
      <w:tr>
        <w:tc>
          <w:tcPr>
            <w:tcW w:type="dxa" w:w="4600"/>
            <w:tcMar>
              <w:top w:type="dxa" w:w="100"/>
              <w:left w:type="dxa" w:w="120"/>
              <w:bottom w:type="dxa" w:w="100"/>
              <w:right w:type="dxa" w:w="120"/>
            </w:tcMar>
          </w:tcPr>
          <w:p>
            <w:r>
              <w:rPr>
                <w:b w:val="false"/>
                <w:bCs w:val="false"/>
                <w:color w:val="000000"/>
                <w:sz w:val="20"/>
                <w:szCs w:val="20"/>
              </w:rPr>
              <w:t xml:space="preserve">+ Desktop</w:t>
            </w:r>
          </w:p>
        </w:tc>
        <w:tc>
          <w:tcPr>
            <w:tcW w:type="dxa" w:w="5660"/>
            <w:tcMar>
              <w:top w:type="dxa" w:w="100"/>
              <w:left w:type="dxa" w:w="120"/>
              <w:bottom w:type="dxa" w:w="100"/>
              <w:right w:type="dxa" w:w="120"/>
            </w:tcMar>
          </w:tcPr>
          <w:p>
            <w:r>
              <w:rPr>
                <w:b w:val="false"/>
                <w:bCs w:val="false"/>
                <w:color w:val="000000"/>
                <w:sz w:val="20"/>
                <w:szCs w:val="20"/>
              </w:rPr>
              <w:t xml:space="preserve">+0.3x</w:t>
            </w:r>
          </w:p>
        </w:tc>
      </w:tr>
      <w:tr>
        <w:tc>
          <w:tcPr>
            <w:tcW w:type="dxa" w:w="4600"/>
            <w:tcMar>
              <w:top w:type="dxa" w:w="100"/>
              <w:left w:type="dxa" w:w="120"/>
              <w:bottom w:type="dxa" w:w="100"/>
              <w:right w:type="dxa" w:w="120"/>
            </w:tcMar>
          </w:tcPr>
          <w:p>
            <w:r>
              <w:rPr>
                <w:b w:val="false"/>
                <w:bCs w:val="false"/>
                <w:color w:val="000000"/>
                <w:sz w:val="20"/>
                <w:szCs w:val="20"/>
              </w:rPr>
              <w:t xml:space="preserve">+ PWA</w:t>
            </w:r>
          </w:p>
        </w:tc>
        <w:tc>
          <w:tcPr>
            <w:tcW w:type="dxa" w:w="5660"/>
            <w:tcMar>
              <w:top w:type="dxa" w:w="100"/>
              <w:left w:type="dxa" w:w="120"/>
              <w:bottom w:type="dxa" w:w="100"/>
              <w:right w:type="dxa" w:w="120"/>
            </w:tcMar>
          </w:tcPr>
          <w:p>
            <w:r>
              <w:rPr>
                <w:b w:val="false"/>
                <w:bCs w:val="false"/>
                <w:color w:val="000000"/>
                <w:sz w:val="20"/>
                <w:szCs w:val="20"/>
              </w:rPr>
              <w:t xml:space="preserve">+0.2x</w:t>
            </w:r>
          </w:p>
        </w:tc>
      </w:tr>
    </w:tbl>
    <w:p>
      <w:pPr>
        <w:pStyle w:val="Heading2"/>
        <w:spacing w:after="120" w:before="280"/>
      </w:pPr>
      <w:r>
        <w:rPr>
          <w:b/>
          <w:bCs/>
          <w:color w:val="222222"/>
          <w:sz w:val="24"/>
          <w:szCs w:val="24"/>
        </w:rPr>
        <w:t xml:space="preserve">5.6 Step 5 — Maintenance Pricing</w:t>
      </w:r>
    </w:p>
    <w:p>
      <w:pPr>
        <w:pStyle w:val="ListParagraph"/>
        <w:numPr>
          <w:ilvl w:val="0"/>
          <w:numId w:val="2"/>
        </w:numPr>
        <w:spacing w:after="80"/>
      </w:pPr>
      <w:r>
        <w:rPr>
          <w:sz w:val="22"/>
          <w:szCs w:val="22"/>
        </w:rPr>
        <w:t xml:space="preserve">Choice of model: flat monthly rate, or percentage of project price per month</w:t>
      </w:r>
    </w:p>
    <w:p>
      <w:pPr>
        <w:pStyle w:val="ListParagraph"/>
        <w:numPr>
          <w:ilvl w:val="0"/>
          <w:numId w:val="2"/>
        </w:numPr>
        <w:spacing w:after="80"/>
      </w:pPr>
      <w:r>
        <w:rPr>
          <w:sz w:val="22"/>
          <w:szCs w:val="22"/>
        </w:rPr>
        <w:t xml:space="preserve">Default: 10–15% of project price per month, editable</w:t>
      </w:r>
    </w:p>
    <w:p>
      <w:pPr>
        <w:pStyle w:val="Heading2"/>
        <w:spacing w:after="120" w:before="280"/>
      </w:pPr>
      <w:r>
        <w:rPr>
          <w:b/>
          <w:bCs/>
          <w:color w:val="222222"/>
          <w:sz w:val="24"/>
          <w:szCs w:val="24"/>
        </w:rPr>
        <w:t xml:space="preserve">5.7 Step 6 — Package Tier Logic</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860"/>
      </w:tblGrid>
      <w:tr>
        <w:tc>
          <w:tcPr>
            <w:tcW w:type="dxa" w:w="3200"/>
            <w:shd w:fill="2E5B4F" w:color="auto" w:val="clear"/>
            <w:tcMar>
              <w:top w:type="dxa" w:w="100"/>
              <w:left w:type="dxa" w:w="120"/>
              <w:bottom w:type="dxa" w:w="100"/>
              <w:right w:type="dxa" w:w="120"/>
            </w:tcMar>
          </w:tcPr>
          <w:p>
            <w:r>
              <w:rPr>
                <w:b/>
                <w:bCs/>
                <w:color w:val="FFFFFF"/>
                <w:sz w:val="20"/>
                <w:szCs w:val="20"/>
              </w:rPr>
              <w:t xml:space="preserve">Package</w:t>
            </w:r>
          </w:p>
        </w:tc>
        <w:tc>
          <w:tcPr>
            <w:tcW w:type="dxa" w:w="3200"/>
            <w:shd w:fill="2E5B4F" w:color="auto" w:val="clear"/>
            <w:tcMar>
              <w:top w:type="dxa" w:w="100"/>
              <w:left w:type="dxa" w:w="120"/>
              <w:bottom w:type="dxa" w:w="100"/>
              <w:right w:type="dxa" w:w="120"/>
            </w:tcMar>
          </w:tcPr>
          <w:p>
            <w:r>
              <w:rPr>
                <w:b/>
                <w:bCs/>
                <w:color w:val="FFFFFF"/>
                <w:sz w:val="20"/>
                <w:szCs w:val="20"/>
              </w:rPr>
              <w:t xml:space="preserve">Default Multiplier</w:t>
            </w:r>
          </w:p>
        </w:tc>
        <w:tc>
          <w:tcPr>
            <w:tcW w:type="dxa" w:w="3860"/>
            <w:shd w:fill="2E5B4F" w:color="auto" w:val="clear"/>
            <w:tcMar>
              <w:top w:type="dxa" w:w="100"/>
              <w:left w:type="dxa" w:w="120"/>
              <w:bottom w:type="dxa" w:w="100"/>
              <w:right w:type="dxa" w:w="120"/>
            </w:tcMar>
          </w:tcPr>
          <w:p>
            <w:r>
              <w:rPr>
                <w:b/>
                <w:bCs/>
                <w:color w:val="FFFFFF"/>
                <w:sz w:val="20"/>
                <w:szCs w:val="20"/>
              </w:rPr>
              <w:t xml:space="preserve">Notes</w:t>
            </w:r>
          </w:p>
        </w:tc>
      </w:tr>
      <w:tr>
        <w:tc>
          <w:tcPr>
            <w:tcW w:type="dxa" w:w="3200"/>
            <w:tcMar>
              <w:top w:type="dxa" w:w="100"/>
              <w:left w:type="dxa" w:w="120"/>
              <w:bottom w:type="dxa" w:w="100"/>
              <w:right w:type="dxa" w:w="120"/>
            </w:tcMar>
          </w:tcPr>
          <w:p>
            <w:r>
              <w:rPr>
                <w:b w:val="false"/>
                <w:bCs w:val="false"/>
                <w:color w:val="000000"/>
                <w:sz w:val="20"/>
                <w:szCs w:val="20"/>
              </w:rPr>
              <w:t xml:space="preserve">Basic</w:t>
            </w:r>
          </w:p>
        </w:tc>
        <w:tc>
          <w:tcPr>
            <w:tcW w:type="dxa" w:w="3200"/>
            <w:tcMar>
              <w:top w:type="dxa" w:w="100"/>
              <w:left w:type="dxa" w:w="120"/>
              <w:bottom w:type="dxa" w:w="100"/>
              <w:right w:type="dxa" w:w="120"/>
            </w:tcMar>
          </w:tcPr>
          <w:p>
            <w:r>
              <w:rPr>
                <w:b w:val="false"/>
                <w:bCs w:val="false"/>
                <w:color w:val="000000"/>
                <w:sz w:val="20"/>
                <w:szCs w:val="20"/>
              </w:rPr>
              <w:t xml:space="preserve">70% of calculated price</w:t>
            </w:r>
          </w:p>
        </w:tc>
        <w:tc>
          <w:tcPr>
            <w:tcW w:type="dxa" w:w="3860"/>
            <w:tcMar>
              <w:top w:type="dxa" w:w="100"/>
              <w:left w:type="dxa" w:w="120"/>
              <w:bottom w:type="dxa" w:w="100"/>
              <w:right w:type="dxa" w:w="120"/>
            </w:tcMar>
          </w:tcPr>
          <w:p>
            <w:r>
              <w:rPr>
                <w:b w:val="false"/>
                <w:bCs w:val="false"/>
                <w:color w:val="000000"/>
                <w:sz w:val="20"/>
                <w:szCs w:val="20"/>
              </w:rPr>
              <w:t xml:space="preserve">Reduced feature set</w:t>
            </w:r>
          </w:p>
        </w:tc>
      </w:tr>
      <w:tr>
        <w:tc>
          <w:tcPr>
            <w:tcW w:type="dxa" w:w="3200"/>
            <w:tcMar>
              <w:top w:type="dxa" w:w="100"/>
              <w:left w:type="dxa" w:w="120"/>
              <w:bottom w:type="dxa" w:w="100"/>
              <w:right w:type="dxa" w:w="120"/>
            </w:tcMar>
          </w:tcPr>
          <w:p>
            <w:r>
              <w:rPr>
                <w:b w:val="false"/>
                <w:bCs w:val="false"/>
                <w:color w:val="000000"/>
                <w:sz w:val="20"/>
                <w:szCs w:val="20"/>
              </w:rPr>
              <w:t xml:space="preserve">Professional</w:t>
            </w:r>
          </w:p>
        </w:tc>
        <w:tc>
          <w:tcPr>
            <w:tcW w:type="dxa" w:w="3200"/>
            <w:tcMar>
              <w:top w:type="dxa" w:w="100"/>
              <w:left w:type="dxa" w:w="120"/>
              <w:bottom w:type="dxa" w:w="100"/>
              <w:right w:type="dxa" w:w="120"/>
            </w:tcMar>
          </w:tcPr>
          <w:p>
            <w:r>
              <w:rPr>
                <w:b w:val="false"/>
                <w:bCs w:val="false"/>
                <w:color w:val="000000"/>
                <w:sz w:val="20"/>
                <w:szCs w:val="20"/>
              </w:rPr>
              <w:t xml:space="preserve">100% of calculated price</w:t>
            </w:r>
          </w:p>
        </w:tc>
        <w:tc>
          <w:tcPr>
            <w:tcW w:type="dxa" w:w="3860"/>
            <w:tcMar>
              <w:top w:type="dxa" w:w="100"/>
              <w:left w:type="dxa" w:w="120"/>
              <w:bottom w:type="dxa" w:w="100"/>
              <w:right w:type="dxa" w:w="120"/>
            </w:tcMar>
          </w:tcPr>
          <w:p>
            <w:r>
              <w:rPr>
                <w:b w:val="false"/>
                <w:bCs w:val="false"/>
                <w:color w:val="000000"/>
                <w:sz w:val="20"/>
                <w:szCs w:val="20"/>
              </w:rPr>
              <w:t xml:space="preserve">Full scope as estimated</w:t>
            </w:r>
          </w:p>
        </w:tc>
      </w:tr>
      <w:tr>
        <w:tc>
          <w:tcPr>
            <w:tcW w:type="dxa" w:w="3200"/>
            <w:tcMar>
              <w:top w:type="dxa" w:w="100"/>
              <w:left w:type="dxa" w:w="120"/>
              <w:bottom w:type="dxa" w:w="100"/>
              <w:right w:type="dxa" w:w="120"/>
            </w:tcMar>
          </w:tcPr>
          <w:p>
            <w:r>
              <w:rPr>
                <w:b w:val="false"/>
                <w:bCs w:val="false"/>
                <w:color w:val="000000"/>
                <w:sz w:val="20"/>
                <w:szCs w:val="20"/>
              </w:rPr>
              <w:t xml:space="preserve">Premium</w:t>
            </w:r>
          </w:p>
        </w:tc>
        <w:tc>
          <w:tcPr>
            <w:tcW w:type="dxa" w:w="3200"/>
            <w:tcMar>
              <w:top w:type="dxa" w:w="100"/>
              <w:left w:type="dxa" w:w="120"/>
              <w:bottom w:type="dxa" w:w="100"/>
              <w:right w:type="dxa" w:w="120"/>
            </w:tcMar>
          </w:tcPr>
          <w:p>
            <w:r>
              <w:rPr>
                <w:b w:val="false"/>
                <w:bCs w:val="false"/>
                <w:color w:val="000000"/>
                <w:sz w:val="20"/>
                <w:szCs w:val="20"/>
              </w:rPr>
              <w:t xml:space="preserve">140% of calculated price</w:t>
            </w:r>
          </w:p>
        </w:tc>
        <w:tc>
          <w:tcPr>
            <w:tcW w:type="dxa" w:w="3860"/>
            <w:tcMar>
              <w:top w:type="dxa" w:w="100"/>
              <w:left w:type="dxa" w:w="120"/>
              <w:bottom w:type="dxa" w:w="100"/>
              <w:right w:type="dxa" w:w="120"/>
            </w:tcMar>
          </w:tcPr>
          <w:p>
            <w:r>
              <w:rPr>
                <w:b w:val="false"/>
                <w:bCs w:val="false"/>
                <w:color w:val="000000"/>
                <w:sz w:val="20"/>
                <w:szCs w:val="20"/>
              </w:rPr>
              <w:t xml:space="preserve">Priority support / faster delivery</w:t>
            </w:r>
          </w:p>
        </w:tc>
      </w:tr>
    </w:tbl>
    <w:p>
      <w:pPr>
        <w:pStyle w:val="Heading2"/>
        <w:spacing w:after="120" w:before="280"/>
      </w:pPr>
      <w:r>
        <w:rPr>
          <w:b/>
          <w:bCs/>
          <w:color w:val="222222"/>
          <w:sz w:val="24"/>
          <w:szCs w:val="24"/>
        </w:rPr>
        <w:t xml:space="preserve">5.8 Step 7 — Review &amp; Save</w:t>
      </w:r>
    </w:p>
    <w:p>
      <w:pPr>
        <w:spacing w:after="160" w:line="300"/>
      </w:pPr>
      <w:r>
        <w:rPr>
          <w:sz w:val="22"/>
          <w:szCs w:val="22"/>
        </w:rPr>
        <w:t xml:space="preserve">Full configuration summary shown for a final edit pass, then saved as the user's active pricing configuration.</w:t>
      </w:r>
    </w:p>
    <w:p>
      <w:pPr>
        <w:pStyle w:val="Heading2"/>
        <w:spacing w:after="120" w:before="280"/>
      </w:pPr>
      <w:r>
        <w:rPr>
          <w:b/>
          <w:bCs/>
          <w:color w:val="222222"/>
          <w:sz w:val="24"/>
          <w:szCs w:val="24"/>
        </w:rPr>
        <w:t xml:space="preserve">5.9 Config Duplication (in scope for v1)</w:t>
      </w:r>
    </w:p>
    <w:p>
      <w:pPr>
        <w:spacing w:after="160" w:line="300"/>
      </w:pPr>
      <w:r>
        <w:rPr>
          <w:sz w:val="22"/>
          <w:szCs w:val="22"/>
        </w:rPr>
        <w:t xml:space="preserve">A user may hold multiple named pricing configs (e.g. "Standard", "Discount Client", "Foreign Client") rather than a single active config. Each new project quote selects which config to use at intake time. This is resolved into v1 rather than deferred, since retrofitting it after quotes already reference a single config is more disruptive than building it in from the start. Users can duplicate an existing config and edit the copy independently.</w:t>
      </w:r>
    </w:p>
    <w:p>
      <w:pPr>
        <w:pStyle w:val="Heading1"/>
        <w:spacing w:after="160" w:before="360"/>
      </w:pPr>
      <w:r>
        <w:rPr>
          <w:b/>
          <w:bCs/>
          <w:color w:val="2E5B4F"/>
          <w:sz w:val="28"/>
          <w:szCs w:val="28"/>
        </w:rPr>
        <w:t xml:space="preserve">6. Feature: Project Intake</w:t>
      </w:r>
    </w:p>
    <w:p>
      <w:pPr>
        <w:spacing w:after="160" w:line="300"/>
      </w:pPr>
      <w:r>
        <w:rPr>
          <w:sz w:val="22"/>
          <w:szCs w:val="22"/>
        </w:rPr>
        <w:t xml:space="preserve">A guided form used to capture a new project's scope. Inputs map directly to the user's saved pricing configuration.</w:t>
      </w:r>
    </w:p>
    <w:p>
      <w:pPr>
        <w:pStyle w:val="ListParagraph"/>
        <w:numPr>
          <w:ilvl w:val="0"/>
          <w:numId w:val="2"/>
        </w:numPr>
        <w:spacing w:after="80"/>
      </w:pPr>
      <w:r>
        <w:rPr>
          <w:sz w:val="22"/>
          <w:szCs w:val="22"/>
        </w:rPr>
        <w:t xml:space="preserve">Screens: add each screen by name; tag complexity (🟢/🟡/🔴 or custom tiers); optional one-line complexity note (e.g. "real-time inventory sync") — carried into the generated PRD so a developer picking up the project cold understands why a screen was tagged complex.</w:t>
      </w:r>
    </w:p>
    <w:p>
      <w:pPr>
        <w:pStyle w:val="ListParagraph"/>
        <w:numPr>
          <w:ilvl w:val="0"/>
          <w:numId w:val="2"/>
        </w:numPr>
        <w:spacing w:after="80"/>
      </w:pPr>
      <w:r>
        <w:rPr>
          <w:sz w:val="22"/>
          <w:szCs w:val="22"/>
        </w:rPr>
        <w:t xml:space="preserve">Integrations: select from the user's configured list, or add a one-off custom integration.</w:t>
      </w:r>
    </w:p>
    <w:p>
      <w:pPr>
        <w:pStyle w:val="ListParagraph"/>
        <w:numPr>
          <w:ilvl w:val="0"/>
          <w:numId w:val="2"/>
        </w:numPr>
        <w:spacing w:after="80"/>
      </w:pPr>
      <w:r>
        <w:rPr>
          <w:sz w:val="22"/>
          <w:szCs w:val="22"/>
        </w:rPr>
        <w:t xml:space="preserve">Platform(s): multi-select (Web, Android, iOS, Desktop, PWA).</w:t>
      </w:r>
    </w:p>
    <w:p>
      <w:pPr>
        <w:pStyle w:val="ListParagraph"/>
        <w:numPr>
          <w:ilvl w:val="0"/>
          <w:numId w:val="2"/>
        </w:numPr>
        <w:spacing w:after="80"/>
      </w:pPr>
      <w:r>
        <w:rPr>
          <w:sz w:val="22"/>
          <w:szCs w:val="22"/>
        </w:rPr>
        <w:t xml:space="preserve">Maintenance: select tier/model if the client wants ongoing support included.</w:t>
      </w:r>
    </w:p>
    <w:p>
      <w:pPr>
        <w:pStyle w:val="ListParagraph"/>
        <w:numPr>
          <w:ilvl w:val="0"/>
          <w:numId w:val="2"/>
        </w:numPr>
        <w:spacing w:after="80"/>
      </w:pPr>
      <w:r>
        <w:rPr>
          <w:sz w:val="22"/>
          <w:szCs w:val="22"/>
        </w:rPr>
        <w:t xml:space="preserve">Client/project metadata: client name, project name, date, optional notes.</w:t>
      </w:r>
    </w:p>
    <w:p>
      <w:pPr>
        <w:pStyle w:val="Heading1"/>
        <w:spacing w:after="160" w:before="360"/>
      </w:pPr>
      <w:r>
        <w:rPr>
          <w:b/>
          <w:bCs/>
          <w:color w:val="2E5B4F"/>
          <w:sz w:val="28"/>
          <w:szCs w:val="28"/>
        </w:rPr>
        <w:t xml:space="preserve">7. Feature: Pricing Engine</w:t>
      </w:r>
    </w:p>
    <w:p>
      <w:pPr>
        <w:spacing w:after="160" w:line="300"/>
      </w:pPr>
      <w:r>
        <w:rPr>
          <w:sz w:val="22"/>
          <w:szCs w:val="22"/>
        </w:rPr>
        <w:t xml:space="preserve">Takes a project's intake data and the user's active pricing configuration and computes:</w:t>
      </w:r>
    </w:p>
    <w:p>
      <w:pPr>
        <w:pStyle w:val="ListParagraph"/>
        <w:numPr>
          <w:ilvl w:val="0"/>
          <w:numId w:val="2"/>
        </w:numPr>
        <w:spacing w:after="80"/>
      </w:pPr>
      <w:r>
        <w:rPr>
          <w:sz w:val="22"/>
          <w:szCs w:val="22"/>
        </w:rPr>
        <w:t xml:space="preserve">A base point total (sum of screen points by complexity tier).</w:t>
      </w:r>
    </w:p>
    <w:p>
      <w:pPr>
        <w:pStyle w:val="ListParagraph"/>
        <w:numPr>
          <w:ilvl w:val="0"/>
          <w:numId w:val="2"/>
        </w:numPr>
        <w:spacing w:after="80"/>
      </w:pPr>
      <w:r>
        <w:rPr>
          <w:sz w:val="22"/>
          <w:szCs w:val="22"/>
        </w:rPr>
        <w:t xml:space="preserve">Integration points added on top.</w:t>
      </w:r>
    </w:p>
    <w:p>
      <w:pPr>
        <w:pStyle w:val="ListParagraph"/>
        <w:numPr>
          <w:ilvl w:val="0"/>
          <w:numId w:val="2"/>
        </w:numPr>
        <w:spacing w:after="80"/>
      </w:pPr>
      <w:r>
        <w:rPr>
          <w:sz w:val="22"/>
          <w:szCs w:val="22"/>
        </w:rPr>
        <w:t xml:space="preserve">Platform multiplier applied to the subtotal.</w:t>
      </w:r>
    </w:p>
    <w:p>
      <w:pPr>
        <w:pStyle w:val="ListParagraph"/>
        <w:numPr>
          <w:ilvl w:val="0"/>
          <w:numId w:val="2"/>
        </w:numPr>
        <w:spacing w:after="80"/>
      </w:pPr>
      <w:r>
        <w:rPr>
          <w:sz w:val="22"/>
          <w:szCs w:val="22"/>
        </w:rPr>
        <w:t xml:space="preserve">Base price = point total × base rate.</w:t>
      </w:r>
    </w:p>
    <w:p>
      <w:pPr>
        <w:pStyle w:val="ListParagraph"/>
        <w:numPr>
          <w:ilvl w:val="0"/>
          <w:numId w:val="2"/>
        </w:numPr>
        <w:spacing w:after="80"/>
      </w:pPr>
      <w:r>
        <w:rPr>
          <w:sz w:val="22"/>
          <w:szCs w:val="22"/>
        </w:rPr>
        <w:t xml:space="preserve">Three package prices generated by applying the package multipliers (Basic / Professional / Premium).</w:t>
      </w:r>
    </w:p>
    <w:p>
      <w:pPr>
        <w:pStyle w:val="ListParagraph"/>
        <w:numPr>
          <w:ilvl w:val="0"/>
          <w:numId w:val="2"/>
        </w:numPr>
        <w:spacing w:after="80"/>
      </w:pPr>
      <w:r>
        <w:rPr>
          <w:sz w:val="22"/>
          <w:szCs w:val="22"/>
        </w:rPr>
        <w:t xml:space="preserve">Optional monthly maintenance figure shown alongside, not bundled into the one-time price.</w:t>
      </w:r>
    </w:p>
    <w:p>
      <w:pPr>
        <w:spacing w:after="160" w:line="300"/>
      </w:pPr>
      <w:r>
        <w:rPr>
          <w:i/>
          <w:iCs/>
          <w:sz w:val="22"/>
          <w:szCs w:val="22"/>
        </w:rPr>
        <w:t xml:space="preserve">The calculation must be transparent — the user should be able to see the breakdown (not just the final number) so they can explain or defend it to a client.</w:t>
      </w:r>
    </w:p>
    <w:p>
      <w:pPr>
        <w:pStyle w:val="Heading1"/>
        <w:spacing w:after="160" w:before="360"/>
      </w:pPr>
      <w:r>
        <w:rPr>
          <w:b/>
          <w:bCs/>
          <w:color w:val="2E5B4F"/>
          <w:sz w:val="28"/>
          <w:szCs w:val="28"/>
        </w:rPr>
        <w:t xml:space="preserve">8. Feature: Package Selection &amp; Scope Lock</w:t>
      </w:r>
    </w:p>
    <w:p>
      <w:pPr>
        <w:spacing w:after="160" w:line="300"/>
      </w:pPr>
      <w:r>
        <w:rPr>
          <w:sz w:val="22"/>
          <w:szCs w:val="22"/>
        </w:rPr>
        <w:t xml:space="preserve">When the user selects a package tier for a project, that project's scope, price, and inputs are marked as locked. Locked projects are read-only for their inputs.</w:t>
      </w:r>
    </w:p>
    <w:p>
      <w:pPr>
        <w:pStyle w:val="Heading2"/>
        <w:spacing w:after="120" w:before="280"/>
      </w:pPr>
      <w:r>
        <w:rPr>
          <w:b/>
          <w:bCs/>
          <w:color w:val="222222"/>
          <w:sz w:val="24"/>
          <w:szCs w:val="24"/>
        </w:rPr>
        <w:t xml:space="preserve">8.1 Versioning on Scope Change</w:t>
      </w:r>
    </w:p>
    <w:p>
      <w:pPr>
        <w:spacing w:after="160" w:line="300"/>
      </w:pPr>
      <w:r>
        <w:rPr>
          <w:sz w:val="22"/>
          <w:szCs w:val="22"/>
        </w:rPr>
        <w:t xml:space="preserve">If a client requests a change after locking (e.g. "can we add live chat?"), the user amends the same project rather than starting a new one from scratch. This creates a new version under the same project record: the previous version is frozen and remains visible, the new version carries forward all existing screens/integrations so the user only adds or edits the delta, and the Client Proposal and Developer PRD are regenerated only for the new version. This preserves a full scope-change history per project without forcing the user to re-enter data that hasn't changed.</w:t>
      </w:r>
    </w:p>
    <w:p>
      <w:pPr>
        <w:pStyle w:val="Heading1"/>
        <w:spacing w:after="160" w:before="360"/>
      </w:pPr>
      <w:r>
        <w:rPr>
          <w:b/>
          <w:bCs/>
          <w:color w:val="2E5B4F"/>
          <w:sz w:val="28"/>
          <w:szCs w:val="28"/>
        </w:rPr>
        <w:t xml:space="preserve">9. Feature: Document Generation</w:t>
      </w:r>
    </w:p>
    <w:p>
      <w:pPr>
        <w:pStyle w:val="Heading2"/>
        <w:spacing w:after="120" w:before="280"/>
      </w:pPr>
      <w:r>
        <w:rPr>
          <w:b/>
          <w:bCs/>
          <w:color w:val="222222"/>
          <w:sz w:val="24"/>
          <w:szCs w:val="24"/>
        </w:rPr>
        <w:t xml:space="preserve">9.1 Client Proposal (output)</w:t>
      </w:r>
    </w:p>
    <w:p>
      <w:pPr>
        <w:pStyle w:val="ListParagraph"/>
        <w:numPr>
          <w:ilvl w:val="0"/>
          <w:numId w:val="2"/>
        </w:numPr>
        <w:spacing w:after="80"/>
      </w:pPr>
      <w:r>
        <w:rPr>
          <w:sz w:val="22"/>
          <w:szCs w:val="22"/>
        </w:rPr>
        <w:t xml:space="preserve">Selected package and price</w:t>
      </w:r>
    </w:p>
    <w:p>
      <w:pPr>
        <w:pStyle w:val="ListParagraph"/>
        <w:numPr>
          <w:ilvl w:val="0"/>
          <w:numId w:val="2"/>
        </w:numPr>
        <w:spacing w:after="80"/>
      </w:pPr>
      <w:r>
        <w:rPr>
          <w:sz w:val="22"/>
          <w:szCs w:val="22"/>
        </w:rPr>
        <w:t xml:space="preserve">What's included, in plain client-facing language</w:t>
      </w:r>
    </w:p>
    <w:p>
      <w:pPr>
        <w:pStyle w:val="ListParagraph"/>
        <w:numPr>
          <w:ilvl w:val="0"/>
          <w:numId w:val="2"/>
        </w:numPr>
        <w:spacing w:after="80"/>
      </w:pPr>
      <w:r>
        <w:rPr>
          <w:sz w:val="22"/>
          <w:szCs w:val="22"/>
        </w:rPr>
        <w:t xml:space="preserve">What's explicitly excluded / out of scope</w:t>
      </w:r>
    </w:p>
    <w:p>
      <w:pPr>
        <w:pStyle w:val="ListParagraph"/>
        <w:numPr>
          <w:ilvl w:val="0"/>
          <w:numId w:val="2"/>
        </w:numPr>
        <w:spacing w:after="80"/>
      </w:pPr>
      <w:r>
        <w:rPr>
          <w:sz w:val="22"/>
          <w:szCs w:val="22"/>
        </w:rPr>
        <w:t xml:space="preserve">Timeline / milestone placeholders</w:t>
      </w:r>
    </w:p>
    <w:p>
      <w:pPr>
        <w:pStyle w:val="ListParagraph"/>
        <w:numPr>
          <w:ilvl w:val="0"/>
          <w:numId w:val="2"/>
        </w:numPr>
        <w:spacing w:after="80"/>
      </w:pPr>
      <w:r>
        <w:rPr>
          <w:sz w:val="22"/>
          <w:szCs w:val="22"/>
        </w:rPr>
        <w:t xml:space="preserve">Payment terms placeholder</w:t>
      </w:r>
    </w:p>
    <w:p>
      <w:pPr>
        <w:pStyle w:val="Heading2"/>
        <w:spacing w:after="120" w:before="280"/>
      </w:pPr>
      <w:r>
        <w:rPr>
          <w:b/>
          <w:bCs/>
          <w:color w:val="222222"/>
          <w:sz w:val="24"/>
          <w:szCs w:val="24"/>
        </w:rPr>
        <w:t xml:space="preserve">9.2 Developer PRD (output)</w:t>
      </w:r>
    </w:p>
    <w:p>
      <w:pPr>
        <w:pStyle w:val="ListParagraph"/>
        <w:numPr>
          <w:ilvl w:val="0"/>
          <w:numId w:val="2"/>
        </w:numPr>
        <w:spacing w:after="80"/>
      </w:pPr>
      <w:r>
        <w:rPr>
          <w:sz w:val="22"/>
          <w:szCs w:val="22"/>
        </w:rPr>
        <w:t xml:space="preserve">Project overview (1–2 lines)</w:t>
      </w:r>
    </w:p>
    <w:p>
      <w:pPr>
        <w:pStyle w:val="ListParagraph"/>
        <w:numPr>
          <w:ilvl w:val="0"/>
          <w:numId w:val="2"/>
        </w:numPr>
        <w:spacing w:after="80"/>
      </w:pPr>
      <w:r>
        <w:rPr>
          <w:sz w:val="22"/>
          <w:szCs w:val="22"/>
        </w:rPr>
        <w:t xml:space="preserve">Screens list with complexity tags</w:t>
      </w:r>
    </w:p>
    <w:p>
      <w:pPr>
        <w:pStyle w:val="ListParagraph"/>
        <w:numPr>
          <w:ilvl w:val="0"/>
          <w:numId w:val="2"/>
        </w:numPr>
        <w:spacing w:after="80"/>
      </w:pPr>
      <w:r>
        <w:rPr>
          <w:sz w:val="22"/>
          <w:szCs w:val="22"/>
        </w:rPr>
        <w:t xml:space="preserve">Integrations list with any technical notes</w:t>
      </w:r>
    </w:p>
    <w:p>
      <w:pPr>
        <w:pStyle w:val="ListParagraph"/>
        <w:numPr>
          <w:ilvl w:val="0"/>
          <w:numId w:val="2"/>
        </w:numPr>
        <w:spacing w:after="80"/>
      </w:pPr>
      <w:r>
        <w:rPr>
          <w:sz w:val="22"/>
          <w:szCs w:val="22"/>
        </w:rPr>
        <w:t xml:space="preserve">Platform targets</w:t>
      </w:r>
    </w:p>
    <w:p>
      <w:pPr>
        <w:pStyle w:val="ListParagraph"/>
        <w:numPr>
          <w:ilvl w:val="0"/>
          <w:numId w:val="2"/>
        </w:numPr>
        <w:spacing w:after="80"/>
      </w:pPr>
      <w:r>
        <w:rPr>
          <w:sz w:val="22"/>
          <w:szCs w:val="22"/>
        </w:rPr>
        <w:t xml:space="preserve">Out-of-scope items — explicitly listed, since this is the section most PRDs skip and the one that prevents later disputes</w:t>
      </w:r>
    </w:p>
    <w:p>
      <w:pPr>
        <w:pStyle w:val="ListParagraph"/>
        <w:numPr>
          <w:ilvl w:val="0"/>
          <w:numId w:val="2"/>
        </w:numPr>
        <w:spacing w:after="80"/>
      </w:pPr>
      <w:r>
        <w:rPr>
          <w:sz w:val="22"/>
          <w:szCs w:val="22"/>
        </w:rPr>
        <w:t xml:space="preserve">Maintenance terms, if applicable</w:t>
      </w:r>
    </w:p>
    <w:p>
      <w:pPr>
        <w:pStyle w:val="ListParagraph"/>
        <w:numPr>
          <w:ilvl w:val="0"/>
          <w:numId w:val="2"/>
        </w:numPr>
        <w:spacing w:after="80"/>
      </w:pPr>
      <w:r>
        <w:rPr>
          <w:sz w:val="22"/>
          <w:szCs w:val="22"/>
        </w:rPr>
        <w:t xml:space="preserve">Timeline / milestones, if included</w:t>
      </w:r>
    </w:p>
    <w:p>
      <w:pPr>
        <w:spacing w:after="160" w:line="300"/>
      </w:pPr>
      <w:r>
        <w:rPr>
          <w:sz w:val="22"/>
          <w:szCs w:val="22"/>
        </w:rPr>
        <w:t xml:space="preserve">Both documents are generated from the same locked project record and exported as PDF by default for v1. PDF is the more common real use case here — it's what a client reads and signs off on to lock scope, whereas Word invites uncontrolled editing of a document meant to be a fixed record. Word export is deferred and only added if users specifically request it.</w:t>
      </w:r>
    </w:p>
    <w:p>
      <w:pPr>
        <w:pStyle w:val="Heading1"/>
        <w:spacing w:after="160" w:before="360"/>
      </w:pPr>
      <w:r>
        <w:rPr>
          <w:b/>
          <w:bCs/>
          <w:color w:val="2E5B4F"/>
          <w:sz w:val="28"/>
          <w:szCs w:val="28"/>
        </w:rPr>
        <w:t xml:space="preserve">10. Recommendations &amp; Near-Term Improvements</w:t>
      </w:r>
    </w:p>
    <w:p>
      <w:pPr>
        <w:pStyle w:val="Heading2"/>
        <w:spacing w:after="120" w:before="280"/>
      </w:pPr>
      <w:r>
        <w:rPr>
          <w:b/>
          <w:bCs/>
          <w:color w:val="222222"/>
          <w:sz w:val="24"/>
          <w:szCs w:val="24"/>
        </w:rPr>
        <w:t xml:space="preserve">10.1 Estimate-vs-Actual Feedback Loop (v1.5)</w:t>
      </w:r>
    </w:p>
    <w:p>
      <w:pPr>
        <w:spacing w:after="160" w:line="300"/>
      </w:pPr>
      <w:r>
        <w:rPr>
          <w:sz w:val="22"/>
          <w:szCs w:val="22"/>
        </w:rPr>
        <w:t xml:space="preserve">The tool's long-term value comes from getting smarter with use, not just calculating a price once. After a project is delivered, allow the user to log actual cost and/or actual hours against it. Once enough history exists, the tool can surface signals such as "your complex-tier screens are consistently taking 1.5x what your config assumes — adjust the multiplier?" This is not required for v1, but the actual_cost / actual_hours fields are included in the v1 data model now so this can be added later without a schema rewrite.</w:t>
      </w:r>
    </w:p>
    <w:p>
      <w:pPr>
        <w:pStyle w:val="Heading2"/>
        <w:spacing w:after="120" w:before="280"/>
      </w:pPr>
      <w:r>
        <w:rPr>
          <w:b/>
          <w:bCs/>
          <w:color w:val="222222"/>
          <w:sz w:val="24"/>
          <w:szCs w:val="24"/>
        </w:rPr>
        <w:t xml:space="preserve">10.2 Rate-Limiting &amp; Data Sensitivity</w:t>
      </w:r>
    </w:p>
    <w:p>
      <w:pPr>
        <w:spacing w:after="160" w:line="300"/>
      </w:pPr>
      <w:r>
        <w:rPr>
          <w:sz w:val="22"/>
          <w:szCs w:val="22"/>
        </w:rPr>
        <w:t xml:space="preserve">Generated documents contain client names and pricing, which is sensitive even for an internal tool. Recommended baseline protections for v1: rate-limit document generation per account, apply a soft cap on number of projects per account to catch abuse rather than to monetize, and never expose PRD/proposal export links without authentication.</w:t>
      </w:r>
    </w:p>
    <w:p>
      <w:pPr>
        <w:pStyle w:val="Heading2"/>
        <w:spacing w:after="120" w:before="280"/>
      </w:pPr>
      <w:r>
        <w:rPr>
          <w:b/>
          <w:bCs/>
          <w:color w:val="222222"/>
          <w:sz w:val="24"/>
          <w:szCs w:val="24"/>
        </w:rPr>
        <w:t xml:space="preserve">10.3 Config Export / Import</w:t>
      </w:r>
    </w:p>
    <w:p>
      <w:pPr>
        <w:spacing w:after="160" w:line="300"/>
      </w:pPr>
      <w:r>
        <w:rPr>
          <w:sz w:val="22"/>
          <w:szCs w:val="22"/>
        </w:rPr>
        <w:t xml:space="preserve">Allow a user to export their pricing configuration as a JSON file and re-import it. This gives users a way to back up a config, move it between their own accounts, or share a starting point with a colleague — without building account merging or admin-managed transfer, which are explicitly out of scope (Section 2.2).</w:t>
      </w:r>
    </w:p>
    <w:p>
      <w:pPr>
        <w:pStyle w:val="Heading1"/>
        <w:spacing w:after="160" w:before="360"/>
      </w:pPr>
      <w:r>
        <w:rPr>
          <w:b/>
          <w:bCs/>
          <w:color w:val="2E5B4F"/>
          <w:sz w:val="28"/>
          <w:szCs w:val="28"/>
        </w:rPr>
        <w:t xml:space="preserve">11. Data Model (High Level)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shd w:fill="2E5B4F" w:color="auto" w:val="clear"/>
            <w:tcMar>
              <w:top w:type="dxa" w:w="100"/>
              <w:left w:type="dxa" w:w="120"/>
              <w:bottom w:type="dxa" w:w="100"/>
              <w:right w:type="dxa" w:w="120"/>
            </w:tcMar>
          </w:tcPr>
          <w:p>
            <w:r>
              <w:rPr>
                <w:b/>
                <w:bCs/>
                <w:color w:val="FFFFFF"/>
                <w:sz w:val="20"/>
                <w:szCs w:val="20"/>
              </w:rPr>
              <w:t xml:space="preserve">Entity</w:t>
            </w:r>
          </w:p>
        </w:tc>
        <w:tc>
          <w:tcPr>
            <w:tcW w:type="dxa" w:w="6860"/>
            <w:shd w:fill="2E5B4F" w:color="auto" w:val="clear"/>
            <w:tcMar>
              <w:top w:type="dxa" w:w="100"/>
              <w:left w:type="dxa" w:w="120"/>
              <w:bottom w:type="dxa" w:w="100"/>
              <w:right w:type="dxa" w:w="120"/>
            </w:tcMar>
          </w:tcPr>
          <w:p>
            <w:r>
              <w:rPr>
                <w:b/>
                <w:bCs/>
                <w:color w:val="FFFFFF"/>
                <w:sz w:val="20"/>
                <w:szCs w:val="20"/>
              </w:rPr>
              <w:t xml:space="preserve">Key Fields / Notes</w:t>
            </w:r>
          </w:p>
        </w:tc>
      </w:tr>
      <w:tr>
        <w:tc>
          <w:tcPr>
            <w:tcW w:type="dxa" w:w="2400"/>
            <w:tcMar>
              <w:top w:type="dxa" w:w="100"/>
              <w:left w:type="dxa" w:w="120"/>
              <w:bottom w:type="dxa" w:w="100"/>
              <w:right w:type="dxa" w:w="120"/>
            </w:tcMar>
          </w:tcPr>
          <w:p>
            <w:r>
              <w:rPr>
                <w:b w:val="false"/>
                <w:bCs w:val="false"/>
                <w:color w:val="000000"/>
                <w:sz w:val="20"/>
                <w:szCs w:val="20"/>
              </w:rPr>
              <w:t xml:space="preserve">User</w:t>
            </w:r>
          </w:p>
        </w:tc>
        <w:tc>
          <w:tcPr>
            <w:tcW w:type="dxa" w:w="6860"/>
            <w:tcMar>
              <w:top w:type="dxa" w:w="100"/>
              <w:left w:type="dxa" w:w="120"/>
              <w:bottom w:type="dxa" w:w="100"/>
              <w:right w:type="dxa" w:w="120"/>
            </w:tcMar>
          </w:tcPr>
          <w:p>
            <w:r>
              <w:rPr>
                <w:b w:val="false"/>
                <w:bCs w:val="false"/>
                <w:color w:val="000000"/>
                <w:sz w:val="20"/>
                <w:szCs w:val="20"/>
              </w:rPr>
              <w:t xml:space="preserve">id, email, password hash, created_at. No role field needed — every user is sole owner of their own data.</w:t>
            </w:r>
          </w:p>
        </w:tc>
      </w:tr>
      <w:tr>
        <w:tc>
          <w:tcPr>
            <w:tcW w:type="dxa" w:w="2400"/>
            <w:tcMar>
              <w:top w:type="dxa" w:w="100"/>
              <w:left w:type="dxa" w:w="120"/>
              <w:bottom w:type="dxa" w:w="100"/>
              <w:right w:type="dxa" w:w="120"/>
            </w:tcMar>
          </w:tcPr>
          <w:p>
            <w:r>
              <w:rPr>
                <w:b w:val="false"/>
                <w:bCs w:val="false"/>
                <w:color w:val="000000"/>
                <w:sz w:val="20"/>
                <w:szCs w:val="20"/>
              </w:rPr>
              <w:t xml:space="preserve">PricingConfig</w:t>
            </w:r>
          </w:p>
        </w:tc>
        <w:tc>
          <w:tcPr>
            <w:tcW w:type="dxa" w:w="6860"/>
            <w:tcMar>
              <w:top w:type="dxa" w:w="100"/>
              <w:left w:type="dxa" w:w="120"/>
              <w:bottom w:type="dxa" w:w="100"/>
              <w:right w:type="dxa" w:w="120"/>
            </w:tcMar>
          </w:tcPr>
          <w:p>
            <w:r>
              <w:rPr>
                <w:b w:val="false"/>
                <w:bCs w:val="false"/>
                <w:color w:val="000000"/>
                <w:sz w:val="20"/>
                <w:szCs w:val="20"/>
              </w:rPr>
              <w:t xml:space="preserve">belongs to user_id; base_rate, currency, complexity_tiers[], integrations[], platform_multipliers[], maintenance_model, package_multipliers[]</w:t>
            </w:r>
          </w:p>
        </w:tc>
      </w:tr>
      <w:tr>
        <w:tc>
          <w:tcPr>
            <w:tcW w:type="dxa" w:w="2400"/>
            <w:tcMar>
              <w:top w:type="dxa" w:w="100"/>
              <w:left w:type="dxa" w:w="120"/>
              <w:bottom w:type="dxa" w:w="100"/>
              <w:right w:type="dxa" w:w="120"/>
            </w:tcMar>
          </w:tcPr>
          <w:p>
            <w:r>
              <w:rPr>
                <w:b w:val="false"/>
                <w:bCs w:val="false"/>
                <w:color w:val="000000"/>
                <w:sz w:val="20"/>
                <w:szCs w:val="20"/>
              </w:rPr>
              <w:t xml:space="preserve">Project / Quote</w:t>
            </w:r>
          </w:p>
        </w:tc>
        <w:tc>
          <w:tcPr>
            <w:tcW w:type="dxa" w:w="6860"/>
            <w:tcMar>
              <w:top w:type="dxa" w:w="100"/>
              <w:left w:type="dxa" w:w="120"/>
              <w:bottom w:type="dxa" w:w="100"/>
              <w:right w:type="dxa" w:w="120"/>
            </w:tcMar>
          </w:tcPr>
          <w:p>
            <w:r>
              <w:rPr>
                <w:b w:val="false"/>
                <w:bCs w:val="false"/>
                <w:color w:val="000000"/>
                <w:sz w:val="20"/>
                <w:szCs w:val="20"/>
              </w:rPr>
              <w:t xml:space="preserve">belongs to user_id, references a PricingConfig; client_name, screens[] (with optional complexity note per screen), integrations[], platforms[], maintenance_selection, status (draft / locked), selected_package, calculated_price, version_number, parent_project_id (for versioning), actual_cost, actual_hours (nullable, filled in after delivery), created_at</w:t>
            </w:r>
          </w:p>
        </w:tc>
      </w:tr>
      <w:tr>
        <w:tc>
          <w:tcPr>
            <w:tcW w:type="dxa" w:w="2400"/>
            <w:tcMar>
              <w:top w:type="dxa" w:w="100"/>
              <w:left w:type="dxa" w:w="120"/>
              <w:bottom w:type="dxa" w:w="100"/>
              <w:right w:type="dxa" w:w="120"/>
            </w:tcMar>
          </w:tcPr>
          <w:p>
            <w:r>
              <w:rPr>
                <w:b w:val="false"/>
                <w:bCs w:val="false"/>
                <w:color w:val="000000"/>
                <w:sz w:val="20"/>
                <w:szCs w:val="20"/>
              </w:rPr>
              <w:t xml:space="preserve">PRD</w:t>
            </w:r>
          </w:p>
        </w:tc>
        <w:tc>
          <w:tcPr>
            <w:tcW w:type="dxa" w:w="6860"/>
            <w:tcMar>
              <w:top w:type="dxa" w:w="100"/>
              <w:left w:type="dxa" w:w="120"/>
              <w:bottom w:type="dxa" w:w="100"/>
              <w:right w:type="dxa" w:w="120"/>
            </w:tcMar>
          </w:tcPr>
          <w:p>
            <w:r>
              <w:rPr>
                <w:b w:val="false"/>
                <w:bCs w:val="false"/>
                <w:color w:val="000000"/>
                <w:sz w:val="20"/>
                <w:szCs w:val="20"/>
              </w:rPr>
              <w:t xml:space="preserve">generated from a locked Project; versioned so scope changes create a new version rather than overwriting history</w:t>
            </w:r>
          </w:p>
        </w:tc>
      </w:tr>
      <w:tr>
        <w:tc>
          <w:tcPr>
            <w:tcW w:type="dxa" w:w="2400"/>
            <w:tcMar>
              <w:top w:type="dxa" w:w="100"/>
              <w:left w:type="dxa" w:w="120"/>
              <w:bottom w:type="dxa" w:w="100"/>
              <w:right w:type="dxa" w:w="120"/>
            </w:tcMar>
          </w:tcPr>
          <w:p>
            <w:r>
              <w:rPr>
                <w:b w:val="false"/>
                <w:bCs w:val="false"/>
                <w:color w:val="000000"/>
                <w:sz w:val="20"/>
                <w:szCs w:val="20"/>
              </w:rPr>
              <w:t xml:space="preserve">ClientProposal</w:t>
            </w:r>
          </w:p>
        </w:tc>
        <w:tc>
          <w:tcPr>
            <w:tcW w:type="dxa" w:w="6860"/>
            <w:tcMar>
              <w:top w:type="dxa" w:w="100"/>
              <w:left w:type="dxa" w:w="120"/>
              <w:bottom w:type="dxa" w:w="100"/>
              <w:right w:type="dxa" w:w="120"/>
            </w:tcMar>
          </w:tcPr>
          <w:p>
            <w:r>
              <w:rPr>
                <w:b w:val="false"/>
                <w:bCs w:val="false"/>
                <w:color w:val="000000"/>
                <w:sz w:val="20"/>
                <w:szCs w:val="20"/>
              </w:rPr>
              <w:t xml:space="preserve">generated from a locked Project; same versioning behavior as PRD</w:t>
            </w:r>
          </w:p>
        </w:tc>
      </w:tr>
    </w:tbl>
    <w:p>
      <w:pPr>
        <w:spacing w:after="160" w:line="300"/>
      </w:pPr>
      <w:r>
        <w:rPr>
          <w:i/>
          <w:iCs/>
          <w:sz w:val="22"/>
          <w:szCs w:val="22"/>
        </w:rPr>
        <w:t xml:space="preserve">Every row across these entities is scoped to a user_id. There is no cross-user read or write access, and no shared configuration object — this replaces the need for a role/permission system entirely.</w:t>
      </w:r>
    </w:p>
    <w:p>
      <w:pPr>
        <w:pStyle w:val="Heading1"/>
        <w:spacing w:after="160" w:before="360"/>
      </w:pPr>
      <w:r>
        <w:rPr>
          <w:b/>
          <w:bCs/>
          <w:color w:val="2E5B4F"/>
          <w:sz w:val="28"/>
          <w:szCs w:val="28"/>
        </w:rPr>
        <w:t xml:space="preserve">12. MVP Scope &amp; Build Order</w:t>
      </w:r>
    </w:p>
    <w:p>
      <w:pPr>
        <w:pStyle w:val="ListParagraph"/>
        <w:numPr>
          <w:ilvl w:val="0"/>
          <w:numId w:val="2"/>
        </w:numPr>
        <w:spacing w:after="80"/>
      </w:pPr>
      <w:r>
        <w:rPr>
          <w:sz w:val="22"/>
          <w:szCs w:val="22"/>
        </w:rPr>
        <w:t xml:space="preserve">1. Auth (email/password is sufficient for v1).</w:t>
      </w:r>
    </w:p>
    <w:p>
      <w:pPr>
        <w:pStyle w:val="ListParagraph"/>
        <w:numPr>
          <w:ilvl w:val="0"/>
          <w:numId w:val="2"/>
        </w:numPr>
        <w:spacing w:after="80"/>
      </w:pPr>
      <w:r>
        <w:rPr>
          <w:sz w:val="22"/>
          <w:szCs w:val="22"/>
        </w:rPr>
        <w:t xml:space="preserve">2. First-time configuration wizard, with default template + from-scratch option.</w:t>
      </w:r>
    </w:p>
    <w:p>
      <w:pPr>
        <w:pStyle w:val="ListParagraph"/>
        <w:numPr>
          <w:ilvl w:val="0"/>
          <w:numId w:val="2"/>
        </w:numPr>
        <w:spacing w:after="80"/>
      </w:pPr>
      <w:r>
        <w:rPr>
          <w:sz w:val="22"/>
          <w:szCs w:val="22"/>
        </w:rPr>
        <w:t xml:space="preserve">3. Project intake form (screens, complexity, integrations, platform, maintenance).</w:t>
      </w:r>
    </w:p>
    <w:p>
      <w:pPr>
        <w:pStyle w:val="ListParagraph"/>
        <w:numPr>
          <w:ilvl w:val="0"/>
          <w:numId w:val="2"/>
        </w:numPr>
        <w:spacing w:after="80"/>
      </w:pPr>
      <w:r>
        <w:rPr>
          <w:sz w:val="22"/>
          <w:szCs w:val="22"/>
        </w:rPr>
        <w:t xml:space="preserve">4. Pricing engine producing a transparent breakdown and three package tiers.</w:t>
      </w:r>
    </w:p>
    <w:p>
      <w:pPr>
        <w:pStyle w:val="ListParagraph"/>
        <w:numPr>
          <w:ilvl w:val="0"/>
          <w:numId w:val="2"/>
        </w:numPr>
        <w:spacing w:after="80"/>
      </w:pPr>
      <w:r>
        <w:rPr>
          <w:sz w:val="22"/>
          <w:szCs w:val="22"/>
        </w:rPr>
        <w:t xml:space="preserve">5. Save project + selected package (scope lock).</w:t>
      </w:r>
    </w:p>
    <w:p>
      <w:pPr>
        <w:pStyle w:val="ListParagraph"/>
        <w:numPr>
          <w:ilvl w:val="0"/>
          <w:numId w:val="2"/>
        </w:numPr>
        <w:spacing w:after="80"/>
      </w:pPr>
      <w:r>
        <w:rPr>
          <w:sz w:val="22"/>
          <w:szCs w:val="22"/>
        </w:rPr>
        <w:t xml:space="preserve">6. Generate Client Proposal and Developer PRD from the saved, locked project.</w:t>
      </w:r>
    </w:p>
    <w:p>
      <w:pPr>
        <w:pStyle w:val="ListParagraph"/>
        <w:numPr>
          <w:ilvl w:val="0"/>
          <w:numId w:val="2"/>
        </w:numPr>
        <w:spacing w:after="80"/>
      </w:pPr>
      <w:r>
        <w:rPr>
          <w:sz w:val="22"/>
          <w:szCs w:val="22"/>
        </w:rPr>
        <w:t xml:space="preserve">7. Private history/list view of past quotes and their generated documents.</w:t>
      </w:r>
    </w:p>
    <w:p>
      <w:pPr>
        <w:pStyle w:val="Heading1"/>
        <w:spacing w:after="160" w:before="360"/>
      </w:pPr>
      <w:r>
        <w:rPr>
          <w:b/>
          <w:bCs/>
          <w:color w:val="2E5B4F"/>
          <w:sz w:val="28"/>
          <w:szCs w:val="28"/>
        </w:rPr>
        <w:t xml:space="preserve">13. Technical Considerations</w:t>
      </w:r>
    </w:p>
    <w:p>
      <w:pPr>
        <w:pStyle w:val="ListParagraph"/>
        <w:numPr>
          <w:ilvl w:val="0"/>
          <w:numId w:val="2"/>
        </w:numPr>
        <w:spacing w:after="80"/>
      </w:pPr>
      <w:r>
        <w:rPr>
          <w:sz w:val="22"/>
          <w:szCs w:val="22"/>
        </w:rPr>
        <w:t xml:space="preserve">Web application only for v1; no native mobile requirement.</w:t>
      </w:r>
    </w:p>
    <w:p>
      <w:pPr>
        <w:pStyle w:val="ListParagraph"/>
        <w:numPr>
          <w:ilvl w:val="0"/>
          <w:numId w:val="2"/>
        </w:numPr>
        <w:spacing w:after="80"/>
      </w:pPr>
      <w:r>
        <w:rPr>
          <w:sz w:val="22"/>
          <w:szCs w:val="22"/>
        </w:rPr>
        <w:t xml:space="preserve">Multi-tenant by user_id scoping rather than a role/permission system — simpler to build and reason about than a shared-team model.</w:t>
      </w:r>
    </w:p>
    <w:p>
      <w:pPr>
        <w:pStyle w:val="ListParagraph"/>
        <w:numPr>
          <w:ilvl w:val="0"/>
          <w:numId w:val="2"/>
        </w:numPr>
        <w:spacing w:after="80"/>
      </w:pPr>
      <w:r>
        <w:rPr>
          <w:sz w:val="22"/>
          <w:szCs w:val="22"/>
        </w:rPr>
        <w:t xml:space="preserve">Document generation (PRD, proposal) as a template renderer over structured project data, exportable as PDF/Word.</w:t>
      </w:r>
    </w:p>
    <w:p>
      <w:pPr>
        <w:pStyle w:val="ListParagraph"/>
        <w:numPr>
          <w:ilvl w:val="0"/>
          <w:numId w:val="2"/>
        </w:numPr>
        <w:spacing w:after="80"/>
      </w:pPr>
      <w:r>
        <w:rPr>
          <w:sz w:val="22"/>
          <w:szCs w:val="22"/>
        </w:rPr>
        <w:t xml:space="preserve">No billing integration needed since the tool is free.</w:t>
      </w:r>
    </w:p>
    <w:p>
      <w:pPr>
        <w:pStyle w:val="ListParagraph"/>
        <w:numPr>
          <w:ilvl w:val="0"/>
          <w:numId w:val="2"/>
        </w:numPr>
        <w:spacing w:after="80"/>
      </w:pPr>
      <w:r>
        <w:rPr>
          <w:sz w:val="22"/>
          <w:szCs w:val="22"/>
        </w:rPr>
        <w:t xml:space="preserve">Should be inexpensive to host and easy for users to log into from anywhere — a standard web stack with a database and basic auth is sufficient; no need for microservices at this stage.</w:t>
      </w:r>
    </w:p>
    <w:p>
      <w:pPr>
        <w:pStyle w:val="Heading1"/>
        <w:spacing w:after="160" w:before="360"/>
      </w:pPr>
      <w:r>
        <w:rPr>
          <w:b/>
          <w:bCs/>
          <w:color w:val="2E5B4F"/>
          <w:sz w:val="28"/>
          <w:szCs w:val="28"/>
        </w:rPr>
        <w:t xml:space="preserve">14. Open Questions</w:t>
      </w:r>
    </w:p>
    <w:p>
      <w:pPr>
        <w:pStyle w:val="ListParagraph"/>
        <w:numPr>
          <w:ilvl w:val="0"/>
          <w:numId w:val="2"/>
        </w:numPr>
        <w:spacing w:after="80"/>
      </w:pPr>
      <w:r>
        <w:rPr>
          <w:sz w:val="22"/>
          <w:szCs w:val="22"/>
        </w:rPr>
        <w:t xml:space="preserve">Should users be able to duplicate and maintain multiple named pricing configs (e.g. "standard" vs "discount client" vs "aggressive"), or is one active config per user sufficient for v1?</w:t>
      </w:r>
    </w:p>
    <w:p>
      <w:pPr>
        <w:pStyle w:val="ListParagraph"/>
        <w:numPr>
          <w:ilvl w:val="0"/>
          <w:numId w:val="2"/>
        </w:numPr>
        <w:spacing w:after="80"/>
      </w:pPr>
      <w:r>
        <w:rPr>
          <w:sz w:val="22"/>
          <w:szCs w:val="22"/>
        </w:rPr>
        <w:t xml:space="preserve">Should locked projects support an explicit "new version" action when a client requests scope changes, or should this be handled purely by creating a new project?</w:t>
      </w:r>
    </w:p>
    <w:p>
      <w:pPr>
        <w:pStyle w:val="ListParagraph"/>
        <w:numPr>
          <w:ilvl w:val="0"/>
          <w:numId w:val="2"/>
        </w:numPr>
        <w:spacing w:after="80"/>
      </w:pPr>
      <w:r>
        <w:rPr>
          <w:sz w:val="22"/>
          <w:szCs w:val="22"/>
        </w:rPr>
        <w:t xml:space="preserve">Should exported documents be Word, PDF, or both by default?</w:t>
      </w:r>
    </w:p>
    <w:p>
      <w:pPr>
        <w:pStyle w:val="ListParagraph"/>
        <w:numPr>
          <w:ilvl w:val="0"/>
          <w:numId w:val="2"/>
        </w:numPr>
        <w:spacing w:after="80"/>
      </w:pPr>
      <w:r>
        <w:rPr>
          <w:sz w:val="22"/>
          <w:szCs w:val="22"/>
        </w:rPr>
        <w:t xml:space="preserve">Is there a future need for a lightweight client-facing view (read-only proposal link) even though clients won't use the intake form themselves?</w:t>
      </w:r>
    </w:p>
    <w:p>
      <w:pPr>
        <w:pStyle w:val="Heading1"/>
        <w:spacing w:after="160" w:before="360"/>
      </w:pPr>
      <w:r>
        <w:rPr>
          <w:b/>
          <w:bCs/>
          <w:color w:val="2E5B4F"/>
          <w:sz w:val="28"/>
          <w:szCs w:val="28"/>
        </w:rPr>
        <w:t xml:space="preserve">15. Success Criteria (v1)</w:t>
      </w:r>
    </w:p>
    <w:p>
      <w:pPr>
        <w:pStyle w:val="ListParagraph"/>
        <w:numPr>
          <w:ilvl w:val="0"/>
          <w:numId w:val="2"/>
        </w:numPr>
        <w:spacing w:after="80"/>
      </w:pPr>
      <w:r>
        <w:rPr>
          <w:sz w:val="22"/>
          <w:szCs w:val="22"/>
        </w:rPr>
        <w:t xml:space="preserve">A new user can go from sign-up to a completed quote with generated proposal + PRD in under 15 minutes using the default template.</w:t>
      </w:r>
    </w:p>
    <w:p>
      <w:pPr>
        <w:pStyle w:val="ListParagraph"/>
        <w:numPr>
          <w:ilvl w:val="0"/>
          <w:numId w:val="2"/>
        </w:numPr>
        <w:spacing w:after="80"/>
      </w:pPr>
      <w:r>
        <w:rPr>
          <w:sz w:val="22"/>
          <w:szCs w:val="22"/>
        </w:rPr>
        <w:t xml:space="preserve">Every user's configuration and history remain fully private and independent, with zero cross-user dependency.</w:t>
      </w:r>
    </w:p>
    <w:p>
      <w:pPr>
        <w:pStyle w:val="ListParagraph"/>
        <w:numPr>
          <w:ilvl w:val="0"/>
          <w:numId w:val="2"/>
        </w:numPr>
        <w:spacing w:after="80"/>
      </w:pPr>
      <w:r>
        <w:rPr>
          <w:sz w:val="22"/>
          <w:szCs w:val="22"/>
        </w:rPr>
        <w:t xml:space="preserve">Generated PRDs consistently include an explicit out-of-scope section for every project.</w:t>
      </w:r>
    </w:p>
    <w:p>
      <w:pPr>
        <w:pStyle w:val="ListParagraph"/>
        <w:numPr>
          <w:ilvl w:val="0"/>
          <w:numId w:val="2"/>
        </w:numPr>
        <w:spacing w:after="80"/>
      </w:pPr>
      <w:r>
        <w:rPr>
          <w:sz w:val="22"/>
          <w:szCs w:val="22"/>
        </w:rPr>
        <w:t xml:space="preserve">The same underlying project data drives both the price calculation and both generated documents, with no duplicate manual entry.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PRD — Independent Pricing &amp; PRD Generator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2026-07-10T18:22:40.041Z</dcterms:created>
  <dcterms:modified xsi:type="dcterms:W3CDTF">2026-07-10T18:22:40.052Z</dcterms:modified>
</cp:coreProperties>
</file>

<file path=docProps/custom.xml><?xml version="1.0" encoding="utf-8"?>
<Properties xmlns="http://schemas.openxmlformats.org/officeDocument/2006/custom-properties" xmlns:vt="http://schemas.openxmlformats.org/officeDocument/2006/docPropsVTypes"/>
</file>