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i/>
          <w:iCs/>
          <w:color w:val="AAAAAA"/>
          <w:szCs w:val="20"/>
        </w:rPr>
        <w:id w:val="-1099180152"/>
        <w:docPartObj>
          <w:docPartGallery w:val="Cover Pages"/>
          <w:docPartUnique/>
        </w:docPartObj>
      </w:sdtPr>
      <w:sdtEndPr>
        <w:rPr>
          <w:b/>
          <w:bCs/>
          <w:i w:val="0"/>
          <w:iCs w:val="0"/>
          <w:color w:val="auto"/>
          <w:szCs w:val="22"/>
        </w:rPr>
      </w:sdtEndPr>
      <w:sdtContent>
        <w:tbl>
          <w:tblPr>
            <w:tblW w:w="5000" w:type="pct"/>
            <w:tblBorders>
              <w:top w:val="dashed" w:sz="4" w:space="0" w:color="AAAAAA"/>
              <w:left w:val="dashed" w:sz="4" w:space="0" w:color="AAAAAA"/>
              <w:bottom w:val="dashed" w:sz="4" w:space="0" w:color="AAAAAA"/>
              <w:right w:val="dashed" w:sz="4" w:space="0" w:color="AAAAA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280"/>
          </w:tblGrid>
          <w:tr w:rsidR="00B34492" w14:paraId="4484AC7D" w14:textId="77777777">
            <w:tblPrEx>
              <w:tblCellMar>
                <w:top w:w="0" w:type="dxa"/>
                <w:bottom w:w="0" w:type="dxa"/>
              </w:tblCellMar>
            </w:tblPrEx>
            <w:tc>
              <w:tcPr>
                <w:tcW w:w="5000" w:type="pct"/>
                <w:tcMar>
                  <w:top w:w="200" w:type="dxa"/>
                  <w:left w:w="100" w:type="dxa"/>
                  <w:bottom w:w="200" w:type="dxa"/>
                  <w:right w:w="100" w:type="dxa"/>
                </w:tcMar>
                <w:vAlign w:val="center"/>
              </w:tcPr>
              <w:p w14:paraId="190A8B0A" w14:textId="7787C016" w:rsidR="00B34492" w:rsidRDefault="00B34492">
                <w:pPr>
                  <w:jc w:val="center"/>
                </w:pPr>
                <w:proofErr w:type="gramStart"/>
                <w:r>
                  <w:rPr>
                    <w:i/>
                    <w:iCs/>
                    <w:color w:val="AAAAAA"/>
                    <w:szCs w:val="20"/>
                  </w:rPr>
                  <w:t>[ COMPANY</w:t>
                </w:r>
                <w:proofErr w:type="gramEnd"/>
                <w:r>
                  <w:rPr>
                    <w:i/>
                    <w:iCs/>
                    <w:color w:val="AAAAAA"/>
                    <w:szCs w:val="20"/>
                  </w:rPr>
                  <w:t xml:space="preserve"> </w:t>
                </w:r>
                <w:proofErr w:type="gramStart"/>
                <w:r>
                  <w:rPr>
                    <w:i/>
                    <w:iCs/>
                    <w:color w:val="AAAAAA"/>
                    <w:szCs w:val="20"/>
                  </w:rPr>
                  <w:t>LOGO ]</w:t>
                </w:r>
                <w:proofErr w:type="gramEnd"/>
              </w:p>
            </w:tc>
          </w:tr>
        </w:tbl>
        <w:p w14:paraId="30DA178B" w14:textId="77777777" w:rsidR="00B34492" w:rsidRDefault="00B34492">
          <w:pPr>
            <w:spacing w:after="200"/>
          </w:pPr>
        </w:p>
        <w:p w14:paraId="39C60B0F" w14:textId="304AD685" w:rsidR="00B34492" w:rsidRDefault="00B34492">
          <w:pPr>
            <w:spacing w:after="600"/>
            <w:jc w:val="center"/>
          </w:pPr>
        </w:p>
        <w:p w14:paraId="7DA316F0" w14:textId="77777777" w:rsidR="00B34492" w:rsidRDefault="00B34492">
          <w:pPr>
            <w:pBdr>
              <w:bottom w:val="single" w:sz="18" w:space="8" w:color="1F3864"/>
            </w:pBdr>
            <w:spacing w:after="500"/>
          </w:pPr>
        </w:p>
        <w:p w14:paraId="74B3E2E1" w14:textId="77777777" w:rsidR="00B34492" w:rsidRDefault="00B34492">
          <w:pPr>
            <w:spacing w:after="200"/>
            <w:jc w:val="center"/>
          </w:pPr>
          <w:r>
            <w:rPr>
              <w:b/>
              <w:bCs/>
              <w:color w:val="1F3864"/>
              <w:sz w:val="44"/>
              <w:szCs w:val="44"/>
            </w:rPr>
            <w:t>Reproducible GRCh38 Rare &amp; Genetic Disease</w:t>
          </w:r>
        </w:p>
        <w:p w14:paraId="3413CEF2" w14:textId="77777777" w:rsidR="00B34492" w:rsidRDefault="00B34492">
          <w:pPr>
            <w:spacing w:after="500"/>
            <w:jc w:val="center"/>
          </w:pPr>
          <w:r>
            <w:rPr>
              <w:b/>
              <w:bCs/>
              <w:color w:val="1F3864"/>
              <w:sz w:val="44"/>
              <w:szCs w:val="44"/>
            </w:rPr>
            <w:t>SNV and CNV Annotation Pipeline</w:t>
          </w:r>
        </w:p>
        <w:p w14:paraId="76F6E178" w14:textId="77777777" w:rsidR="00B34492" w:rsidRDefault="00B34492">
          <w:pPr>
            <w:pBdr>
              <w:bottom w:val="single" w:sz="18" w:space="8" w:color="1F3864"/>
            </w:pBdr>
            <w:spacing w:after="700"/>
          </w:pPr>
        </w:p>
        <w:p w14:paraId="7834A456" w14:textId="77777777" w:rsidR="00B34492" w:rsidRPr="009B41CF" w:rsidRDefault="00B34492">
          <w:pPr>
            <w:spacing w:after="150"/>
            <w:jc w:val="center"/>
            <w:rPr>
              <w:sz w:val="22"/>
            </w:rPr>
          </w:pPr>
          <w:r w:rsidRPr="009B41CF">
            <w:rPr>
              <w:b/>
              <w:bCs/>
              <w:color w:val="2E75B6"/>
              <w:sz w:val="28"/>
              <w:szCs w:val="28"/>
            </w:rPr>
            <w:t>Diseases Covered</w:t>
          </w:r>
        </w:p>
        <w:p w14:paraId="16917F3D" w14:textId="77777777" w:rsidR="00B34492" w:rsidRPr="009B41CF" w:rsidRDefault="00B34492">
          <w:pPr>
            <w:spacing w:after="60"/>
            <w:jc w:val="center"/>
            <w:rPr>
              <w:sz w:val="22"/>
            </w:rPr>
          </w:pPr>
          <w:r w:rsidRPr="009B41CF">
            <w:rPr>
              <w:color w:val="262626"/>
              <w:sz w:val="24"/>
              <w:szCs w:val="24"/>
            </w:rPr>
            <w:t>Fabry disease</w:t>
          </w:r>
        </w:p>
        <w:p w14:paraId="66CB14B5" w14:textId="77777777" w:rsidR="00B34492" w:rsidRPr="009B41CF" w:rsidRDefault="00B34492">
          <w:pPr>
            <w:spacing w:after="60"/>
            <w:jc w:val="center"/>
            <w:rPr>
              <w:sz w:val="22"/>
            </w:rPr>
          </w:pPr>
          <w:r w:rsidRPr="009B41CF">
            <w:rPr>
              <w:color w:val="262626"/>
              <w:sz w:val="24"/>
              <w:szCs w:val="24"/>
            </w:rPr>
            <w:t>Monilethrix</w:t>
          </w:r>
        </w:p>
        <w:p w14:paraId="17E663E2" w14:textId="77777777" w:rsidR="00B34492" w:rsidRPr="009B41CF" w:rsidRDefault="00B34492">
          <w:pPr>
            <w:spacing w:after="60"/>
            <w:jc w:val="center"/>
            <w:rPr>
              <w:sz w:val="22"/>
            </w:rPr>
          </w:pPr>
          <w:r w:rsidRPr="009B41CF">
            <w:rPr>
              <w:color w:val="262626"/>
              <w:sz w:val="24"/>
              <w:szCs w:val="24"/>
            </w:rPr>
            <w:t>Androgen Insensitivity Syndrome</w:t>
          </w:r>
        </w:p>
        <w:p w14:paraId="7C929FCD" w14:textId="77777777" w:rsidR="00B34492" w:rsidRDefault="00B34492">
          <w:pPr>
            <w:spacing w:after="60"/>
            <w:jc w:val="center"/>
          </w:pPr>
          <w:r w:rsidRPr="009B41CF">
            <w:rPr>
              <w:color w:val="262626"/>
              <w:sz w:val="24"/>
              <w:szCs w:val="24"/>
            </w:rPr>
            <w:t>Neurofibromatosis Type 1</w:t>
          </w:r>
        </w:p>
        <w:p w14:paraId="20097F59" w14:textId="77777777" w:rsidR="00B34492" w:rsidRDefault="00B34492">
          <w:pPr>
            <w:spacing w:after="600"/>
          </w:pPr>
        </w:p>
        <w:tbl>
          <w:tblPr>
            <w:tblW w:w="3500" w:type="pct"/>
            <w:jc w:val="center"/>
            <w:tblBorders>
              <w:top w:val="none" w:sz="0" w:space="0" w:color="FFFFFF"/>
              <w:left w:val="none" w:sz="0" w:space="0" w:color="FFFFFF"/>
              <w:bottom w:val="none" w:sz="0" w:space="0" w:color="FFFFFF"/>
              <w:right w:val="none" w:sz="0" w:space="0" w:color="FFFFFF"/>
              <w:insideH w:val="single" w:sz="4" w:space="0" w:color="D9D9D9"/>
              <w:insideV w:val="none" w:sz="0" w:space="0" w:color="FFFFFF"/>
            </w:tblBorders>
            <w:tblCellMar>
              <w:left w:w="10" w:type="dxa"/>
              <w:right w:w="10" w:type="dxa"/>
            </w:tblCellMar>
            <w:tblLook w:val="0000" w:firstRow="0" w:lastRow="0" w:firstColumn="0" w:lastColumn="0" w:noHBand="0" w:noVBand="0"/>
          </w:tblPr>
          <w:tblGrid>
            <w:gridCol w:w="2779"/>
            <w:gridCol w:w="4417"/>
          </w:tblGrid>
          <w:tr w:rsidR="00B34492" w:rsidRPr="00B34492" w14:paraId="0C2E27EB" w14:textId="77777777">
            <w:tblPrEx>
              <w:tblCellMar>
                <w:top w:w="0" w:type="dxa"/>
                <w:bottom w:w="0" w:type="dxa"/>
              </w:tblCellMar>
            </w:tblPrEx>
            <w:trPr>
              <w:jc w:val="center"/>
            </w:trPr>
            <w:tc>
              <w:tcPr>
                <w:tcW w:w="3000" w:type="dxa"/>
                <w:tcMar>
                  <w:top w:w="100" w:type="dxa"/>
                  <w:left w:w="100" w:type="dxa"/>
                  <w:bottom w:w="100" w:type="dxa"/>
                  <w:right w:w="100" w:type="dxa"/>
                </w:tcMar>
              </w:tcPr>
              <w:p w14:paraId="2767472F" w14:textId="77777777" w:rsidR="00B34492" w:rsidRPr="00B34492" w:rsidRDefault="00B34492">
                <w:pPr>
                  <w:rPr>
                    <w:sz w:val="24"/>
                    <w:szCs w:val="24"/>
                  </w:rPr>
                </w:pPr>
                <w:r w:rsidRPr="00B34492">
                  <w:rPr>
                    <w:b/>
                    <w:bCs/>
                    <w:color w:val="1F3864"/>
                    <w:sz w:val="24"/>
                    <w:szCs w:val="24"/>
                  </w:rPr>
                  <w:t>Name</w:t>
                </w:r>
              </w:p>
            </w:tc>
            <w:tc>
              <w:tcPr>
                <w:tcW w:w="5000" w:type="dxa"/>
                <w:tcMar>
                  <w:top w:w="100" w:type="dxa"/>
                  <w:left w:w="100" w:type="dxa"/>
                  <w:bottom w:w="100" w:type="dxa"/>
                  <w:right w:w="100" w:type="dxa"/>
                </w:tcMar>
              </w:tcPr>
              <w:p w14:paraId="4022A559" w14:textId="77777777" w:rsidR="00B34492" w:rsidRPr="00B34492" w:rsidRDefault="00B34492">
                <w:pPr>
                  <w:rPr>
                    <w:sz w:val="24"/>
                    <w:szCs w:val="24"/>
                  </w:rPr>
                </w:pPr>
                <w:r w:rsidRPr="00B34492">
                  <w:rPr>
                    <w:sz w:val="24"/>
                    <w:szCs w:val="24"/>
                  </w:rPr>
                  <w:t>Abd ur Rehman</w:t>
                </w:r>
              </w:p>
            </w:tc>
          </w:tr>
          <w:tr w:rsidR="00B34492" w:rsidRPr="00B34492" w14:paraId="2D1673B6" w14:textId="77777777">
            <w:tblPrEx>
              <w:tblCellMar>
                <w:top w:w="0" w:type="dxa"/>
                <w:bottom w:w="0" w:type="dxa"/>
              </w:tblCellMar>
            </w:tblPrEx>
            <w:trPr>
              <w:jc w:val="center"/>
            </w:trPr>
            <w:tc>
              <w:tcPr>
                <w:tcW w:w="3000" w:type="dxa"/>
                <w:tcMar>
                  <w:top w:w="100" w:type="dxa"/>
                  <w:left w:w="100" w:type="dxa"/>
                  <w:bottom w:w="100" w:type="dxa"/>
                  <w:right w:w="100" w:type="dxa"/>
                </w:tcMar>
              </w:tcPr>
              <w:p w14:paraId="61BE1B04" w14:textId="77777777" w:rsidR="00B34492" w:rsidRPr="00B34492" w:rsidRDefault="00B34492">
                <w:pPr>
                  <w:rPr>
                    <w:sz w:val="24"/>
                    <w:szCs w:val="24"/>
                  </w:rPr>
                </w:pPr>
                <w:r w:rsidRPr="00B34492">
                  <w:rPr>
                    <w:b/>
                    <w:bCs/>
                    <w:color w:val="1F3864"/>
                    <w:sz w:val="24"/>
                    <w:szCs w:val="24"/>
                  </w:rPr>
                  <w:t>Course / Lab</w:t>
                </w:r>
              </w:p>
            </w:tc>
            <w:tc>
              <w:tcPr>
                <w:tcW w:w="5000" w:type="dxa"/>
                <w:tcMar>
                  <w:top w:w="100" w:type="dxa"/>
                  <w:left w:w="100" w:type="dxa"/>
                  <w:bottom w:w="100" w:type="dxa"/>
                  <w:right w:w="100" w:type="dxa"/>
                </w:tcMar>
              </w:tcPr>
              <w:p w14:paraId="551F4E94" w14:textId="77777777" w:rsidR="00B34492" w:rsidRPr="00B34492" w:rsidRDefault="00B34492">
                <w:pPr>
                  <w:rPr>
                    <w:sz w:val="24"/>
                    <w:szCs w:val="24"/>
                  </w:rPr>
                </w:pPr>
                <w:r w:rsidRPr="00B34492">
                  <w:rPr>
                    <w:color w:val="262626"/>
                    <w:sz w:val="24"/>
                    <w:szCs w:val="24"/>
                  </w:rPr>
                  <w:t>BIOMISA</w:t>
                </w:r>
              </w:p>
            </w:tc>
          </w:tr>
          <w:tr w:rsidR="00B34492" w:rsidRPr="00B34492" w14:paraId="686F9371" w14:textId="77777777">
            <w:tblPrEx>
              <w:tblCellMar>
                <w:top w:w="0" w:type="dxa"/>
                <w:bottom w:w="0" w:type="dxa"/>
              </w:tblCellMar>
            </w:tblPrEx>
            <w:trPr>
              <w:jc w:val="center"/>
            </w:trPr>
            <w:tc>
              <w:tcPr>
                <w:tcW w:w="3000" w:type="dxa"/>
                <w:tcMar>
                  <w:top w:w="100" w:type="dxa"/>
                  <w:left w:w="100" w:type="dxa"/>
                  <w:bottom w:w="100" w:type="dxa"/>
                  <w:right w:w="100" w:type="dxa"/>
                </w:tcMar>
              </w:tcPr>
              <w:p w14:paraId="5161CED4" w14:textId="77777777" w:rsidR="00B34492" w:rsidRPr="00B34492" w:rsidRDefault="00B34492">
                <w:pPr>
                  <w:rPr>
                    <w:sz w:val="24"/>
                    <w:szCs w:val="24"/>
                  </w:rPr>
                </w:pPr>
                <w:r w:rsidRPr="00B34492">
                  <w:rPr>
                    <w:b/>
                    <w:bCs/>
                    <w:color w:val="1F3864"/>
                    <w:sz w:val="24"/>
                    <w:szCs w:val="24"/>
                  </w:rPr>
                  <w:t>Department</w:t>
                </w:r>
              </w:p>
            </w:tc>
            <w:tc>
              <w:tcPr>
                <w:tcW w:w="5000" w:type="dxa"/>
                <w:tcMar>
                  <w:top w:w="100" w:type="dxa"/>
                  <w:left w:w="100" w:type="dxa"/>
                  <w:bottom w:w="100" w:type="dxa"/>
                  <w:right w:w="100" w:type="dxa"/>
                </w:tcMar>
              </w:tcPr>
              <w:p w14:paraId="30488052" w14:textId="77777777" w:rsidR="00B34492" w:rsidRPr="00B34492" w:rsidRDefault="00B34492">
                <w:pPr>
                  <w:rPr>
                    <w:sz w:val="24"/>
                    <w:szCs w:val="24"/>
                  </w:rPr>
                </w:pPr>
                <w:r w:rsidRPr="00B34492">
                  <w:rPr>
                    <w:sz w:val="24"/>
                    <w:szCs w:val="24"/>
                  </w:rPr>
                  <w:t>SINES</w:t>
                </w:r>
              </w:p>
            </w:tc>
          </w:tr>
          <w:tr w:rsidR="00B34492" w:rsidRPr="00B34492" w14:paraId="398089F3" w14:textId="77777777">
            <w:tblPrEx>
              <w:tblCellMar>
                <w:top w:w="0" w:type="dxa"/>
                <w:bottom w:w="0" w:type="dxa"/>
              </w:tblCellMar>
            </w:tblPrEx>
            <w:trPr>
              <w:jc w:val="center"/>
            </w:trPr>
            <w:tc>
              <w:tcPr>
                <w:tcW w:w="3000" w:type="dxa"/>
                <w:tcMar>
                  <w:top w:w="100" w:type="dxa"/>
                  <w:left w:w="100" w:type="dxa"/>
                  <w:bottom w:w="100" w:type="dxa"/>
                  <w:right w:w="100" w:type="dxa"/>
                </w:tcMar>
              </w:tcPr>
              <w:p w14:paraId="1B784519" w14:textId="77777777" w:rsidR="00B34492" w:rsidRPr="00B34492" w:rsidRDefault="00B34492">
                <w:pPr>
                  <w:rPr>
                    <w:sz w:val="24"/>
                    <w:szCs w:val="24"/>
                  </w:rPr>
                </w:pPr>
                <w:r w:rsidRPr="00B34492">
                  <w:rPr>
                    <w:b/>
                    <w:bCs/>
                    <w:color w:val="1F3864"/>
                    <w:sz w:val="24"/>
                    <w:szCs w:val="24"/>
                  </w:rPr>
                  <w:t>Instructor</w:t>
                </w:r>
              </w:p>
            </w:tc>
            <w:tc>
              <w:tcPr>
                <w:tcW w:w="5000" w:type="dxa"/>
                <w:tcMar>
                  <w:top w:w="100" w:type="dxa"/>
                  <w:left w:w="100" w:type="dxa"/>
                  <w:bottom w:w="100" w:type="dxa"/>
                  <w:right w:w="100" w:type="dxa"/>
                </w:tcMar>
              </w:tcPr>
              <w:p w14:paraId="6FFF8AE6" w14:textId="77777777" w:rsidR="00B34492" w:rsidRPr="00B34492" w:rsidRDefault="00B34492">
                <w:pPr>
                  <w:rPr>
                    <w:sz w:val="24"/>
                    <w:szCs w:val="24"/>
                  </w:rPr>
                </w:pPr>
                <w:r w:rsidRPr="00B34492">
                  <w:rPr>
                    <w:color w:val="262626"/>
                    <w:sz w:val="24"/>
                    <w:szCs w:val="24"/>
                  </w:rPr>
                  <w:t>Dr. Tanveer Ahmad</w:t>
                </w:r>
              </w:p>
            </w:tc>
          </w:tr>
          <w:tr w:rsidR="00B34492" w:rsidRPr="00B34492" w14:paraId="08CFB19C" w14:textId="77777777">
            <w:tblPrEx>
              <w:tblCellMar>
                <w:top w:w="0" w:type="dxa"/>
                <w:bottom w:w="0" w:type="dxa"/>
              </w:tblCellMar>
            </w:tblPrEx>
            <w:trPr>
              <w:jc w:val="center"/>
            </w:trPr>
            <w:tc>
              <w:tcPr>
                <w:tcW w:w="3000" w:type="dxa"/>
                <w:tcMar>
                  <w:top w:w="100" w:type="dxa"/>
                  <w:left w:w="100" w:type="dxa"/>
                  <w:bottom w:w="100" w:type="dxa"/>
                  <w:right w:w="100" w:type="dxa"/>
                </w:tcMar>
              </w:tcPr>
              <w:p w14:paraId="1338F470" w14:textId="77777777" w:rsidR="00B34492" w:rsidRPr="00B34492" w:rsidRDefault="00B34492">
                <w:pPr>
                  <w:rPr>
                    <w:sz w:val="24"/>
                    <w:szCs w:val="24"/>
                  </w:rPr>
                </w:pPr>
                <w:r w:rsidRPr="00B34492">
                  <w:rPr>
                    <w:b/>
                    <w:bCs/>
                    <w:color w:val="1F3864"/>
                    <w:sz w:val="24"/>
                    <w:szCs w:val="24"/>
                  </w:rPr>
                  <w:t>Submission Date</w:t>
                </w:r>
              </w:p>
            </w:tc>
            <w:tc>
              <w:tcPr>
                <w:tcW w:w="5000" w:type="dxa"/>
                <w:tcMar>
                  <w:top w:w="100" w:type="dxa"/>
                  <w:left w:w="100" w:type="dxa"/>
                  <w:bottom w:w="100" w:type="dxa"/>
                  <w:right w:w="100" w:type="dxa"/>
                </w:tcMar>
              </w:tcPr>
              <w:p w14:paraId="0B063945" w14:textId="77777777" w:rsidR="00B34492" w:rsidRPr="00B34492" w:rsidRDefault="00B34492">
                <w:pPr>
                  <w:rPr>
                    <w:sz w:val="24"/>
                    <w:szCs w:val="24"/>
                  </w:rPr>
                </w:pPr>
                <w:r w:rsidRPr="00B34492">
                  <w:rPr>
                    <w:color w:val="262626"/>
                    <w:sz w:val="24"/>
                    <w:szCs w:val="24"/>
                  </w:rPr>
                  <w:t xml:space="preserve">16-07-2026 </w:t>
                </w:r>
              </w:p>
            </w:tc>
          </w:tr>
        </w:tbl>
        <w:p w14:paraId="22DD613A" w14:textId="77777777" w:rsidR="00B34492" w:rsidRDefault="00B34492">
          <w:pPr>
            <w:spacing w:after="700"/>
          </w:pPr>
        </w:p>
        <w:tbl>
          <w:tblPr>
            <w:tblW w:w="5000" w:type="pct"/>
            <w:tblBorders>
              <w:top w:val="single" w:sz="6" w:space="0" w:color="C00000"/>
              <w:left w:val="single" w:sz="6" w:space="0" w:color="C00000"/>
              <w:bottom w:val="single" w:sz="6" w:space="0" w:color="C00000"/>
              <w:right w:val="single" w:sz="6" w:space="0" w:color="C0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680"/>
          </w:tblGrid>
          <w:tr w:rsidR="00B34492" w14:paraId="4DFF4B9A" w14:textId="77777777">
            <w:tblPrEx>
              <w:tblCellMar>
                <w:top w:w="0" w:type="dxa"/>
                <w:bottom w:w="0" w:type="dxa"/>
              </w:tblCellMar>
            </w:tblPrEx>
            <w:tc>
              <w:tcPr>
                <w:tcW w:w="5000" w:type="pct"/>
                <w:shd w:val="clear" w:color="auto" w:fill="FDECEC"/>
                <w:tcMar>
                  <w:top w:w="200" w:type="dxa"/>
                  <w:left w:w="300" w:type="dxa"/>
                  <w:bottom w:w="200" w:type="dxa"/>
                  <w:right w:w="300" w:type="dxa"/>
                </w:tcMar>
              </w:tcPr>
              <w:p w14:paraId="21E7A059" w14:textId="77777777" w:rsidR="00B34492" w:rsidRDefault="00B34492">
                <w:pPr>
                  <w:jc w:val="center"/>
                </w:pPr>
                <w:r>
                  <w:rPr>
                    <w:b/>
                    <w:bCs/>
                    <w:i/>
                    <w:iCs/>
                    <w:color w:val="C00000"/>
                    <w:sz w:val="22"/>
                  </w:rPr>
                  <w:t>All variant files are synthetic educational data and do not represent real patients.</w:t>
                </w:r>
              </w:p>
            </w:tc>
          </w:tr>
        </w:tbl>
        <w:p w14:paraId="37F1D436" w14:textId="77777777" w:rsidR="00B34492" w:rsidRDefault="00B34492" w:rsidP="00B34492">
          <w:pPr>
            <w:spacing w:after="200" w:line="276" w:lineRule="auto"/>
            <w:rPr>
              <w:b/>
              <w:bCs/>
            </w:rPr>
          </w:pPr>
        </w:p>
      </w:sdtContent>
    </w:sdt>
    <w:p w14:paraId="1680820E" w14:textId="18881748" w:rsidR="0013665B" w:rsidRPr="00B34492" w:rsidRDefault="00000000" w:rsidP="00B34492">
      <w:pPr>
        <w:spacing w:after="200" w:line="276" w:lineRule="auto"/>
        <w:rPr>
          <w:b/>
          <w:bCs/>
        </w:rPr>
      </w:pPr>
      <w:r>
        <w:t>1. Introduction</w:t>
      </w:r>
    </w:p>
    <w:p w14:paraId="5B0A0630" w14:textId="292EBB80" w:rsidR="0013665B" w:rsidRDefault="005F1628">
      <w:r>
        <w:t>This assignment records the complete development, validation, automation, and interpretation workflow used for a reproducible GRCh38 rare-disease &amp; genetic-disease annotation project.</w:t>
      </w:r>
    </w:p>
    <w:p w14:paraId="2A9C34A2" w14:textId="77777777" w:rsidR="0013665B" w:rsidRDefault="00000000">
      <w:r>
        <w:t>The project was designed to process small sequence variants and copy-number variants as two separate branches. The small-variant branch accepts an unannotated VCF and produces a final VCF containing VEP, SnpEff, ClinVar, and SpliceAI annotations. The CNV branch accepts a four-column BED file and produces AnnotSV, ClassifyCNV, ISV-CNV, and combined-summary outputs.</w:t>
      </w:r>
    </w:p>
    <w:p w14:paraId="459BF27C" w14:textId="77777777" w:rsidR="0013665B" w:rsidRDefault="00000000">
      <w:r>
        <w:t>Every tool was first tested manually in an Apptainer environment. The confirmed commands were then assembled into a disease-specific Bash pipeline and a batch runner for four diseases. The datasets are synthetic educational files and must not be presented as real patient results or used for diagnosis.</w:t>
      </w:r>
    </w:p>
    <w:p w14:paraId="0AB24B67" w14:textId="77777777" w:rsidR="0013665B" w:rsidRDefault="00000000">
      <w:r>
        <w:t>The documentation focuses on reproducibility: tool purpose, input, command, output, validation, errors, solutions, final file organization, meaningful screenshots, and GitHub links.</w:t>
      </w:r>
    </w:p>
    <w:tbl>
      <w:tblPr>
        <w:tblW w:w="0" w:type="auto"/>
        <w:jc w:val="center"/>
        <w:tblLook w:val="04A0" w:firstRow="1" w:lastRow="0" w:firstColumn="1" w:lastColumn="0" w:noHBand="0" w:noVBand="1"/>
      </w:tblPr>
      <w:tblGrid>
        <w:gridCol w:w="10080"/>
      </w:tblGrid>
      <w:tr w:rsidR="0013665B" w14:paraId="1E5679CA" w14:textId="77777777">
        <w:trPr>
          <w:jc w:val="center"/>
        </w:trPr>
        <w:tc>
          <w:tcPr>
            <w:tcW w:w="10080" w:type="dxa"/>
            <w:tcBorders>
              <w:top w:val="single" w:sz="8" w:space="0" w:color="5B9BD5"/>
              <w:left w:val="single" w:sz="8" w:space="0" w:color="5B9BD5"/>
              <w:bottom w:val="single" w:sz="8" w:space="0" w:color="5B9BD5"/>
              <w:right w:val="single" w:sz="8" w:space="0" w:color="5B9BD5"/>
            </w:tcBorders>
            <w:shd w:val="clear" w:color="auto" w:fill="EAF2F8"/>
          </w:tcPr>
          <w:p w14:paraId="7503656A" w14:textId="77777777" w:rsidR="0013665B" w:rsidRDefault="00000000">
            <w:r>
              <w:rPr>
                <w:b/>
                <w:sz w:val="19"/>
              </w:rPr>
              <w:t xml:space="preserve">Important interpretation boundary: </w:t>
            </w:r>
            <w:r>
              <w:rPr>
                <w:sz w:val="19"/>
              </w:rPr>
              <w:t>The sequence and CNV findings described here are synthetic educational targets. The report documents the pipeline and its outputs; it is not a clinical laboratory report.</w:t>
            </w:r>
          </w:p>
        </w:tc>
      </w:tr>
    </w:tbl>
    <w:p w14:paraId="768AEB9C" w14:textId="77777777" w:rsidR="0013665B" w:rsidRDefault="00000000">
      <w:pPr>
        <w:pStyle w:val="Heading1"/>
      </w:pPr>
      <w:r>
        <w:t>2. Selected Diseases, Genes, Mechanisms, and Synthetic Targets</w:t>
      </w:r>
    </w:p>
    <w:p w14:paraId="4A7DA679" w14:textId="77777777" w:rsidR="0013665B" w:rsidRDefault="00000000">
      <w:r>
        <w:t>The four active diseases and their main disease-focused variants are summarized below. Disease mechanisms are included only to explain why the selected gene and variant are biologically relevant to the workflow.</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13665B" w14:paraId="2EB50DDA" w14:textId="77777777">
        <w:trPr>
          <w:cantSplit/>
          <w:tblHeader/>
          <w:jc w:val="center"/>
        </w:trPr>
        <w:tc>
          <w:tcPr>
            <w:tcW w:w="1680" w:type="dxa"/>
            <w:shd w:val="clear" w:color="auto" w:fill="D9EAF7"/>
          </w:tcPr>
          <w:p w14:paraId="516851E3" w14:textId="77777777" w:rsidR="0013665B" w:rsidRDefault="00000000">
            <w:pPr>
              <w:jc w:val="center"/>
            </w:pPr>
            <w:r>
              <w:rPr>
                <w:b/>
                <w:sz w:val="14"/>
              </w:rPr>
              <w:t>Disease</w:t>
            </w:r>
          </w:p>
        </w:tc>
        <w:tc>
          <w:tcPr>
            <w:tcW w:w="1680" w:type="dxa"/>
            <w:shd w:val="clear" w:color="auto" w:fill="D9EAF7"/>
          </w:tcPr>
          <w:p w14:paraId="2A1A5AD1" w14:textId="77777777" w:rsidR="0013665B" w:rsidRDefault="00000000">
            <w:pPr>
              <w:jc w:val="center"/>
            </w:pPr>
            <w:r>
              <w:rPr>
                <w:b/>
                <w:sz w:val="14"/>
              </w:rPr>
              <w:t>Primary gene / locus</w:t>
            </w:r>
          </w:p>
        </w:tc>
        <w:tc>
          <w:tcPr>
            <w:tcW w:w="1680" w:type="dxa"/>
            <w:shd w:val="clear" w:color="auto" w:fill="D9EAF7"/>
          </w:tcPr>
          <w:p w14:paraId="501AC63D" w14:textId="77777777" w:rsidR="0013665B" w:rsidRDefault="00000000">
            <w:pPr>
              <w:jc w:val="center"/>
            </w:pPr>
            <w:r>
              <w:rPr>
                <w:b/>
                <w:sz w:val="14"/>
              </w:rPr>
              <w:t>Inheritance</w:t>
            </w:r>
          </w:p>
        </w:tc>
        <w:tc>
          <w:tcPr>
            <w:tcW w:w="1680" w:type="dxa"/>
            <w:shd w:val="clear" w:color="auto" w:fill="D9EAF7"/>
          </w:tcPr>
          <w:p w14:paraId="2E33E27C" w14:textId="77777777" w:rsidR="0013665B" w:rsidRDefault="00000000">
            <w:pPr>
              <w:jc w:val="center"/>
            </w:pPr>
            <w:r>
              <w:rPr>
                <w:b/>
                <w:sz w:val="14"/>
              </w:rPr>
              <w:t>Mechanism</w:t>
            </w:r>
          </w:p>
        </w:tc>
        <w:tc>
          <w:tcPr>
            <w:tcW w:w="1680" w:type="dxa"/>
            <w:shd w:val="clear" w:color="auto" w:fill="D9EAF7"/>
          </w:tcPr>
          <w:p w14:paraId="17847E19" w14:textId="77777777" w:rsidR="0013665B" w:rsidRDefault="00000000">
            <w:pPr>
              <w:jc w:val="center"/>
            </w:pPr>
            <w:r>
              <w:rPr>
                <w:b/>
                <w:sz w:val="14"/>
              </w:rPr>
              <w:t>Synthetic SNV target</w:t>
            </w:r>
          </w:p>
        </w:tc>
        <w:tc>
          <w:tcPr>
            <w:tcW w:w="1680" w:type="dxa"/>
            <w:shd w:val="clear" w:color="auto" w:fill="D9EAF7"/>
          </w:tcPr>
          <w:p w14:paraId="50E650C2" w14:textId="77777777" w:rsidR="0013665B" w:rsidRDefault="00000000">
            <w:pPr>
              <w:jc w:val="center"/>
            </w:pPr>
            <w:r>
              <w:rPr>
                <w:b/>
                <w:sz w:val="14"/>
              </w:rPr>
              <w:t>Synthetic CNV target</w:t>
            </w:r>
          </w:p>
        </w:tc>
      </w:tr>
      <w:tr w:rsidR="0013665B" w14:paraId="29AA7A14" w14:textId="77777777">
        <w:trPr>
          <w:cantSplit/>
          <w:jc w:val="center"/>
        </w:trPr>
        <w:tc>
          <w:tcPr>
            <w:tcW w:w="1680" w:type="dxa"/>
          </w:tcPr>
          <w:p w14:paraId="72E122D5" w14:textId="77777777" w:rsidR="0013665B" w:rsidRDefault="00000000">
            <w:r>
              <w:rPr>
                <w:sz w:val="14"/>
              </w:rPr>
              <w:t>Fabry disease</w:t>
            </w:r>
          </w:p>
        </w:tc>
        <w:tc>
          <w:tcPr>
            <w:tcW w:w="1680" w:type="dxa"/>
          </w:tcPr>
          <w:p w14:paraId="42023FE3" w14:textId="77777777" w:rsidR="0013665B" w:rsidRDefault="00000000">
            <w:r>
              <w:rPr>
                <w:sz w:val="14"/>
              </w:rPr>
              <w:t>GLA; chrX</w:t>
            </w:r>
          </w:p>
        </w:tc>
        <w:tc>
          <w:tcPr>
            <w:tcW w:w="1680" w:type="dxa"/>
          </w:tcPr>
          <w:p w14:paraId="6B59C0B4" w14:textId="77777777" w:rsidR="0013665B" w:rsidRDefault="00000000">
            <w:r>
              <w:rPr>
                <w:sz w:val="14"/>
              </w:rPr>
              <w:t>X-linked</w:t>
            </w:r>
          </w:p>
        </w:tc>
        <w:tc>
          <w:tcPr>
            <w:tcW w:w="1680" w:type="dxa"/>
          </w:tcPr>
          <w:p w14:paraId="6D42A00A" w14:textId="77777777" w:rsidR="0013665B" w:rsidRDefault="00000000">
            <w:r>
              <w:rPr>
                <w:sz w:val="14"/>
              </w:rPr>
              <w:t>Deficient alpha-galactosidase A causes lysosomal accumulation of globotriaosylceramide and related substrates.</w:t>
            </w:r>
          </w:p>
        </w:tc>
        <w:tc>
          <w:tcPr>
            <w:tcW w:w="1680" w:type="dxa"/>
          </w:tcPr>
          <w:p w14:paraId="30029A24" w14:textId="77777777" w:rsidR="0013665B" w:rsidRDefault="00000000">
            <w:r>
              <w:rPr>
                <w:sz w:val="14"/>
              </w:rPr>
              <w:t>rs104894828; GLA c.902G&gt;A, p.Arg301Gln; pathogenic missense</w:t>
            </w:r>
          </w:p>
        </w:tc>
        <w:tc>
          <w:tcPr>
            <w:tcW w:w="1680" w:type="dxa"/>
          </w:tcPr>
          <w:p w14:paraId="6EE03051" w14:textId="77777777" w:rsidR="0013665B" w:rsidRDefault="00000000">
            <w:r>
              <w:rPr>
                <w:sz w:val="14"/>
              </w:rPr>
              <w:t>chrX:101393272-101408012 DEL; includes GLA; pathogenic by AnnotSV and ClassifyCNV</w:t>
            </w:r>
          </w:p>
        </w:tc>
      </w:tr>
      <w:tr w:rsidR="0013665B" w14:paraId="7C452224" w14:textId="77777777">
        <w:trPr>
          <w:cantSplit/>
          <w:jc w:val="center"/>
        </w:trPr>
        <w:tc>
          <w:tcPr>
            <w:tcW w:w="1680" w:type="dxa"/>
          </w:tcPr>
          <w:p w14:paraId="0C1A256A" w14:textId="77777777" w:rsidR="0013665B" w:rsidRDefault="00000000">
            <w:r>
              <w:rPr>
                <w:sz w:val="14"/>
              </w:rPr>
              <w:t>Monilethrix</w:t>
            </w:r>
          </w:p>
        </w:tc>
        <w:tc>
          <w:tcPr>
            <w:tcW w:w="1680" w:type="dxa"/>
          </w:tcPr>
          <w:p w14:paraId="621A064F" w14:textId="77777777" w:rsidR="0013665B" w:rsidRDefault="00000000">
            <w:r>
              <w:rPr>
                <w:sz w:val="14"/>
              </w:rPr>
              <w:t>KRT86 (target SNV); DSG4 (target CNV)</w:t>
            </w:r>
          </w:p>
        </w:tc>
        <w:tc>
          <w:tcPr>
            <w:tcW w:w="1680" w:type="dxa"/>
          </w:tcPr>
          <w:p w14:paraId="1B70E463" w14:textId="77777777" w:rsidR="0013665B" w:rsidRDefault="00000000">
            <w:r>
              <w:rPr>
                <w:sz w:val="14"/>
              </w:rPr>
              <w:t>Usually autosomal dominant for keratin genes; autosomal recessive for DSG4</w:t>
            </w:r>
          </w:p>
        </w:tc>
        <w:tc>
          <w:tcPr>
            <w:tcW w:w="1680" w:type="dxa"/>
          </w:tcPr>
          <w:p w14:paraId="54F65BB7" w14:textId="77777777" w:rsidR="0013665B" w:rsidRDefault="00000000">
            <w:r>
              <w:rPr>
                <w:sz w:val="14"/>
              </w:rPr>
              <w:t>Hair keratin or desmosomal disruption weakens the hair-shaft cortex, producing fragile, beaded hair.</w:t>
            </w:r>
          </w:p>
        </w:tc>
        <w:tc>
          <w:tcPr>
            <w:tcW w:w="1680" w:type="dxa"/>
          </w:tcPr>
          <w:p w14:paraId="0A296CB3" w14:textId="77777777" w:rsidR="0013665B" w:rsidRDefault="00000000">
            <w:r>
              <w:rPr>
                <w:sz w:val="14"/>
              </w:rPr>
              <w:t>rs121909130; KRT86 c.1239G&gt;T, p.Glu413Asp; pathogenic missense</w:t>
            </w:r>
          </w:p>
        </w:tc>
        <w:tc>
          <w:tcPr>
            <w:tcW w:w="1680" w:type="dxa"/>
          </w:tcPr>
          <w:p w14:paraId="723BD41C" w14:textId="77777777" w:rsidR="0013665B" w:rsidRDefault="00000000">
            <w:r>
              <w:rPr>
                <w:sz w:val="14"/>
              </w:rPr>
              <w:t>chr18:31376776-31414979 DEL; includes DSG4; AnnotSV pathogenic, ClassifyCNV uncertain</w:t>
            </w:r>
          </w:p>
        </w:tc>
      </w:tr>
      <w:tr w:rsidR="0013665B" w14:paraId="04DC135B" w14:textId="77777777">
        <w:trPr>
          <w:cantSplit/>
          <w:jc w:val="center"/>
        </w:trPr>
        <w:tc>
          <w:tcPr>
            <w:tcW w:w="1680" w:type="dxa"/>
          </w:tcPr>
          <w:p w14:paraId="033BB58B" w14:textId="77777777" w:rsidR="0013665B" w:rsidRDefault="00000000">
            <w:r>
              <w:rPr>
                <w:sz w:val="14"/>
              </w:rPr>
              <w:t>Androgen Insensitivity Syndrome</w:t>
            </w:r>
          </w:p>
        </w:tc>
        <w:tc>
          <w:tcPr>
            <w:tcW w:w="1680" w:type="dxa"/>
          </w:tcPr>
          <w:p w14:paraId="24B04FB8" w14:textId="77777777" w:rsidR="0013665B" w:rsidRDefault="00000000">
            <w:r>
              <w:rPr>
                <w:sz w:val="14"/>
              </w:rPr>
              <w:t>AR; chrX</w:t>
            </w:r>
          </w:p>
        </w:tc>
        <w:tc>
          <w:tcPr>
            <w:tcW w:w="1680" w:type="dxa"/>
          </w:tcPr>
          <w:p w14:paraId="1AEEFE7F" w14:textId="77777777" w:rsidR="0013665B" w:rsidRDefault="00000000">
            <w:r>
              <w:rPr>
                <w:sz w:val="14"/>
              </w:rPr>
              <w:t>X-linked</w:t>
            </w:r>
          </w:p>
        </w:tc>
        <w:tc>
          <w:tcPr>
            <w:tcW w:w="1680" w:type="dxa"/>
          </w:tcPr>
          <w:p w14:paraId="5DA5FE8A" w14:textId="77777777" w:rsidR="0013665B" w:rsidRDefault="00000000">
            <w:r>
              <w:rPr>
                <w:sz w:val="14"/>
              </w:rPr>
              <w:t>Loss of androgen-receptor function causes reduced cellular response to androgens across a spectrum of complete, partial, or mild AIS.</w:t>
            </w:r>
          </w:p>
        </w:tc>
        <w:tc>
          <w:tcPr>
            <w:tcW w:w="1680" w:type="dxa"/>
          </w:tcPr>
          <w:p w14:paraId="4422DB02" w14:textId="77777777" w:rsidR="0013665B" w:rsidRDefault="00000000">
            <w:r>
              <w:rPr>
                <w:sz w:val="14"/>
              </w:rPr>
              <w:t>rs1555997580; AR c.2359C&gt;T, p.Arg787Ter; pathogenic stop-gained</w:t>
            </w:r>
          </w:p>
        </w:tc>
        <w:tc>
          <w:tcPr>
            <w:tcW w:w="1680" w:type="dxa"/>
          </w:tcPr>
          <w:p w14:paraId="0838C4A1" w14:textId="77777777" w:rsidR="0013665B" w:rsidRDefault="00000000">
            <w:r>
              <w:rPr>
                <w:sz w:val="14"/>
              </w:rPr>
              <w:t>chrX:67543352-67730619 DEL; includes AR; pathogenic by AnnotSV and ClassifyCNV</w:t>
            </w:r>
          </w:p>
        </w:tc>
      </w:tr>
      <w:tr w:rsidR="0013665B" w14:paraId="308723DF" w14:textId="77777777">
        <w:trPr>
          <w:cantSplit/>
          <w:jc w:val="center"/>
        </w:trPr>
        <w:tc>
          <w:tcPr>
            <w:tcW w:w="1680" w:type="dxa"/>
          </w:tcPr>
          <w:p w14:paraId="09DF4CC0" w14:textId="77777777" w:rsidR="0013665B" w:rsidRDefault="00000000">
            <w:r>
              <w:rPr>
                <w:sz w:val="14"/>
              </w:rPr>
              <w:t>Neurofibromatosis Type 1</w:t>
            </w:r>
          </w:p>
        </w:tc>
        <w:tc>
          <w:tcPr>
            <w:tcW w:w="1680" w:type="dxa"/>
          </w:tcPr>
          <w:p w14:paraId="56900830" w14:textId="77777777" w:rsidR="0013665B" w:rsidRDefault="00000000">
            <w:r>
              <w:rPr>
                <w:sz w:val="14"/>
              </w:rPr>
              <w:t>NF1; chr17q11.2</w:t>
            </w:r>
          </w:p>
        </w:tc>
        <w:tc>
          <w:tcPr>
            <w:tcW w:w="1680" w:type="dxa"/>
          </w:tcPr>
          <w:p w14:paraId="6E96FA3E" w14:textId="77777777" w:rsidR="0013665B" w:rsidRDefault="00000000">
            <w:r>
              <w:rPr>
                <w:sz w:val="14"/>
              </w:rPr>
              <w:t>Autosomal dominant</w:t>
            </w:r>
          </w:p>
        </w:tc>
        <w:tc>
          <w:tcPr>
            <w:tcW w:w="1680" w:type="dxa"/>
          </w:tcPr>
          <w:p w14:paraId="310B1070" w14:textId="77777777" w:rsidR="0013665B" w:rsidRDefault="00000000">
            <w:r>
              <w:rPr>
                <w:sz w:val="14"/>
              </w:rPr>
              <w:t>Loss of neurofibromin removes negative regulation of RAS signaling and supports abnormal cellular proliferation.</w:t>
            </w:r>
          </w:p>
        </w:tc>
        <w:tc>
          <w:tcPr>
            <w:tcW w:w="1680" w:type="dxa"/>
          </w:tcPr>
          <w:p w14:paraId="10827288" w14:textId="77777777" w:rsidR="0013665B" w:rsidRDefault="00000000">
            <w:r>
              <w:rPr>
                <w:sz w:val="14"/>
              </w:rPr>
              <w:t>rs267606599; NF1 c.3113+1G&gt;A; pathogenic splice-donor variant; SpliceAI donor-loss 1.00</w:t>
            </w:r>
          </w:p>
        </w:tc>
        <w:tc>
          <w:tcPr>
            <w:tcW w:w="1680" w:type="dxa"/>
          </w:tcPr>
          <w:p w14:paraId="777076B6" w14:textId="77777777" w:rsidR="0013665B" w:rsidRDefault="00000000">
            <w:r>
              <w:rPr>
                <w:sz w:val="14"/>
              </w:rPr>
              <w:t>chr17:31094882-31382116 DEL; includes NF1 and neighboring genes; pathogenic by all three CNV tools</w:t>
            </w:r>
          </w:p>
        </w:tc>
      </w:tr>
    </w:tbl>
    <w:p w14:paraId="4B77F050" w14:textId="77777777" w:rsidR="0013665B" w:rsidRDefault="0013665B">
      <w:pPr>
        <w:spacing w:after="0"/>
      </w:pPr>
    </w:p>
    <w:p w14:paraId="7F4389DF" w14:textId="77777777" w:rsidR="0013665B" w:rsidRDefault="00000000">
      <w:pPr>
        <w:pStyle w:val="Heading1"/>
      </w:pPr>
      <w:r>
        <w:t>3. Project Objective and Final Workflow</w:t>
      </w:r>
    </w:p>
    <w:p w14:paraId="5D0D37A1" w14:textId="77777777" w:rsidR="0013665B" w:rsidRDefault="00000000">
      <w:r>
        <w:t>The objective was to build a portable, reproducible, container-based workflow that can be run with a single meaningful disease name such as fabry, monilethrix, ais, or nf1.</w:t>
      </w:r>
    </w:p>
    <w:tbl>
      <w:tblPr>
        <w:tblW w:w="0" w:type="auto"/>
        <w:jc w:val="center"/>
        <w:tblLook w:val="04A0" w:firstRow="1" w:lastRow="0" w:firstColumn="1" w:lastColumn="0" w:noHBand="0" w:noVBand="1"/>
      </w:tblPr>
      <w:tblGrid>
        <w:gridCol w:w="10080"/>
      </w:tblGrid>
      <w:tr w:rsidR="0013665B" w14:paraId="5311B5F9"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5F1C12FF" w14:textId="77777777" w:rsidR="0013665B" w:rsidRDefault="00000000">
            <w:pPr>
              <w:spacing w:after="0"/>
            </w:pPr>
            <w:r>
              <w:rPr>
                <w:rFonts w:ascii="Liberation Mono" w:hAnsi="Liberation Mono"/>
                <w:sz w:val="16"/>
              </w:rPr>
              <w:t>bash pipeline/run_disease_pipeline.sh fabry</w:t>
            </w:r>
            <w:r>
              <w:br/>
            </w:r>
            <w:r>
              <w:rPr>
                <w:rFonts w:ascii="Liberation Mono" w:hAnsi="Liberation Mono"/>
                <w:sz w:val="16"/>
              </w:rPr>
              <w:t>bash pipeline/run_all_diseases.sh</w:t>
            </w:r>
          </w:p>
        </w:tc>
      </w:tr>
    </w:tbl>
    <w:p w14:paraId="697EFC87" w14:textId="77777777" w:rsidR="0013665B" w:rsidRDefault="0013665B">
      <w:pPr>
        <w:spacing w:after="0"/>
      </w:pPr>
    </w:p>
    <w:p w14:paraId="47AAB689" w14:textId="6D3459DF" w:rsidR="0013665B" w:rsidRDefault="00000000">
      <w:pPr>
        <w:pStyle w:val="Heading2"/>
      </w:pPr>
      <w:r>
        <w:lastRenderedPageBreak/>
        <w:t>3.1 Small-variant branch</w:t>
      </w:r>
    </w:p>
    <w:tbl>
      <w:tblPr>
        <w:tblW w:w="0" w:type="auto"/>
        <w:jc w:val="center"/>
        <w:tblLook w:val="04A0" w:firstRow="1" w:lastRow="0" w:firstColumn="1" w:lastColumn="0" w:noHBand="0" w:noVBand="1"/>
      </w:tblPr>
      <w:tblGrid>
        <w:gridCol w:w="10080"/>
      </w:tblGrid>
      <w:tr w:rsidR="0013665B" w14:paraId="03AF42BA"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7B298A65" w14:textId="77777777" w:rsidR="0013665B" w:rsidRDefault="00000000">
            <w:pPr>
              <w:spacing w:after="0"/>
            </w:pPr>
            <w:r>
              <w:rPr>
                <w:rFonts w:ascii="Liberation Mono" w:hAnsi="Liberation Mono"/>
                <w:sz w:val="16"/>
              </w:rPr>
              <w:t>Unannotated SNV/indel VCF</w:t>
            </w:r>
            <w:r>
              <w:br/>
            </w:r>
            <w:r>
              <w:rPr>
                <w:rFonts w:ascii="Liberation Mono" w:hAnsi="Liberation Mono"/>
                <w:sz w:val="16"/>
              </w:rPr>
              <w:t xml:space="preserve">    -&gt; bcftools norm</w:t>
            </w:r>
            <w:r>
              <w:br/>
            </w:r>
            <w:r>
              <w:rPr>
                <w:rFonts w:ascii="Liberation Mono" w:hAnsi="Liberation Mono"/>
                <w:sz w:val="16"/>
              </w:rPr>
              <w:t xml:space="preserve">    -&gt; VEP 115 (offline cache 115)</w:t>
            </w:r>
            <w:r>
              <w:br/>
            </w:r>
            <w:r>
              <w:rPr>
                <w:rFonts w:ascii="Liberation Mono" w:hAnsi="Liberation Mono"/>
                <w:sz w:val="16"/>
              </w:rPr>
              <w:t xml:space="preserve">    -&gt; SnpEff</w:t>
            </w:r>
            <w:r>
              <w:br/>
            </w:r>
            <w:r>
              <w:rPr>
                <w:rFonts w:ascii="Liberation Mono" w:hAnsi="Liberation Mono"/>
                <w:sz w:val="16"/>
              </w:rPr>
              <w:t xml:space="preserve">    -&gt; ClinVar annotation</w:t>
            </w:r>
            <w:r>
              <w:br/>
            </w:r>
            <w:r>
              <w:rPr>
                <w:rFonts w:ascii="Liberation Mono" w:hAnsi="Liberation Mono"/>
                <w:sz w:val="16"/>
              </w:rPr>
              <w:t xml:space="preserve">    -&gt; SpliceAI</w:t>
            </w:r>
            <w:r>
              <w:br/>
            </w:r>
            <w:r>
              <w:rPr>
                <w:rFonts w:ascii="Liberation Mono" w:hAnsi="Liberation Mono"/>
                <w:sz w:val="16"/>
              </w:rPr>
              <w:t xml:space="preserve">    -&gt; final annotated VCF.gz</w:t>
            </w:r>
          </w:p>
        </w:tc>
      </w:tr>
    </w:tbl>
    <w:p w14:paraId="759F7AC3" w14:textId="77777777" w:rsidR="0013665B" w:rsidRDefault="0013665B">
      <w:pPr>
        <w:spacing w:after="0"/>
      </w:pPr>
    </w:p>
    <w:p w14:paraId="02357697" w14:textId="2C6A8D88" w:rsidR="0013665B" w:rsidRDefault="00000000">
      <w:pPr>
        <w:pStyle w:val="Heading2"/>
      </w:pPr>
      <w:r>
        <w:t>3.2 CNV branch</w:t>
      </w:r>
    </w:p>
    <w:tbl>
      <w:tblPr>
        <w:tblW w:w="0" w:type="auto"/>
        <w:jc w:val="center"/>
        <w:tblLook w:val="04A0" w:firstRow="1" w:lastRow="0" w:firstColumn="1" w:lastColumn="0" w:noHBand="0" w:noVBand="1"/>
      </w:tblPr>
      <w:tblGrid>
        <w:gridCol w:w="10080"/>
      </w:tblGrid>
      <w:tr w:rsidR="0013665B" w14:paraId="74A9AB1A"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58133A1F" w14:textId="2A8C38CE" w:rsidR="0013665B" w:rsidRDefault="00000000">
            <w:pPr>
              <w:spacing w:after="0"/>
            </w:pPr>
            <w:r>
              <w:rPr>
                <w:rFonts w:ascii="Liberation Mono" w:hAnsi="Liberation Mono"/>
                <w:sz w:val="16"/>
              </w:rPr>
              <w:t>Unannotated CNV VCF</w:t>
            </w:r>
            <w:r>
              <w:br/>
            </w:r>
            <w:r>
              <w:rPr>
                <w:rFonts w:ascii="Liberation Mono" w:hAnsi="Liberation Mono"/>
                <w:sz w:val="16"/>
              </w:rPr>
              <w:t xml:space="preserve">    -&gt; bcftools query conversion to 4-column BED</w:t>
            </w:r>
            <w:r>
              <w:br/>
            </w:r>
            <w:r>
              <w:rPr>
                <w:rFonts w:ascii="Liberation Mono" w:hAnsi="Liberation Mono"/>
                <w:sz w:val="16"/>
              </w:rPr>
              <w:t xml:space="preserve">    -&gt; AnnotSV</w:t>
            </w:r>
            <w:r>
              <w:br/>
            </w:r>
            <w:r>
              <w:rPr>
                <w:rFonts w:ascii="Liberation Mono" w:hAnsi="Liberation Mono"/>
                <w:sz w:val="16"/>
              </w:rPr>
              <w:t xml:space="preserve">    -&gt; ClassifyCNV</w:t>
            </w:r>
            <w:r>
              <w:br/>
            </w:r>
            <w:r>
              <w:rPr>
                <w:rFonts w:ascii="Liberation Mono" w:hAnsi="Liberation Mono"/>
                <w:sz w:val="16"/>
              </w:rPr>
              <w:t xml:space="preserve">    -&gt; ISV-CNV with SHAP values</w:t>
            </w:r>
            <w:r>
              <w:br/>
            </w:r>
            <w:r>
              <w:rPr>
                <w:rFonts w:ascii="Liberation Mono" w:hAnsi="Liberation Mono"/>
                <w:sz w:val="16"/>
              </w:rPr>
              <w:t xml:space="preserve">    -&gt; combined CNV summary TSV</w:t>
            </w:r>
          </w:p>
        </w:tc>
      </w:tr>
    </w:tbl>
    <w:p w14:paraId="2C15EE3F" w14:textId="77777777" w:rsidR="0013665B" w:rsidRDefault="0013665B">
      <w:pPr>
        <w:spacing w:after="0"/>
      </w:pPr>
    </w:p>
    <w:p w14:paraId="6061ACA5" w14:textId="00C566A0" w:rsidR="0013665B" w:rsidRDefault="00000000">
      <w:pPr>
        <w:pStyle w:val="Heading1"/>
      </w:pPr>
      <w:r>
        <w:t>4. Project Structure and Naming Convention</w:t>
      </w:r>
    </w:p>
    <w:tbl>
      <w:tblPr>
        <w:tblW w:w="0" w:type="auto"/>
        <w:jc w:val="center"/>
        <w:tblLook w:val="04A0" w:firstRow="1" w:lastRow="0" w:firstColumn="1" w:lastColumn="0" w:noHBand="0" w:noVBand="1"/>
      </w:tblPr>
      <w:tblGrid>
        <w:gridCol w:w="10080"/>
      </w:tblGrid>
      <w:tr w:rsidR="0013665B" w14:paraId="28ED5638"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1E2913E7" w14:textId="02DD93A9" w:rsidR="0013665B" w:rsidRDefault="00000000">
            <w:pPr>
              <w:spacing w:after="0"/>
            </w:pPr>
            <w:r>
              <w:rPr>
                <w:rFonts w:ascii="Liberation Mono" w:hAnsi="Liberation Mono"/>
                <w:sz w:val="16"/>
              </w:rPr>
              <w:t>~/</w:t>
            </w:r>
            <w:proofErr w:type="spellStart"/>
            <w:r>
              <w:rPr>
                <w:rFonts w:ascii="Liberation Mono" w:hAnsi="Liberation Mono"/>
                <w:sz w:val="16"/>
              </w:rPr>
              <w:t>rare_disease_project</w:t>
            </w:r>
            <w:proofErr w:type="spellEnd"/>
            <w:r>
              <w:rPr>
                <w:rFonts w:ascii="Liberation Mono" w:hAnsi="Liberation Mono"/>
                <w:sz w:val="16"/>
              </w:rPr>
              <w:t>/</w:t>
            </w:r>
            <w:r>
              <w:br/>
            </w:r>
            <w:r>
              <w:rPr>
                <w:rFonts w:ascii="Liberation Mono" w:hAnsi="Liberation Mono"/>
                <w:sz w:val="16"/>
              </w:rPr>
              <w:t>├── containers/                 # Apptainer .sif files and .def recipes</w:t>
            </w:r>
            <w:r>
              <w:br/>
            </w:r>
            <w:r>
              <w:rPr>
                <w:rFonts w:ascii="Liberation Mono" w:hAnsi="Liberation Mono"/>
                <w:sz w:val="16"/>
              </w:rPr>
              <w:t>├── resources/                  # FASTA, VEP cache, SnpEff, ClinVar, AnnotSV resources</w:t>
            </w:r>
            <w:r>
              <w:br/>
            </w:r>
            <w:r>
              <w:rPr>
                <w:rFonts w:ascii="Liberation Mono" w:hAnsi="Liberation Mono"/>
                <w:sz w:val="16"/>
              </w:rPr>
              <w:t>├── tools/                      # ClassifyCNV and supporting software</w:t>
            </w:r>
            <w:r>
              <w:br/>
            </w:r>
            <w:r>
              <w:rPr>
                <w:rFonts w:ascii="Liberation Mono" w:hAnsi="Liberation Mono"/>
                <w:sz w:val="16"/>
              </w:rPr>
              <w:t>├── input/</w:t>
            </w:r>
            <w:r>
              <w:br/>
            </w:r>
            <w:r>
              <w:rPr>
                <w:rFonts w:ascii="Liberation Mono" w:hAnsi="Liberation Mono"/>
                <w:sz w:val="16"/>
              </w:rPr>
              <w:t>│   ├── small_variants/         # unannotated disease VCF files</w:t>
            </w:r>
            <w:r>
              <w:br/>
            </w:r>
            <w:r>
              <w:rPr>
                <w:rFonts w:ascii="Liberation Mono" w:hAnsi="Liberation Mono"/>
                <w:sz w:val="16"/>
              </w:rPr>
              <w:t>│   └── cnv/                    # CNV VCF and converted BED files</w:t>
            </w:r>
            <w:r>
              <w:br/>
            </w:r>
            <w:r>
              <w:rPr>
                <w:rFonts w:ascii="Liberation Mono" w:hAnsi="Liberation Mono"/>
                <w:sz w:val="16"/>
              </w:rPr>
              <w:t>├── pipeline/</w:t>
            </w:r>
            <w:r>
              <w:br/>
            </w:r>
            <w:r>
              <w:rPr>
                <w:rFonts w:ascii="Liberation Mono" w:hAnsi="Liberation Mono"/>
                <w:sz w:val="16"/>
              </w:rPr>
              <w:t>│   ├── run_disease_pipeline.sh</w:t>
            </w:r>
            <w:r>
              <w:br/>
            </w:r>
            <w:r>
              <w:rPr>
                <w:rFonts w:ascii="Liberation Mono" w:hAnsi="Liberation Mono"/>
                <w:sz w:val="16"/>
              </w:rPr>
              <w:t>│   └── run_all_diseases.sh</w:t>
            </w:r>
            <w:r>
              <w:br/>
            </w:r>
            <w:r>
              <w:rPr>
                <w:rFonts w:ascii="Liberation Mono" w:hAnsi="Liberation Mono"/>
                <w:sz w:val="16"/>
              </w:rPr>
              <w:t>└── results/</w:t>
            </w:r>
            <w:r>
              <w:br/>
            </w:r>
            <w:r>
              <w:rPr>
                <w:rFonts w:ascii="Liberation Mono" w:hAnsi="Liberation Mono"/>
                <w:sz w:val="16"/>
              </w:rPr>
              <w:t xml:space="preserve">    ├── fabry/</w:t>
            </w:r>
            <w:r>
              <w:br/>
            </w:r>
            <w:r>
              <w:rPr>
                <w:rFonts w:ascii="Liberation Mono" w:hAnsi="Liberation Mono"/>
                <w:sz w:val="16"/>
              </w:rPr>
              <w:t xml:space="preserve">    ├── monilethrix/</w:t>
            </w:r>
            <w:r>
              <w:br/>
            </w:r>
            <w:r>
              <w:rPr>
                <w:rFonts w:ascii="Liberation Mono" w:hAnsi="Liberation Mono"/>
                <w:sz w:val="16"/>
              </w:rPr>
              <w:t xml:space="preserve">    ├── ais/</w:t>
            </w:r>
            <w:r>
              <w:br/>
            </w:r>
            <w:r>
              <w:rPr>
                <w:rFonts w:ascii="Liberation Mono" w:hAnsi="Liberation Mono"/>
                <w:sz w:val="16"/>
              </w:rPr>
              <w:t xml:space="preserve">    └── nf1/</w:t>
            </w:r>
          </w:p>
        </w:tc>
      </w:tr>
    </w:tbl>
    <w:p w14:paraId="341158E5" w14:textId="77777777" w:rsidR="0013665B" w:rsidRDefault="0013665B">
      <w:pPr>
        <w:spacing w:after="0"/>
      </w:pPr>
    </w:p>
    <w:p w14:paraId="188C05A9" w14:textId="18528BD8" w:rsidR="0013665B" w:rsidRDefault="00000000">
      <w:r>
        <w:t>Meaningful base names were used consistently so the pipeline can discover paired inputs automatically:</w:t>
      </w:r>
    </w:p>
    <w:tbl>
      <w:tblPr>
        <w:tblStyle w:val="TableGrid"/>
        <w:tblW w:w="0" w:type="auto"/>
        <w:jc w:val="center"/>
        <w:tblLook w:val="04A0" w:firstRow="1" w:lastRow="0" w:firstColumn="1" w:lastColumn="0" w:noHBand="0" w:noVBand="1"/>
      </w:tblPr>
      <w:tblGrid>
        <w:gridCol w:w="3360"/>
        <w:gridCol w:w="3360"/>
        <w:gridCol w:w="3360"/>
      </w:tblGrid>
      <w:tr w:rsidR="0013665B" w14:paraId="0B8B5796" w14:textId="77777777">
        <w:trPr>
          <w:cantSplit/>
          <w:tblHeader/>
          <w:jc w:val="center"/>
        </w:trPr>
        <w:tc>
          <w:tcPr>
            <w:tcW w:w="3360" w:type="dxa"/>
            <w:shd w:val="clear" w:color="auto" w:fill="D9EAF7"/>
          </w:tcPr>
          <w:p w14:paraId="4EC1EE46" w14:textId="77777777" w:rsidR="0013665B" w:rsidRDefault="00000000">
            <w:pPr>
              <w:jc w:val="center"/>
            </w:pPr>
            <w:r>
              <w:rPr>
                <w:b/>
                <w:sz w:val="18"/>
              </w:rPr>
              <w:t>Disease base name</w:t>
            </w:r>
          </w:p>
        </w:tc>
        <w:tc>
          <w:tcPr>
            <w:tcW w:w="3360" w:type="dxa"/>
            <w:shd w:val="clear" w:color="auto" w:fill="D9EAF7"/>
          </w:tcPr>
          <w:p w14:paraId="00DED105" w14:textId="77777777" w:rsidR="0013665B" w:rsidRDefault="00000000">
            <w:pPr>
              <w:jc w:val="center"/>
            </w:pPr>
            <w:r>
              <w:rPr>
                <w:b/>
                <w:sz w:val="18"/>
              </w:rPr>
              <w:t>SNV input</w:t>
            </w:r>
          </w:p>
        </w:tc>
        <w:tc>
          <w:tcPr>
            <w:tcW w:w="3360" w:type="dxa"/>
            <w:shd w:val="clear" w:color="auto" w:fill="D9EAF7"/>
          </w:tcPr>
          <w:p w14:paraId="7F055B45" w14:textId="77777777" w:rsidR="0013665B" w:rsidRDefault="00000000">
            <w:pPr>
              <w:jc w:val="center"/>
            </w:pPr>
            <w:r>
              <w:rPr>
                <w:b/>
                <w:sz w:val="18"/>
              </w:rPr>
              <w:t>CNV BED input</w:t>
            </w:r>
          </w:p>
        </w:tc>
      </w:tr>
      <w:tr w:rsidR="0013665B" w14:paraId="72783B22" w14:textId="77777777">
        <w:trPr>
          <w:cantSplit/>
          <w:jc w:val="center"/>
        </w:trPr>
        <w:tc>
          <w:tcPr>
            <w:tcW w:w="3360" w:type="dxa"/>
          </w:tcPr>
          <w:p w14:paraId="7BABDBB2" w14:textId="77777777" w:rsidR="0013665B" w:rsidRDefault="00000000">
            <w:r>
              <w:rPr>
                <w:sz w:val="18"/>
              </w:rPr>
              <w:t>fabry</w:t>
            </w:r>
          </w:p>
        </w:tc>
        <w:tc>
          <w:tcPr>
            <w:tcW w:w="3360" w:type="dxa"/>
          </w:tcPr>
          <w:p w14:paraId="0B184370" w14:textId="77777777" w:rsidR="0013665B" w:rsidRDefault="00000000">
            <w:r>
              <w:rPr>
                <w:sz w:val="18"/>
              </w:rPr>
              <w:t>fabry.small_variants.vcf</w:t>
            </w:r>
          </w:p>
        </w:tc>
        <w:tc>
          <w:tcPr>
            <w:tcW w:w="3360" w:type="dxa"/>
          </w:tcPr>
          <w:p w14:paraId="3CDFD842" w14:textId="77777777" w:rsidR="0013665B" w:rsidRDefault="00000000">
            <w:r>
              <w:rPr>
                <w:sz w:val="18"/>
              </w:rPr>
              <w:t>fabry.cnvs.bed</w:t>
            </w:r>
          </w:p>
        </w:tc>
      </w:tr>
      <w:tr w:rsidR="0013665B" w14:paraId="71A17A6A" w14:textId="77777777">
        <w:trPr>
          <w:cantSplit/>
          <w:jc w:val="center"/>
        </w:trPr>
        <w:tc>
          <w:tcPr>
            <w:tcW w:w="3360" w:type="dxa"/>
          </w:tcPr>
          <w:p w14:paraId="09817B6B" w14:textId="77777777" w:rsidR="0013665B" w:rsidRDefault="00000000">
            <w:r>
              <w:rPr>
                <w:sz w:val="18"/>
              </w:rPr>
              <w:t>monilethrix</w:t>
            </w:r>
          </w:p>
        </w:tc>
        <w:tc>
          <w:tcPr>
            <w:tcW w:w="3360" w:type="dxa"/>
          </w:tcPr>
          <w:p w14:paraId="47687949" w14:textId="77777777" w:rsidR="0013665B" w:rsidRDefault="00000000">
            <w:r>
              <w:rPr>
                <w:sz w:val="18"/>
              </w:rPr>
              <w:t>monilethrix.small_variants.vcf</w:t>
            </w:r>
          </w:p>
        </w:tc>
        <w:tc>
          <w:tcPr>
            <w:tcW w:w="3360" w:type="dxa"/>
          </w:tcPr>
          <w:p w14:paraId="0E01AEF4" w14:textId="77777777" w:rsidR="0013665B" w:rsidRDefault="00000000">
            <w:r>
              <w:rPr>
                <w:sz w:val="18"/>
              </w:rPr>
              <w:t>monilethrix.cnvs.bed</w:t>
            </w:r>
          </w:p>
        </w:tc>
      </w:tr>
      <w:tr w:rsidR="0013665B" w14:paraId="771B4472" w14:textId="77777777">
        <w:trPr>
          <w:cantSplit/>
          <w:jc w:val="center"/>
        </w:trPr>
        <w:tc>
          <w:tcPr>
            <w:tcW w:w="3360" w:type="dxa"/>
          </w:tcPr>
          <w:p w14:paraId="5AE2220D" w14:textId="77777777" w:rsidR="0013665B" w:rsidRDefault="00000000">
            <w:r>
              <w:rPr>
                <w:sz w:val="18"/>
              </w:rPr>
              <w:t>ais</w:t>
            </w:r>
          </w:p>
        </w:tc>
        <w:tc>
          <w:tcPr>
            <w:tcW w:w="3360" w:type="dxa"/>
          </w:tcPr>
          <w:p w14:paraId="30413C24" w14:textId="5761B5F7" w:rsidR="0013665B" w:rsidRDefault="00000000">
            <w:r>
              <w:rPr>
                <w:sz w:val="18"/>
              </w:rPr>
              <w:t>ais.small_variants.vcf</w:t>
            </w:r>
          </w:p>
        </w:tc>
        <w:tc>
          <w:tcPr>
            <w:tcW w:w="3360" w:type="dxa"/>
          </w:tcPr>
          <w:p w14:paraId="51AD0EBD" w14:textId="77777777" w:rsidR="0013665B" w:rsidRDefault="00000000">
            <w:r>
              <w:rPr>
                <w:sz w:val="18"/>
              </w:rPr>
              <w:t>ais.cnvs.bed</w:t>
            </w:r>
          </w:p>
        </w:tc>
      </w:tr>
      <w:tr w:rsidR="0013665B" w14:paraId="11AFD8AA" w14:textId="77777777">
        <w:trPr>
          <w:cantSplit/>
          <w:jc w:val="center"/>
        </w:trPr>
        <w:tc>
          <w:tcPr>
            <w:tcW w:w="3360" w:type="dxa"/>
          </w:tcPr>
          <w:p w14:paraId="6C1DB6CF" w14:textId="77777777" w:rsidR="0013665B" w:rsidRDefault="00000000">
            <w:r>
              <w:rPr>
                <w:sz w:val="18"/>
              </w:rPr>
              <w:t>nf1</w:t>
            </w:r>
          </w:p>
        </w:tc>
        <w:tc>
          <w:tcPr>
            <w:tcW w:w="3360" w:type="dxa"/>
          </w:tcPr>
          <w:p w14:paraId="4AFB0488" w14:textId="77777777" w:rsidR="0013665B" w:rsidRDefault="00000000">
            <w:r>
              <w:rPr>
                <w:sz w:val="18"/>
              </w:rPr>
              <w:t>nf1.small_variants.vcf</w:t>
            </w:r>
          </w:p>
        </w:tc>
        <w:tc>
          <w:tcPr>
            <w:tcW w:w="3360" w:type="dxa"/>
          </w:tcPr>
          <w:p w14:paraId="1AE9AD73" w14:textId="77777777" w:rsidR="0013665B" w:rsidRDefault="00000000">
            <w:r>
              <w:rPr>
                <w:sz w:val="18"/>
              </w:rPr>
              <w:t>nf1.cnvs.bed</w:t>
            </w:r>
          </w:p>
        </w:tc>
      </w:tr>
    </w:tbl>
    <w:p w14:paraId="2217BAF7" w14:textId="77777777" w:rsidR="0013665B" w:rsidRDefault="0013665B">
      <w:pPr>
        <w:spacing w:after="0"/>
      </w:pPr>
    </w:p>
    <w:p w14:paraId="036C5AF8" w14:textId="77777777" w:rsidR="0013665B" w:rsidRDefault="00000000">
      <w:pPr>
        <w:keepNext/>
      </w:pPr>
      <w:r>
        <w:rPr>
          <w:b/>
          <w:color w:val="1F4E79"/>
          <w:sz w:val="21"/>
        </w:rPr>
        <w:t>Figure 1. Project folder structure</w:t>
      </w:r>
    </w:p>
    <w:tbl>
      <w:tblPr>
        <w:tblW w:w="0" w:type="auto"/>
        <w:jc w:val="center"/>
        <w:tblLook w:val="04A0" w:firstRow="1" w:lastRow="0" w:firstColumn="1" w:lastColumn="0" w:noHBand="0" w:noVBand="1"/>
      </w:tblPr>
      <w:tblGrid>
        <w:gridCol w:w="9000"/>
      </w:tblGrid>
      <w:tr w:rsidR="0013665B" w14:paraId="60D151D7" w14:textId="77777777">
        <w:trPr>
          <w:trHeight w:val="1800"/>
          <w:jc w:val="center"/>
        </w:trPr>
        <w:tc>
          <w:tcPr>
            <w:tcW w:w="9000" w:type="dxa"/>
            <w:tcBorders>
              <w:top w:val="dashed" w:sz="10" w:space="0" w:color="8A8A8A"/>
              <w:left w:val="dashed" w:sz="10" w:space="0" w:color="8A8A8A"/>
              <w:bottom w:val="dashed" w:sz="10" w:space="0" w:color="8A8A8A"/>
              <w:right w:val="dashed" w:sz="10" w:space="0" w:color="8A8A8A"/>
            </w:tcBorders>
            <w:shd w:val="clear" w:color="auto" w:fill="F7F7F7"/>
            <w:vAlign w:val="center"/>
          </w:tcPr>
          <w:p w14:paraId="6EEA8946" w14:textId="09767CB6" w:rsidR="0013665B" w:rsidRDefault="00B65B44">
            <w:pPr>
              <w:jc w:val="center"/>
            </w:pPr>
            <w:r w:rsidRPr="00B65B44">
              <w:rPr>
                <w:b/>
                <w:noProof/>
                <w:color w:val="646464"/>
                <w:sz w:val="24"/>
              </w:rPr>
              <w:drawing>
                <wp:anchor distT="0" distB="0" distL="114300" distR="114300" simplePos="0" relativeHeight="251632640" behindDoc="0" locked="0" layoutInCell="1" allowOverlap="1" wp14:anchorId="5DE543AB" wp14:editId="322A9BD2">
                  <wp:simplePos x="0" y="0"/>
                  <wp:positionH relativeFrom="column">
                    <wp:posOffset>-78105</wp:posOffset>
                  </wp:positionH>
                  <wp:positionV relativeFrom="paragraph">
                    <wp:posOffset>-42545</wp:posOffset>
                  </wp:positionV>
                  <wp:extent cx="5744845" cy="1200150"/>
                  <wp:effectExtent l="0" t="0" r="8255" b="0"/>
                  <wp:wrapNone/>
                  <wp:docPr id="81507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71930" name=""/>
                          <pic:cNvPicPr/>
                        </pic:nvPicPr>
                        <pic:blipFill>
                          <a:blip r:embed="rId8"/>
                          <a:stretch>
                            <a:fillRect/>
                          </a:stretch>
                        </pic:blipFill>
                        <pic:spPr>
                          <a:xfrm>
                            <a:off x="0" y="0"/>
                            <a:ext cx="5744845" cy="1200150"/>
                          </a:xfrm>
                          <a:prstGeom prst="rect">
                            <a:avLst/>
                          </a:prstGeom>
                        </pic:spPr>
                      </pic:pic>
                    </a:graphicData>
                  </a:graphic>
                  <wp14:sizeRelH relativeFrom="margin">
                    <wp14:pctWidth>0</wp14:pctWidth>
                  </wp14:sizeRelH>
                  <wp14:sizeRelV relativeFrom="margin">
                    <wp14:pctHeight>0</wp14:pctHeight>
                  </wp14:sizeRelV>
                </wp:anchor>
              </w:drawing>
            </w:r>
            <w:r>
              <w:rPr>
                <w:b/>
                <w:color w:val="646464"/>
                <w:sz w:val="24"/>
              </w:rPr>
              <w:t>INSERT MEANINGFUL SCREENSHOT HERE</w:t>
            </w:r>
          </w:p>
          <w:p w14:paraId="36A13093" w14:textId="77777777" w:rsidR="0013665B" w:rsidRDefault="00000000">
            <w:pPr>
              <w:jc w:val="center"/>
            </w:pPr>
            <w:r>
              <w:rPr>
                <w:i/>
                <w:color w:val="646464"/>
                <w:sz w:val="18"/>
              </w:rPr>
              <w:t>Show only the organized project tree, not the complete database contents.</w:t>
            </w:r>
          </w:p>
        </w:tc>
      </w:tr>
    </w:tbl>
    <w:p w14:paraId="2EAE4F45" w14:textId="77777777" w:rsidR="0013665B" w:rsidRDefault="0013665B">
      <w:pPr>
        <w:spacing w:after="0"/>
      </w:pPr>
    </w:p>
    <w:p w14:paraId="7023CAA7" w14:textId="77777777" w:rsidR="0013665B" w:rsidRDefault="00000000">
      <w:pPr>
        <w:pStyle w:val="Heading1"/>
      </w:pPr>
      <w:r>
        <w:lastRenderedPageBreak/>
        <w:t>5. Step 1 - Prepare the Project Folders</w:t>
      </w:r>
    </w:p>
    <w:p w14:paraId="2822588A" w14:textId="786A32A1" w:rsidR="0013665B" w:rsidRDefault="00000000">
      <w:proofErr w:type="gramStart"/>
      <w:r>
        <w:t>he</w:t>
      </w:r>
      <w:proofErr w:type="gramEnd"/>
      <w:r>
        <w:t xml:space="preserve"> </w:t>
      </w:r>
      <w:proofErr w:type="gramStart"/>
      <w:r>
        <w:t>project</w:t>
      </w:r>
      <w:proofErr w:type="gramEnd"/>
      <w:r>
        <w:t xml:space="preserve"> folders separate executable containers, reference resources, unannotated inputs, intermediate results, final outputs, and documentation.</w:t>
      </w:r>
    </w:p>
    <w:tbl>
      <w:tblPr>
        <w:tblW w:w="0" w:type="auto"/>
        <w:jc w:val="center"/>
        <w:tblLook w:val="04A0" w:firstRow="1" w:lastRow="0" w:firstColumn="1" w:lastColumn="0" w:noHBand="0" w:noVBand="1"/>
      </w:tblPr>
      <w:tblGrid>
        <w:gridCol w:w="10080"/>
      </w:tblGrid>
      <w:tr w:rsidR="0013665B" w14:paraId="71B33AAB"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48AB60F4" w14:textId="77777777" w:rsidR="0013665B" w:rsidRDefault="00000000">
            <w:pPr>
              <w:spacing w:after="0"/>
            </w:pPr>
            <w:r>
              <w:rPr>
                <w:rFonts w:ascii="Liberation Mono" w:hAnsi="Liberation Mono"/>
                <w:sz w:val="16"/>
              </w:rPr>
              <w:t>mkdir -p ~/rare_disease_project/{containers,resources,input,pipeline,results,tools}</w:t>
            </w:r>
            <w:r>
              <w:br/>
            </w:r>
            <w:r>
              <w:rPr>
                <w:rFonts w:ascii="Liberation Mono" w:hAnsi="Liberation Mono"/>
                <w:sz w:val="16"/>
              </w:rPr>
              <w:t>mkdir -p ~/rare_disease_project/resources/{reference,vep_cache,snpeff_data,clinvar,clingen,annovar_humandb,annotsv_annotations}</w:t>
            </w:r>
            <w:r>
              <w:br/>
            </w:r>
            <w:r>
              <w:rPr>
                <w:rFonts w:ascii="Liberation Mono" w:hAnsi="Liberation Mono"/>
                <w:sz w:val="16"/>
              </w:rPr>
              <w:t>mkdir -p ~/rare_disease_project/input/{small_variants,cnv}</w:t>
            </w:r>
          </w:p>
        </w:tc>
      </w:tr>
    </w:tbl>
    <w:p w14:paraId="03DE9DA6" w14:textId="77777777" w:rsidR="0013665B" w:rsidRDefault="0013665B">
      <w:pPr>
        <w:spacing w:after="0"/>
      </w:pPr>
    </w:p>
    <w:p w14:paraId="0E528F99" w14:textId="7F7E3979" w:rsidR="0013665B" w:rsidRDefault="00000000">
      <w:r>
        <w:t>The -p option creates parent folders when needed and does not fail if a folder already exists. The ~ symbol represents the current user home directory.</w:t>
      </w:r>
    </w:p>
    <w:p w14:paraId="105B8D18" w14:textId="77777777" w:rsidR="0013665B" w:rsidRDefault="00000000">
      <w:pPr>
        <w:pStyle w:val="Heading1"/>
      </w:pPr>
      <w:r>
        <w:t>6. Step 2 - Confirm Apptainer, Containers, and Resources</w:t>
      </w:r>
    </w:p>
    <w:p w14:paraId="23408127" w14:textId="5187FCE8" w:rsidR="0013665B" w:rsidRDefault="00000000">
      <w:proofErr w:type="spellStart"/>
      <w:r>
        <w:t>Apptainer</w:t>
      </w:r>
      <w:proofErr w:type="spellEnd"/>
      <w:r>
        <w:t xml:space="preserve"> was selected because the workflow must be portable to systems that provide Apptainer or Singularity. The project binds the host project root to /project inside each container.</w:t>
      </w:r>
    </w:p>
    <w:tbl>
      <w:tblPr>
        <w:tblW w:w="0" w:type="auto"/>
        <w:jc w:val="center"/>
        <w:tblLook w:val="04A0" w:firstRow="1" w:lastRow="0" w:firstColumn="1" w:lastColumn="0" w:noHBand="0" w:noVBand="1"/>
      </w:tblPr>
      <w:tblGrid>
        <w:gridCol w:w="10080"/>
      </w:tblGrid>
      <w:tr w:rsidR="0013665B" w14:paraId="3D46B509"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7CA767D1" w14:textId="47FBC850" w:rsidR="0013665B" w:rsidRDefault="00000000">
            <w:pPr>
              <w:spacing w:after="0"/>
            </w:pPr>
            <w:proofErr w:type="spellStart"/>
            <w:r>
              <w:rPr>
                <w:rFonts w:ascii="Liberation Mono" w:hAnsi="Liberation Mono"/>
                <w:sz w:val="16"/>
              </w:rPr>
              <w:t>apptainer</w:t>
            </w:r>
            <w:proofErr w:type="spellEnd"/>
            <w:r>
              <w:rPr>
                <w:rFonts w:ascii="Liberation Mono" w:hAnsi="Liberation Mono"/>
                <w:sz w:val="16"/>
              </w:rPr>
              <w:t xml:space="preserve"> --version</w:t>
            </w:r>
            <w:r>
              <w:br/>
            </w:r>
            <w:r>
              <w:rPr>
                <w:rFonts w:ascii="Liberation Mono" w:hAnsi="Liberation Mono"/>
                <w:sz w:val="16"/>
              </w:rPr>
              <w:t>ls -</w:t>
            </w:r>
            <w:proofErr w:type="spellStart"/>
            <w:r>
              <w:rPr>
                <w:rFonts w:ascii="Liberation Mono" w:hAnsi="Liberation Mono"/>
                <w:sz w:val="16"/>
              </w:rPr>
              <w:t>lh</w:t>
            </w:r>
            <w:proofErr w:type="spellEnd"/>
            <w:r>
              <w:rPr>
                <w:rFonts w:ascii="Liberation Mono" w:hAnsi="Liberation Mono"/>
                <w:sz w:val="16"/>
              </w:rPr>
              <w:t xml:space="preserve"> ~/rare_disease_project/containers</w:t>
            </w:r>
            <w:r>
              <w:br/>
            </w:r>
            <w:r>
              <w:br/>
            </w:r>
            <w:r>
              <w:rPr>
                <w:rFonts w:ascii="Liberation Mono" w:hAnsi="Liberation Mono"/>
                <w:sz w:val="16"/>
              </w:rPr>
              <w:t xml:space="preserve">apptainer exec   --bind ~/rare_disease_project:/project   ~/rare_disease_project/containers/core_tools.sif   bash -lc 'bcftools --version | head -n 1; samtools --version | head -n 1; python3 --version' </w:t>
            </w:r>
          </w:p>
        </w:tc>
      </w:tr>
    </w:tbl>
    <w:p w14:paraId="5C9BFAB3" w14:textId="2A098959" w:rsidR="0013665B" w:rsidRDefault="0013665B">
      <w:pPr>
        <w:spacing w:after="0"/>
      </w:pPr>
    </w:p>
    <w:tbl>
      <w:tblPr>
        <w:tblStyle w:val="TableGrid"/>
        <w:tblW w:w="0" w:type="auto"/>
        <w:jc w:val="center"/>
        <w:tblLook w:val="04A0" w:firstRow="1" w:lastRow="0" w:firstColumn="1" w:lastColumn="0" w:noHBand="0" w:noVBand="1"/>
      </w:tblPr>
      <w:tblGrid>
        <w:gridCol w:w="3360"/>
        <w:gridCol w:w="3360"/>
        <w:gridCol w:w="3360"/>
      </w:tblGrid>
      <w:tr w:rsidR="0013665B" w14:paraId="73A7E607" w14:textId="77777777">
        <w:trPr>
          <w:cantSplit/>
          <w:tblHeader/>
          <w:jc w:val="center"/>
        </w:trPr>
        <w:tc>
          <w:tcPr>
            <w:tcW w:w="3360" w:type="dxa"/>
            <w:shd w:val="clear" w:color="auto" w:fill="D9EAF7"/>
          </w:tcPr>
          <w:p w14:paraId="66ED9C76" w14:textId="77777777" w:rsidR="0013665B" w:rsidRDefault="00000000">
            <w:pPr>
              <w:jc w:val="center"/>
            </w:pPr>
            <w:r>
              <w:rPr>
                <w:b/>
                <w:sz w:val="17"/>
              </w:rPr>
              <w:t>Container</w:t>
            </w:r>
          </w:p>
        </w:tc>
        <w:tc>
          <w:tcPr>
            <w:tcW w:w="3360" w:type="dxa"/>
            <w:shd w:val="clear" w:color="auto" w:fill="D9EAF7"/>
          </w:tcPr>
          <w:p w14:paraId="4498493D" w14:textId="77777777" w:rsidR="0013665B" w:rsidRDefault="00000000">
            <w:pPr>
              <w:jc w:val="center"/>
            </w:pPr>
            <w:r>
              <w:rPr>
                <w:b/>
                <w:sz w:val="17"/>
              </w:rPr>
              <w:t>Purpose</w:t>
            </w:r>
          </w:p>
        </w:tc>
        <w:tc>
          <w:tcPr>
            <w:tcW w:w="3360" w:type="dxa"/>
            <w:shd w:val="clear" w:color="auto" w:fill="D9EAF7"/>
          </w:tcPr>
          <w:p w14:paraId="213E71FE" w14:textId="77777777" w:rsidR="0013665B" w:rsidRDefault="00000000">
            <w:pPr>
              <w:jc w:val="center"/>
            </w:pPr>
            <w:r>
              <w:rPr>
                <w:b/>
                <w:sz w:val="17"/>
              </w:rPr>
              <w:t>Important content</w:t>
            </w:r>
          </w:p>
        </w:tc>
      </w:tr>
      <w:tr w:rsidR="0013665B" w14:paraId="404EBC06" w14:textId="77777777">
        <w:trPr>
          <w:cantSplit/>
          <w:jc w:val="center"/>
        </w:trPr>
        <w:tc>
          <w:tcPr>
            <w:tcW w:w="3360" w:type="dxa"/>
          </w:tcPr>
          <w:p w14:paraId="0B3082B2" w14:textId="77777777" w:rsidR="0013665B" w:rsidRDefault="00000000">
            <w:r>
              <w:rPr>
                <w:sz w:val="17"/>
              </w:rPr>
              <w:t>core_tools.sif</w:t>
            </w:r>
          </w:p>
        </w:tc>
        <w:tc>
          <w:tcPr>
            <w:tcW w:w="3360" w:type="dxa"/>
          </w:tcPr>
          <w:p w14:paraId="5F12ACB8" w14:textId="19960E0A" w:rsidR="0013665B" w:rsidRDefault="00000000">
            <w:r>
              <w:rPr>
                <w:sz w:val="17"/>
              </w:rPr>
              <w:t>General command-line utilities</w:t>
            </w:r>
          </w:p>
        </w:tc>
        <w:tc>
          <w:tcPr>
            <w:tcW w:w="3360" w:type="dxa"/>
          </w:tcPr>
          <w:p w14:paraId="6A7908AD" w14:textId="77777777" w:rsidR="0013665B" w:rsidRDefault="00000000">
            <w:r>
              <w:rPr>
                <w:sz w:val="17"/>
              </w:rPr>
              <w:t>bcftools, samtools, bgzip, tabix, Python and supporting tools</w:t>
            </w:r>
          </w:p>
        </w:tc>
      </w:tr>
      <w:tr w:rsidR="0013665B" w14:paraId="12AF7C12" w14:textId="77777777">
        <w:trPr>
          <w:cantSplit/>
          <w:jc w:val="center"/>
        </w:trPr>
        <w:tc>
          <w:tcPr>
            <w:tcW w:w="3360" w:type="dxa"/>
          </w:tcPr>
          <w:p w14:paraId="27901097" w14:textId="77777777" w:rsidR="0013665B" w:rsidRDefault="00000000">
            <w:r>
              <w:rPr>
                <w:sz w:val="17"/>
              </w:rPr>
              <w:t>vep.sif</w:t>
            </w:r>
          </w:p>
        </w:tc>
        <w:tc>
          <w:tcPr>
            <w:tcW w:w="3360" w:type="dxa"/>
          </w:tcPr>
          <w:p w14:paraId="5CD94599" w14:textId="4B5C0A51" w:rsidR="0013665B" w:rsidRDefault="00000000">
            <w:r>
              <w:rPr>
                <w:sz w:val="17"/>
              </w:rPr>
              <w:t>Sequence consequence annotation</w:t>
            </w:r>
          </w:p>
        </w:tc>
        <w:tc>
          <w:tcPr>
            <w:tcW w:w="3360" w:type="dxa"/>
          </w:tcPr>
          <w:p w14:paraId="164FE922" w14:textId="77777777" w:rsidR="0013665B" w:rsidRDefault="00000000">
            <w:r>
              <w:rPr>
                <w:sz w:val="17"/>
              </w:rPr>
              <w:t>VEP 115; must match cache 115</w:t>
            </w:r>
          </w:p>
        </w:tc>
      </w:tr>
      <w:tr w:rsidR="0013665B" w14:paraId="3EB5C912" w14:textId="77777777">
        <w:trPr>
          <w:cantSplit/>
          <w:jc w:val="center"/>
        </w:trPr>
        <w:tc>
          <w:tcPr>
            <w:tcW w:w="3360" w:type="dxa"/>
          </w:tcPr>
          <w:p w14:paraId="71377349" w14:textId="77777777" w:rsidR="0013665B" w:rsidRDefault="00000000">
            <w:r>
              <w:rPr>
                <w:sz w:val="17"/>
              </w:rPr>
              <w:t>snpeff.sif</w:t>
            </w:r>
          </w:p>
        </w:tc>
        <w:tc>
          <w:tcPr>
            <w:tcW w:w="3360" w:type="dxa"/>
          </w:tcPr>
          <w:p w14:paraId="774EB2EC" w14:textId="77777777" w:rsidR="0013665B" w:rsidRDefault="00000000">
            <w:r>
              <w:rPr>
                <w:sz w:val="17"/>
              </w:rPr>
              <w:t>Independent functional consequence annotation</w:t>
            </w:r>
          </w:p>
        </w:tc>
        <w:tc>
          <w:tcPr>
            <w:tcW w:w="3360" w:type="dxa"/>
          </w:tcPr>
          <w:p w14:paraId="21330E3C" w14:textId="77777777" w:rsidR="0013665B" w:rsidRDefault="00000000">
            <w:r>
              <w:rPr>
                <w:sz w:val="17"/>
              </w:rPr>
              <w:t>SnpEff and GRCh38 MANE database</w:t>
            </w:r>
          </w:p>
        </w:tc>
      </w:tr>
      <w:tr w:rsidR="0013665B" w14:paraId="30BD59B4" w14:textId="77777777">
        <w:trPr>
          <w:cantSplit/>
          <w:jc w:val="center"/>
        </w:trPr>
        <w:tc>
          <w:tcPr>
            <w:tcW w:w="3360" w:type="dxa"/>
          </w:tcPr>
          <w:p w14:paraId="5EEF96FF" w14:textId="77777777" w:rsidR="0013665B" w:rsidRDefault="00000000">
            <w:r>
              <w:rPr>
                <w:sz w:val="17"/>
              </w:rPr>
              <w:t>spliceai.sif</w:t>
            </w:r>
          </w:p>
        </w:tc>
        <w:tc>
          <w:tcPr>
            <w:tcW w:w="3360" w:type="dxa"/>
          </w:tcPr>
          <w:p w14:paraId="28809E36" w14:textId="77777777" w:rsidR="0013665B" w:rsidRDefault="00000000">
            <w:r>
              <w:rPr>
                <w:sz w:val="17"/>
              </w:rPr>
              <w:t>Splice-effect prediction</w:t>
            </w:r>
          </w:p>
        </w:tc>
        <w:tc>
          <w:tcPr>
            <w:tcW w:w="3360" w:type="dxa"/>
          </w:tcPr>
          <w:p w14:paraId="694254D5" w14:textId="77777777" w:rsidR="0013665B" w:rsidRDefault="00000000">
            <w:r>
              <w:rPr>
                <w:sz w:val="17"/>
              </w:rPr>
              <w:t>SpliceAI command-line program</w:t>
            </w:r>
          </w:p>
        </w:tc>
      </w:tr>
      <w:tr w:rsidR="0013665B" w14:paraId="488E9277" w14:textId="77777777">
        <w:trPr>
          <w:cantSplit/>
          <w:jc w:val="center"/>
        </w:trPr>
        <w:tc>
          <w:tcPr>
            <w:tcW w:w="3360" w:type="dxa"/>
          </w:tcPr>
          <w:p w14:paraId="6B271E90" w14:textId="77777777" w:rsidR="0013665B" w:rsidRDefault="00000000">
            <w:r>
              <w:rPr>
                <w:sz w:val="17"/>
              </w:rPr>
              <w:t>annotsv.sif</w:t>
            </w:r>
          </w:p>
        </w:tc>
        <w:tc>
          <w:tcPr>
            <w:tcW w:w="3360" w:type="dxa"/>
          </w:tcPr>
          <w:p w14:paraId="56CC61CA" w14:textId="77777777" w:rsidR="0013665B" w:rsidRDefault="00000000">
            <w:r>
              <w:rPr>
                <w:sz w:val="17"/>
              </w:rPr>
              <w:t>CNV annotation</w:t>
            </w:r>
          </w:p>
        </w:tc>
        <w:tc>
          <w:tcPr>
            <w:tcW w:w="3360" w:type="dxa"/>
          </w:tcPr>
          <w:p w14:paraId="79D05660" w14:textId="77777777" w:rsidR="0013665B" w:rsidRDefault="00000000">
            <w:r>
              <w:rPr>
                <w:sz w:val="17"/>
              </w:rPr>
              <w:t>AnnotSV 3.5.10</w:t>
            </w:r>
          </w:p>
        </w:tc>
      </w:tr>
      <w:tr w:rsidR="0013665B" w14:paraId="3F90CF12" w14:textId="77777777">
        <w:trPr>
          <w:cantSplit/>
          <w:jc w:val="center"/>
        </w:trPr>
        <w:tc>
          <w:tcPr>
            <w:tcW w:w="3360" w:type="dxa"/>
          </w:tcPr>
          <w:p w14:paraId="2095C729" w14:textId="77777777" w:rsidR="0013665B" w:rsidRDefault="00000000">
            <w:r>
              <w:rPr>
                <w:sz w:val="17"/>
              </w:rPr>
              <w:t>isv.sif</w:t>
            </w:r>
          </w:p>
        </w:tc>
        <w:tc>
          <w:tcPr>
            <w:tcW w:w="3360" w:type="dxa"/>
          </w:tcPr>
          <w:p w14:paraId="2D0620E6" w14:textId="04F90832" w:rsidR="0013665B" w:rsidRDefault="00000000">
            <w:r>
              <w:rPr>
                <w:sz w:val="17"/>
              </w:rPr>
              <w:t>CNV machine-learning prediction</w:t>
            </w:r>
          </w:p>
        </w:tc>
        <w:tc>
          <w:tcPr>
            <w:tcW w:w="3360" w:type="dxa"/>
          </w:tcPr>
          <w:p w14:paraId="5F28E973" w14:textId="77777777" w:rsidR="0013665B" w:rsidRDefault="00000000">
            <w:r>
              <w:rPr>
                <w:sz w:val="17"/>
              </w:rPr>
              <w:t>ISV 0.3.16 with pinned compatible scientific stack</w:t>
            </w:r>
          </w:p>
        </w:tc>
      </w:tr>
    </w:tbl>
    <w:p w14:paraId="3164CDC4" w14:textId="77777777" w:rsidR="0013665B" w:rsidRDefault="0013665B">
      <w:pPr>
        <w:spacing w:after="0"/>
      </w:pPr>
    </w:p>
    <w:p w14:paraId="0336A515" w14:textId="77777777" w:rsidR="0013665B" w:rsidRDefault="00000000">
      <w:pPr>
        <w:keepNext/>
      </w:pPr>
      <w:r>
        <w:rPr>
          <w:b/>
          <w:color w:val="1F4E79"/>
          <w:sz w:val="21"/>
        </w:rPr>
        <w:t>Figure 2. Tool and container confirmation</w:t>
      </w:r>
    </w:p>
    <w:tbl>
      <w:tblPr>
        <w:tblW w:w="0" w:type="auto"/>
        <w:jc w:val="center"/>
        <w:tblLook w:val="04A0" w:firstRow="1" w:lastRow="0" w:firstColumn="1" w:lastColumn="0" w:noHBand="0" w:noVBand="1"/>
      </w:tblPr>
      <w:tblGrid>
        <w:gridCol w:w="9000"/>
      </w:tblGrid>
      <w:tr w:rsidR="0013665B" w14:paraId="29D631BE" w14:textId="77777777">
        <w:trPr>
          <w:trHeight w:val="1900"/>
          <w:jc w:val="center"/>
        </w:trPr>
        <w:tc>
          <w:tcPr>
            <w:tcW w:w="9000" w:type="dxa"/>
            <w:tcBorders>
              <w:top w:val="dashed" w:sz="10" w:space="0" w:color="8A8A8A"/>
              <w:left w:val="dashed" w:sz="10" w:space="0" w:color="8A8A8A"/>
              <w:bottom w:val="dashed" w:sz="10" w:space="0" w:color="8A8A8A"/>
              <w:right w:val="dashed" w:sz="10" w:space="0" w:color="8A8A8A"/>
            </w:tcBorders>
            <w:shd w:val="clear" w:color="auto" w:fill="F7F7F7"/>
            <w:vAlign w:val="center"/>
          </w:tcPr>
          <w:p w14:paraId="44D7E76E" w14:textId="2CB1520F" w:rsidR="0013665B" w:rsidRDefault="00DF6FE4" w:rsidP="000A24BB">
            <w:pPr>
              <w:jc w:val="center"/>
            </w:pPr>
            <w:r w:rsidRPr="00DF6FE4">
              <w:rPr>
                <w:b/>
                <w:noProof/>
                <w:sz w:val="18"/>
              </w:rPr>
              <w:drawing>
                <wp:anchor distT="0" distB="0" distL="114300" distR="114300" simplePos="0" relativeHeight="251633664" behindDoc="0" locked="0" layoutInCell="1" allowOverlap="1" wp14:anchorId="7290CCB6" wp14:editId="35404EE3">
                  <wp:simplePos x="0" y="0"/>
                  <wp:positionH relativeFrom="column">
                    <wp:posOffset>-80010</wp:posOffset>
                  </wp:positionH>
                  <wp:positionV relativeFrom="paragraph">
                    <wp:posOffset>-40005</wp:posOffset>
                  </wp:positionV>
                  <wp:extent cx="5753100" cy="1238250"/>
                  <wp:effectExtent l="0" t="0" r="0" b="0"/>
                  <wp:wrapNone/>
                  <wp:docPr id="29606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60484" name=""/>
                          <pic:cNvPicPr/>
                        </pic:nvPicPr>
                        <pic:blipFill>
                          <a:blip r:embed="rId9"/>
                          <a:stretch>
                            <a:fillRect/>
                          </a:stretch>
                        </pic:blipFill>
                        <pic:spPr>
                          <a:xfrm>
                            <a:off x="0" y="0"/>
                            <a:ext cx="5753100" cy="1238250"/>
                          </a:xfrm>
                          <a:prstGeom prst="rect">
                            <a:avLst/>
                          </a:prstGeom>
                        </pic:spPr>
                      </pic:pic>
                    </a:graphicData>
                  </a:graphic>
                  <wp14:sizeRelH relativeFrom="margin">
                    <wp14:pctWidth>0</wp14:pctWidth>
                  </wp14:sizeRelH>
                  <wp14:sizeRelV relativeFrom="margin">
                    <wp14:pctHeight>0</wp14:pctHeight>
                  </wp14:sizeRelV>
                </wp:anchor>
              </w:drawing>
            </w:r>
          </w:p>
        </w:tc>
      </w:tr>
    </w:tbl>
    <w:p w14:paraId="002897E6" w14:textId="77777777" w:rsidR="0013665B" w:rsidRDefault="0013665B">
      <w:pPr>
        <w:spacing w:after="0"/>
      </w:pPr>
    </w:p>
    <w:p w14:paraId="3057F6BF" w14:textId="77777777" w:rsidR="0013665B" w:rsidRDefault="00000000">
      <w:pPr>
        <w:pStyle w:val="Heading1"/>
      </w:pPr>
      <w:r>
        <w:t>7. Step 3 - Prepare the GRCh38 Reference Genome</w:t>
      </w:r>
    </w:p>
    <w:p w14:paraId="39A1CCF6" w14:textId="77777777" w:rsidR="0013665B" w:rsidRDefault="00000000">
      <w:r>
        <w:t>The reference FASTA is required by normalization, VEP, and SpliceAI. The .fai index allows rapid chromosome access.</w:t>
      </w:r>
    </w:p>
    <w:tbl>
      <w:tblPr>
        <w:tblW w:w="0" w:type="auto"/>
        <w:jc w:val="center"/>
        <w:tblLook w:val="04A0" w:firstRow="1" w:lastRow="0" w:firstColumn="1" w:lastColumn="0" w:noHBand="0" w:noVBand="1"/>
      </w:tblPr>
      <w:tblGrid>
        <w:gridCol w:w="10080"/>
      </w:tblGrid>
      <w:tr w:rsidR="0013665B" w14:paraId="468B9790"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0F40DDD9" w14:textId="77777777" w:rsidR="0013665B" w:rsidRDefault="00000000">
            <w:pPr>
              <w:spacing w:after="0"/>
            </w:pPr>
            <w:r>
              <w:rPr>
                <w:rFonts w:ascii="Liberation Mono" w:hAnsi="Liberation Mono"/>
                <w:sz w:val="16"/>
              </w:rPr>
              <w:t>cd ~/rare_disease_project/resources/reference</w:t>
            </w:r>
            <w:r>
              <w:br/>
            </w:r>
            <w:r>
              <w:rPr>
                <w:rFonts w:ascii="Liberation Mono" w:hAnsi="Liberation Mono"/>
                <w:sz w:val="16"/>
              </w:rPr>
              <w:t>gunzip -c hg38.fa.gz &gt; hg38.fa</w:t>
            </w:r>
            <w:r>
              <w:br/>
            </w:r>
            <w:r>
              <w:br/>
            </w:r>
            <w:r>
              <w:rPr>
                <w:rFonts w:ascii="Liberation Mono" w:hAnsi="Liberation Mono"/>
                <w:sz w:val="16"/>
              </w:rPr>
              <w:t>apptainer exec   --bind ~/rare_disease_project:/project   ~/rare_disease_project/containers/core_tools.sif   samtools faidx /project/resources/reference/hg38.fa</w:t>
            </w:r>
            <w:r>
              <w:br/>
            </w:r>
            <w:r>
              <w:br/>
            </w:r>
            <w:r>
              <w:rPr>
                <w:rFonts w:ascii="Liberation Mono" w:hAnsi="Liberation Mono"/>
                <w:sz w:val="16"/>
              </w:rPr>
              <w:t>ls -lh hg38.fa hg38.fa.fai</w:t>
            </w:r>
          </w:p>
        </w:tc>
      </w:tr>
    </w:tbl>
    <w:p w14:paraId="74423EF5" w14:textId="77777777" w:rsidR="0013665B" w:rsidRDefault="0013665B">
      <w:pPr>
        <w:spacing w:after="0"/>
      </w:pPr>
    </w:p>
    <w:tbl>
      <w:tblPr>
        <w:tblW w:w="0" w:type="auto"/>
        <w:jc w:val="center"/>
        <w:tblLook w:val="04A0" w:firstRow="1" w:lastRow="0" w:firstColumn="1" w:lastColumn="0" w:noHBand="0" w:noVBand="1"/>
      </w:tblPr>
      <w:tblGrid>
        <w:gridCol w:w="10080"/>
      </w:tblGrid>
      <w:tr w:rsidR="0013665B" w14:paraId="4F928684" w14:textId="77777777">
        <w:trPr>
          <w:jc w:val="center"/>
        </w:trPr>
        <w:tc>
          <w:tcPr>
            <w:tcW w:w="10080" w:type="dxa"/>
            <w:tcBorders>
              <w:top w:val="single" w:sz="8" w:space="0" w:color="5B9BD5"/>
              <w:left w:val="single" w:sz="8" w:space="0" w:color="5B9BD5"/>
              <w:bottom w:val="single" w:sz="8" w:space="0" w:color="5B9BD5"/>
              <w:right w:val="single" w:sz="8" w:space="0" w:color="5B9BD5"/>
            </w:tcBorders>
            <w:shd w:val="clear" w:color="auto" w:fill="EAF2F8"/>
          </w:tcPr>
          <w:p w14:paraId="2C76406E" w14:textId="77777777" w:rsidR="0013665B" w:rsidRDefault="00000000">
            <w:r>
              <w:rPr>
                <w:b/>
                <w:sz w:val="19"/>
              </w:rPr>
              <w:t xml:space="preserve">Do not upload to GitHub: </w:t>
            </w:r>
            <w:r>
              <w:rPr>
                <w:sz w:val="19"/>
              </w:rPr>
              <w:t>The full GRCh38 FASTA and index are external resources, not project source files. Document their source and expected paths instead.</w:t>
            </w:r>
          </w:p>
        </w:tc>
      </w:tr>
    </w:tbl>
    <w:p w14:paraId="433F4587" w14:textId="77777777" w:rsidR="0013665B" w:rsidRDefault="00000000">
      <w:pPr>
        <w:pStyle w:val="Heading1"/>
      </w:pPr>
      <w:r>
        <w:t>8. Step 4 - Arrange and Validate the Unannotated Inputs</w:t>
      </w:r>
    </w:p>
    <w:p w14:paraId="6D5B2222" w14:textId="77777777" w:rsidR="0013665B" w:rsidRDefault="00000000">
      <w:r>
        <w:t>Each disease requires one unannotated small-variant VCF and one CNV file. CNV VCFs were converted into four-column BED files because AnnotSV, ClassifyCNV, and ISV-CNV were run from the same standardized CNV representation.</w:t>
      </w:r>
    </w:p>
    <w:p w14:paraId="5C39673D" w14:textId="77777777" w:rsidR="0013665B" w:rsidRDefault="00000000">
      <w:pPr>
        <w:pStyle w:val="Heading2"/>
      </w:pPr>
      <w:r>
        <w:t>8.1 Convert CNV VCF to BED</w:t>
      </w:r>
    </w:p>
    <w:tbl>
      <w:tblPr>
        <w:tblW w:w="0" w:type="auto"/>
        <w:jc w:val="center"/>
        <w:tblLook w:val="04A0" w:firstRow="1" w:lastRow="0" w:firstColumn="1" w:lastColumn="0" w:noHBand="0" w:noVBand="1"/>
      </w:tblPr>
      <w:tblGrid>
        <w:gridCol w:w="10080"/>
      </w:tblGrid>
      <w:tr w:rsidR="0013665B" w14:paraId="5AEBDEE0"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213A76CA" w14:textId="77777777" w:rsidR="0013665B" w:rsidRDefault="00000000">
            <w:pPr>
              <w:spacing w:after="0"/>
            </w:pPr>
            <w:r>
              <w:rPr>
                <w:rFonts w:ascii="Liberation Mono" w:hAnsi="Liberation Mono"/>
                <w:sz w:val="16"/>
              </w:rPr>
              <w:t>cd ~/rare_disease_project/input/cnv</w:t>
            </w:r>
            <w:r>
              <w:br/>
            </w:r>
            <w:r>
              <w:br/>
            </w:r>
            <w:r>
              <w:rPr>
                <w:rFonts w:ascii="Liberation Mono" w:hAnsi="Liberation Mono"/>
                <w:sz w:val="16"/>
              </w:rPr>
              <w:t>for vcf in *.cnvs.vcf</w:t>
            </w:r>
            <w:r>
              <w:br/>
            </w:r>
            <w:r>
              <w:rPr>
                <w:rFonts w:ascii="Liberation Mono" w:hAnsi="Liberation Mono"/>
                <w:sz w:val="16"/>
              </w:rPr>
              <w:t>do</w:t>
            </w:r>
            <w:r>
              <w:br/>
            </w:r>
            <w:r>
              <w:rPr>
                <w:rFonts w:ascii="Liberation Mono" w:hAnsi="Liberation Mono"/>
                <w:sz w:val="16"/>
              </w:rPr>
              <w:t xml:space="preserve">    bed="${vcf%.vcf}.bed"</w:t>
            </w:r>
            <w:r>
              <w:br/>
            </w:r>
            <w:r>
              <w:br/>
            </w:r>
            <w:r>
              <w:rPr>
                <w:rFonts w:ascii="Liberation Mono" w:hAnsi="Liberation Mono"/>
                <w:sz w:val="16"/>
              </w:rPr>
              <w:t xml:space="preserve">    apptainer exec       --bind ~/rare_disease_project:/project       ~/rare_disease_project/containers/core_tools.sif       bcftools query       -f '%CHROM\t%POS0\t%END\t%INFO/SVTYPE\n'       "/project/input/cnv/$vcf"     | awk 'BEGIN{OFS="\t"}</w:t>
            </w:r>
            <w:r>
              <w:br/>
            </w:r>
            <w:r>
              <w:rPr>
                <w:rFonts w:ascii="Liberation Mono" w:hAnsi="Liberation Mono"/>
                <w:sz w:val="16"/>
              </w:rPr>
              <w:t xml:space="preserve">           {</w:t>
            </w:r>
            <w:r>
              <w:br/>
            </w:r>
            <w:r>
              <w:rPr>
                <w:rFonts w:ascii="Liberation Mono" w:hAnsi="Liberation Mono"/>
                <w:sz w:val="16"/>
              </w:rPr>
              <w:t xml:space="preserve">               if ($1 !~ /^chr/) $1="chr"$1</w:t>
            </w:r>
            <w:r>
              <w:br/>
            </w:r>
            <w:r>
              <w:rPr>
                <w:rFonts w:ascii="Liberation Mono" w:hAnsi="Liberation Mono"/>
                <w:sz w:val="16"/>
              </w:rPr>
              <w:t xml:space="preserve">               if ($4=="DEL" || $4=="DUP")</w:t>
            </w:r>
            <w:r>
              <w:br/>
            </w:r>
            <w:r>
              <w:rPr>
                <w:rFonts w:ascii="Liberation Mono" w:hAnsi="Liberation Mono"/>
                <w:sz w:val="16"/>
              </w:rPr>
              <w:t xml:space="preserve">                   print $1,$2,$3,$4</w:t>
            </w:r>
            <w:r>
              <w:br/>
            </w:r>
            <w:r>
              <w:rPr>
                <w:rFonts w:ascii="Liberation Mono" w:hAnsi="Liberation Mono"/>
                <w:sz w:val="16"/>
              </w:rPr>
              <w:t xml:space="preserve">           }' &gt; "$bed"</w:t>
            </w:r>
            <w:r>
              <w:br/>
            </w:r>
            <w:r>
              <w:rPr>
                <w:rFonts w:ascii="Liberation Mono" w:hAnsi="Liberation Mono"/>
                <w:sz w:val="16"/>
              </w:rPr>
              <w:t>done</w:t>
            </w:r>
          </w:p>
        </w:tc>
      </w:tr>
    </w:tbl>
    <w:p w14:paraId="25D219C2" w14:textId="77777777" w:rsidR="0013665B" w:rsidRDefault="0013665B">
      <w:pPr>
        <w:spacing w:after="0"/>
      </w:pPr>
    </w:p>
    <w:p w14:paraId="0832EDEA" w14:textId="77777777" w:rsidR="0013665B" w:rsidRDefault="00000000">
      <w:r>
        <w:t>The BED columns are chromosome, zero-based start, end, and CNV type. Only DEL and DUP records are retained.</w:t>
      </w:r>
    </w:p>
    <w:p w14:paraId="24DDD398" w14:textId="77777777" w:rsidR="0013665B" w:rsidRDefault="00000000">
      <w:pPr>
        <w:pStyle w:val="Heading2"/>
      </w:pPr>
      <w:r>
        <w:t>8.2 Validate SNV and CNV inputs</w:t>
      </w:r>
    </w:p>
    <w:tbl>
      <w:tblPr>
        <w:tblW w:w="0" w:type="auto"/>
        <w:jc w:val="center"/>
        <w:tblLook w:val="04A0" w:firstRow="1" w:lastRow="0" w:firstColumn="1" w:lastColumn="0" w:noHBand="0" w:noVBand="1"/>
      </w:tblPr>
      <w:tblGrid>
        <w:gridCol w:w="10080"/>
      </w:tblGrid>
      <w:tr w:rsidR="0013665B" w14:paraId="63C165AA"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6D0B40CA" w14:textId="77777777" w:rsidR="0013665B" w:rsidRDefault="00000000">
            <w:pPr>
              <w:spacing w:after="0"/>
            </w:pPr>
            <w:r>
              <w:rPr>
                <w:rFonts w:ascii="Liberation Mono" w:hAnsi="Liberation Mono"/>
                <w:sz w:val="16"/>
              </w:rPr>
              <w:t>for disease in fabry monilethrix ais nf1</w:t>
            </w:r>
            <w:r>
              <w:br/>
            </w:r>
            <w:r>
              <w:rPr>
                <w:rFonts w:ascii="Liberation Mono" w:hAnsi="Liberation Mono"/>
                <w:sz w:val="16"/>
              </w:rPr>
              <w:t>do</w:t>
            </w:r>
            <w:r>
              <w:br/>
            </w:r>
            <w:r>
              <w:rPr>
                <w:rFonts w:ascii="Liberation Mono" w:hAnsi="Liberation Mono"/>
                <w:sz w:val="16"/>
              </w:rPr>
              <w:t xml:space="preserve">    test -s "input/small_variants/${disease}.small_variants.vcf" || echo "Missing SNV: $disease"</w:t>
            </w:r>
            <w:r>
              <w:br/>
            </w:r>
            <w:r>
              <w:rPr>
                <w:rFonts w:ascii="Liberation Mono" w:hAnsi="Liberation Mono"/>
                <w:sz w:val="16"/>
              </w:rPr>
              <w:t xml:space="preserve">    test -s "input/cnv/${disease}.cnvs.bed" || echo "Missing CNV: $disease"</w:t>
            </w:r>
            <w:r>
              <w:br/>
            </w:r>
            <w:r>
              <w:rPr>
                <w:rFonts w:ascii="Liberation Mono" w:hAnsi="Liberation Mono"/>
                <w:sz w:val="16"/>
              </w:rPr>
              <w:t>done</w:t>
            </w:r>
          </w:p>
        </w:tc>
      </w:tr>
    </w:tbl>
    <w:p w14:paraId="0D661456" w14:textId="77777777" w:rsidR="0013665B" w:rsidRDefault="0013665B">
      <w:pPr>
        <w:spacing w:after="0"/>
      </w:pPr>
    </w:p>
    <w:tbl>
      <w:tblPr>
        <w:tblW w:w="0" w:type="auto"/>
        <w:jc w:val="center"/>
        <w:tblLook w:val="04A0" w:firstRow="1" w:lastRow="0" w:firstColumn="1" w:lastColumn="0" w:noHBand="0" w:noVBand="1"/>
      </w:tblPr>
      <w:tblGrid>
        <w:gridCol w:w="10080"/>
      </w:tblGrid>
      <w:tr w:rsidR="0013665B" w14:paraId="0D3CFB0C" w14:textId="77777777">
        <w:trPr>
          <w:jc w:val="center"/>
        </w:trPr>
        <w:tc>
          <w:tcPr>
            <w:tcW w:w="10080" w:type="dxa"/>
            <w:tcBorders>
              <w:top w:val="single" w:sz="8" w:space="0" w:color="5B9BD5"/>
              <w:left w:val="single" w:sz="8" w:space="0" w:color="5B9BD5"/>
              <w:bottom w:val="single" w:sz="8" w:space="0" w:color="5B9BD5"/>
              <w:right w:val="single" w:sz="8" w:space="0" w:color="5B9BD5"/>
            </w:tcBorders>
            <w:shd w:val="clear" w:color="auto" w:fill="EAF2F8"/>
          </w:tcPr>
          <w:p w14:paraId="2026D819" w14:textId="77777777" w:rsidR="0013665B" w:rsidRDefault="00000000">
            <w:r>
              <w:rPr>
                <w:b/>
                <w:sz w:val="19"/>
              </w:rPr>
              <w:t xml:space="preserve">Windows metadata: </w:t>
            </w:r>
            <w:r>
              <w:rPr>
                <w:sz w:val="19"/>
              </w:rPr>
              <w:t>Files ending in :Zone.Identifier are Windows metadata and were removed with rm -f -- *:Zone.Identifier. They are not biological inputs.</w:t>
            </w:r>
          </w:p>
        </w:tc>
      </w:tr>
    </w:tbl>
    <w:p w14:paraId="7777A52B" w14:textId="782A8D45" w:rsidR="0013665B" w:rsidRDefault="00000000">
      <w:pPr>
        <w:keepNext/>
      </w:pPr>
      <w:r>
        <w:rPr>
          <w:b/>
          <w:color w:val="1F4E79"/>
          <w:sz w:val="21"/>
        </w:rPr>
        <w:t>Figure 3. Validated disease input pairs</w:t>
      </w:r>
    </w:p>
    <w:tbl>
      <w:tblPr>
        <w:tblW w:w="0" w:type="auto"/>
        <w:jc w:val="center"/>
        <w:tblLook w:val="04A0" w:firstRow="1" w:lastRow="0" w:firstColumn="1" w:lastColumn="0" w:noHBand="0" w:noVBand="1"/>
      </w:tblPr>
      <w:tblGrid>
        <w:gridCol w:w="9000"/>
      </w:tblGrid>
      <w:tr w:rsidR="0013665B" w14:paraId="250B4B7F" w14:textId="77777777">
        <w:trPr>
          <w:trHeight w:val="1700"/>
          <w:jc w:val="center"/>
        </w:trPr>
        <w:tc>
          <w:tcPr>
            <w:tcW w:w="9000" w:type="dxa"/>
            <w:tcBorders>
              <w:top w:val="dashed" w:sz="10" w:space="0" w:color="8A8A8A"/>
              <w:left w:val="dashed" w:sz="10" w:space="0" w:color="8A8A8A"/>
              <w:bottom w:val="dashed" w:sz="10" w:space="0" w:color="8A8A8A"/>
              <w:right w:val="dashed" w:sz="10" w:space="0" w:color="8A8A8A"/>
            </w:tcBorders>
            <w:shd w:val="clear" w:color="auto" w:fill="F7F7F7"/>
            <w:vAlign w:val="center"/>
          </w:tcPr>
          <w:p w14:paraId="0D0F7515" w14:textId="102DA07D" w:rsidR="0013665B" w:rsidRDefault="00DF6FE4" w:rsidP="000A24BB">
            <w:pPr>
              <w:jc w:val="center"/>
            </w:pPr>
            <w:r w:rsidRPr="00DF6FE4">
              <w:rPr>
                <w:rFonts w:ascii="Liberation Mono" w:hAnsi="Liberation Mono"/>
                <w:noProof/>
                <w:sz w:val="16"/>
              </w:rPr>
              <w:drawing>
                <wp:anchor distT="0" distB="0" distL="114300" distR="114300" simplePos="0" relativeHeight="251634688" behindDoc="0" locked="0" layoutInCell="1" allowOverlap="1" wp14:anchorId="0004684E" wp14:editId="0F46E75A">
                  <wp:simplePos x="0" y="0"/>
                  <wp:positionH relativeFrom="column">
                    <wp:posOffset>-67310</wp:posOffset>
                  </wp:positionH>
                  <wp:positionV relativeFrom="paragraph">
                    <wp:posOffset>-6985</wp:posOffset>
                  </wp:positionV>
                  <wp:extent cx="5715000" cy="1111250"/>
                  <wp:effectExtent l="0" t="0" r="0" b="0"/>
                  <wp:wrapNone/>
                  <wp:docPr id="78923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36331" name=""/>
                          <pic:cNvPicPr/>
                        </pic:nvPicPr>
                        <pic:blipFill>
                          <a:blip r:embed="rId10"/>
                          <a:stretch>
                            <a:fillRect/>
                          </a:stretch>
                        </pic:blipFill>
                        <pic:spPr>
                          <a:xfrm>
                            <a:off x="0" y="0"/>
                            <a:ext cx="5715000" cy="1111250"/>
                          </a:xfrm>
                          <a:prstGeom prst="rect">
                            <a:avLst/>
                          </a:prstGeom>
                        </pic:spPr>
                      </pic:pic>
                    </a:graphicData>
                  </a:graphic>
                  <wp14:sizeRelH relativeFrom="margin">
                    <wp14:pctWidth>0</wp14:pctWidth>
                  </wp14:sizeRelH>
                  <wp14:sizeRelV relativeFrom="margin">
                    <wp14:pctHeight>0</wp14:pctHeight>
                  </wp14:sizeRelV>
                </wp:anchor>
              </w:drawing>
            </w:r>
          </w:p>
        </w:tc>
      </w:tr>
    </w:tbl>
    <w:p w14:paraId="727F3D3E" w14:textId="77777777" w:rsidR="0013665B" w:rsidRDefault="00000000">
      <w:pPr>
        <w:pStyle w:val="Heading1"/>
      </w:pPr>
      <w:r>
        <w:t>9. Step 5 - Create the Disease-Specific Automated Script</w:t>
      </w:r>
    </w:p>
    <w:p w14:paraId="165D66C4" w14:textId="77777777" w:rsidR="0013665B" w:rsidRDefault="00000000">
      <w:r>
        <w:t>The main script accepts one lowercase disease base name, validates the paired inputs, creates disease-specific result folders, and runs the SNV and CNV branches.</w:t>
      </w:r>
    </w:p>
    <w:tbl>
      <w:tblPr>
        <w:tblW w:w="0" w:type="auto"/>
        <w:jc w:val="center"/>
        <w:tblLook w:val="04A0" w:firstRow="1" w:lastRow="0" w:firstColumn="1" w:lastColumn="0" w:noHBand="0" w:noVBand="1"/>
      </w:tblPr>
      <w:tblGrid>
        <w:gridCol w:w="10080"/>
      </w:tblGrid>
      <w:tr w:rsidR="0013665B" w14:paraId="57DAEC92"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183C2EC5" w14:textId="77777777" w:rsidR="0013665B" w:rsidRDefault="00000000">
            <w:pPr>
              <w:spacing w:after="0"/>
            </w:pPr>
            <w:r>
              <w:rPr>
                <w:rFonts w:ascii="Liberation Mono" w:hAnsi="Liberation Mono"/>
                <w:sz w:val="16"/>
              </w:rPr>
              <w:t>bash pipeline/run_disease_pipeline.sh fabry</w:t>
            </w:r>
          </w:p>
        </w:tc>
      </w:tr>
    </w:tbl>
    <w:p w14:paraId="04B26EF1" w14:textId="77777777" w:rsidR="0013665B" w:rsidRDefault="0013665B">
      <w:pPr>
        <w:spacing w:after="0"/>
      </w:pPr>
    </w:p>
    <w:tbl>
      <w:tblPr>
        <w:tblW w:w="0" w:type="auto"/>
        <w:jc w:val="center"/>
        <w:tblLook w:val="04A0" w:firstRow="1" w:lastRow="0" w:firstColumn="1" w:lastColumn="0" w:noHBand="0" w:noVBand="1"/>
      </w:tblPr>
      <w:tblGrid>
        <w:gridCol w:w="10080"/>
      </w:tblGrid>
      <w:tr w:rsidR="0013665B" w14:paraId="356F2820"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4C56B51E" w14:textId="77777777" w:rsidR="0013665B" w:rsidRDefault="00000000">
            <w:pPr>
              <w:spacing w:after="0"/>
            </w:pPr>
            <w:r>
              <w:rPr>
                <w:rFonts w:ascii="Liberation Mono" w:hAnsi="Liberation Mono"/>
                <w:sz w:val="16"/>
              </w:rPr>
              <w:t>#!/usr/bin/env bash</w:t>
            </w:r>
            <w:r>
              <w:br/>
            </w:r>
            <w:r>
              <w:rPr>
                <w:rFonts w:ascii="Liberation Mono" w:hAnsi="Liberation Mono"/>
                <w:sz w:val="16"/>
              </w:rPr>
              <w:t>set -Eeuo pipefail</w:t>
            </w:r>
            <w:r>
              <w:br/>
            </w:r>
            <w:r>
              <w:rPr>
                <w:rFonts w:ascii="Liberation Mono" w:hAnsi="Liberation Mono"/>
                <w:sz w:val="16"/>
              </w:rPr>
              <w:t>IFS=$'\n\t'</w:t>
            </w:r>
            <w:r>
              <w:br/>
            </w:r>
            <w:r>
              <w:br/>
            </w:r>
            <w:r>
              <w:rPr>
                <w:rFonts w:ascii="Liberation Mono" w:hAnsi="Liberation Mono"/>
                <w:sz w:val="16"/>
              </w:rPr>
              <w:lastRenderedPageBreak/>
              <w:t>SCRIPT_DIR="$(cd -- "$(dirname -- "${BASH_SOURCE[0]}")" &amp;&amp; pwd)"</w:t>
            </w:r>
            <w:r>
              <w:br/>
            </w:r>
            <w:r>
              <w:rPr>
                <w:rFonts w:ascii="Liberation Mono" w:hAnsi="Liberation Mono"/>
                <w:sz w:val="16"/>
              </w:rPr>
              <w:t>PROJECT_ROOT="$(dirname "$SCRIPT_DIR")"</w:t>
            </w:r>
            <w:r>
              <w:br/>
            </w:r>
            <w:r>
              <w:rPr>
                <w:rFonts w:ascii="Liberation Mono" w:hAnsi="Liberation Mono"/>
                <w:sz w:val="16"/>
              </w:rPr>
              <w:t>DISEASE="${1:-}"</w:t>
            </w:r>
            <w:r>
              <w:br/>
            </w:r>
            <w:r>
              <w:br/>
            </w:r>
            <w:r>
              <w:rPr>
                <w:rFonts w:ascii="Liberation Mono" w:hAnsi="Liberation Mono"/>
                <w:sz w:val="16"/>
              </w:rPr>
              <w:t>SNV_INPUT="$PROJECT_ROOT/input/small_variants/${DISEASE}.small_variants.vcf"</w:t>
            </w:r>
            <w:r>
              <w:br/>
            </w:r>
            <w:r>
              <w:rPr>
                <w:rFonts w:ascii="Liberation Mono" w:hAnsi="Liberation Mono"/>
                <w:sz w:val="16"/>
              </w:rPr>
              <w:t>CNV_INPUT="$PROJECT_ROOT/input/cnv/${DISEASE}.cnvs.bed"</w:t>
            </w:r>
            <w:r>
              <w:br/>
            </w:r>
            <w:r>
              <w:rPr>
                <w:rFonts w:ascii="Liberation Mono" w:hAnsi="Liberation Mono"/>
                <w:sz w:val="16"/>
              </w:rPr>
              <w:t>OUTDIR="$PROJECT_ROOT/results/${DISEASE}"</w:t>
            </w:r>
            <w:r>
              <w:br/>
            </w:r>
            <w:r>
              <w:br/>
            </w:r>
            <w:r>
              <w:rPr>
                <w:rFonts w:ascii="Liberation Mono" w:hAnsi="Liberation Mono"/>
                <w:sz w:val="16"/>
              </w:rPr>
              <w:t>mkdir -p "$OUTDIR"/{snv,cnv,work,logs,final}</w:t>
            </w:r>
          </w:p>
        </w:tc>
      </w:tr>
    </w:tbl>
    <w:p w14:paraId="04632081" w14:textId="77777777" w:rsidR="0013665B" w:rsidRDefault="0013665B">
      <w:pPr>
        <w:spacing w:after="0"/>
      </w:pPr>
    </w:p>
    <w:p w14:paraId="69E2B646" w14:textId="77777777" w:rsidR="0013665B" w:rsidRDefault="00000000">
      <w:r>
        <w:t>set -Eeuo pipefail makes the pipeline stop on errors, undefined variables, and failures inside pipelines. This prevents a failed annotation stage from being hidden.</w:t>
      </w:r>
    </w:p>
    <w:p w14:paraId="39778B39" w14:textId="77777777" w:rsidR="0013665B" w:rsidRDefault="00000000">
      <w:pPr>
        <w:pStyle w:val="Heading1"/>
      </w:pPr>
      <w:r>
        <w:t>10. Step 6 - Normalize Small Variants with bcftools</w:t>
      </w:r>
    </w:p>
    <w:tbl>
      <w:tblPr>
        <w:tblStyle w:val="TableGrid"/>
        <w:tblW w:w="0" w:type="auto"/>
        <w:jc w:val="center"/>
        <w:tblLook w:val="04A0" w:firstRow="1" w:lastRow="0" w:firstColumn="1" w:lastColumn="0" w:noHBand="0" w:noVBand="1"/>
      </w:tblPr>
      <w:tblGrid>
        <w:gridCol w:w="5040"/>
        <w:gridCol w:w="5040"/>
      </w:tblGrid>
      <w:tr w:rsidR="0013665B" w14:paraId="7357395B" w14:textId="77777777">
        <w:trPr>
          <w:cantSplit/>
          <w:tblHeader/>
          <w:jc w:val="center"/>
        </w:trPr>
        <w:tc>
          <w:tcPr>
            <w:tcW w:w="5040" w:type="dxa"/>
            <w:shd w:val="clear" w:color="auto" w:fill="D9EAF7"/>
          </w:tcPr>
          <w:p w14:paraId="3A24E3D9" w14:textId="77777777" w:rsidR="0013665B" w:rsidRDefault="00000000">
            <w:pPr>
              <w:jc w:val="center"/>
            </w:pPr>
            <w:r>
              <w:rPr>
                <w:b/>
                <w:sz w:val="18"/>
              </w:rPr>
              <w:t>Item</w:t>
            </w:r>
          </w:p>
        </w:tc>
        <w:tc>
          <w:tcPr>
            <w:tcW w:w="5040" w:type="dxa"/>
            <w:shd w:val="clear" w:color="auto" w:fill="D9EAF7"/>
          </w:tcPr>
          <w:p w14:paraId="3445C304" w14:textId="77777777" w:rsidR="0013665B" w:rsidRDefault="00000000">
            <w:pPr>
              <w:jc w:val="center"/>
            </w:pPr>
            <w:r>
              <w:rPr>
                <w:b/>
                <w:sz w:val="18"/>
              </w:rPr>
              <w:t>Description</w:t>
            </w:r>
          </w:p>
        </w:tc>
      </w:tr>
      <w:tr w:rsidR="0013665B" w14:paraId="1F5E7951" w14:textId="77777777">
        <w:trPr>
          <w:cantSplit/>
          <w:jc w:val="center"/>
        </w:trPr>
        <w:tc>
          <w:tcPr>
            <w:tcW w:w="5040" w:type="dxa"/>
          </w:tcPr>
          <w:p w14:paraId="74404E25" w14:textId="77777777" w:rsidR="0013665B" w:rsidRDefault="00000000">
            <w:r>
              <w:rPr>
                <w:sz w:val="18"/>
              </w:rPr>
              <w:t>Input</w:t>
            </w:r>
          </w:p>
        </w:tc>
        <w:tc>
          <w:tcPr>
            <w:tcW w:w="5040" w:type="dxa"/>
          </w:tcPr>
          <w:p w14:paraId="6202C578" w14:textId="77777777" w:rsidR="0013665B" w:rsidRDefault="00000000">
            <w:r>
              <w:rPr>
                <w:sz w:val="18"/>
              </w:rPr>
              <w:t>&lt;disease&gt;.small_variants.vcf</w:t>
            </w:r>
          </w:p>
        </w:tc>
      </w:tr>
      <w:tr w:rsidR="0013665B" w14:paraId="13A7E6DE" w14:textId="77777777">
        <w:trPr>
          <w:cantSplit/>
          <w:jc w:val="center"/>
        </w:trPr>
        <w:tc>
          <w:tcPr>
            <w:tcW w:w="5040" w:type="dxa"/>
          </w:tcPr>
          <w:p w14:paraId="0660E169" w14:textId="77777777" w:rsidR="0013665B" w:rsidRDefault="00000000">
            <w:r>
              <w:rPr>
                <w:sz w:val="18"/>
              </w:rPr>
              <w:t>Purpose</w:t>
            </w:r>
          </w:p>
        </w:tc>
        <w:tc>
          <w:tcPr>
            <w:tcW w:w="5040" w:type="dxa"/>
          </w:tcPr>
          <w:p w14:paraId="4DB42979" w14:textId="77777777" w:rsidR="0013665B" w:rsidRDefault="00000000">
            <w:r>
              <w:rPr>
                <w:sz w:val="18"/>
              </w:rPr>
              <w:t>Split multiallelic records, left-align variants, verify REF bases against GRCh38, and produce a standardized compressed VCF.</w:t>
            </w:r>
          </w:p>
        </w:tc>
      </w:tr>
      <w:tr w:rsidR="0013665B" w14:paraId="435D6002" w14:textId="77777777">
        <w:trPr>
          <w:cantSplit/>
          <w:jc w:val="center"/>
        </w:trPr>
        <w:tc>
          <w:tcPr>
            <w:tcW w:w="5040" w:type="dxa"/>
          </w:tcPr>
          <w:p w14:paraId="2B50994F" w14:textId="77777777" w:rsidR="0013665B" w:rsidRDefault="00000000">
            <w:r>
              <w:rPr>
                <w:sz w:val="18"/>
              </w:rPr>
              <w:t>Key field/output</w:t>
            </w:r>
          </w:p>
        </w:tc>
        <w:tc>
          <w:tcPr>
            <w:tcW w:w="5040" w:type="dxa"/>
          </w:tcPr>
          <w:p w14:paraId="4E162A30" w14:textId="77777777" w:rsidR="0013665B" w:rsidRDefault="00000000">
            <w:r>
              <w:rPr>
                <w:sz w:val="18"/>
              </w:rPr>
              <w:t>Normalized VCF.gz plus optional .tbi index</w:t>
            </w:r>
          </w:p>
        </w:tc>
      </w:tr>
      <w:tr w:rsidR="0013665B" w14:paraId="496A88C1" w14:textId="77777777">
        <w:trPr>
          <w:cantSplit/>
          <w:jc w:val="center"/>
        </w:trPr>
        <w:tc>
          <w:tcPr>
            <w:tcW w:w="5040" w:type="dxa"/>
          </w:tcPr>
          <w:p w14:paraId="70390E21" w14:textId="77777777" w:rsidR="0013665B" w:rsidRDefault="00000000">
            <w:r>
              <w:rPr>
                <w:sz w:val="18"/>
              </w:rPr>
              <w:t>Output</w:t>
            </w:r>
          </w:p>
        </w:tc>
        <w:tc>
          <w:tcPr>
            <w:tcW w:w="5040" w:type="dxa"/>
          </w:tcPr>
          <w:p w14:paraId="57E00D49" w14:textId="77777777" w:rsidR="0013665B" w:rsidRDefault="00000000">
            <w:r>
              <w:rPr>
                <w:sz w:val="18"/>
              </w:rPr>
              <w:t>results/&lt;disease&gt;/work/&lt;disease&gt;.normalized.vcf.gz</w:t>
            </w:r>
          </w:p>
        </w:tc>
      </w:tr>
    </w:tbl>
    <w:p w14:paraId="170D28C9" w14:textId="77777777" w:rsidR="0013665B" w:rsidRDefault="0013665B">
      <w:pPr>
        <w:spacing w:after="0"/>
      </w:pPr>
    </w:p>
    <w:tbl>
      <w:tblPr>
        <w:tblW w:w="0" w:type="auto"/>
        <w:jc w:val="center"/>
        <w:tblLook w:val="04A0" w:firstRow="1" w:lastRow="0" w:firstColumn="1" w:lastColumn="0" w:noHBand="0" w:noVBand="1"/>
      </w:tblPr>
      <w:tblGrid>
        <w:gridCol w:w="10080"/>
      </w:tblGrid>
      <w:tr w:rsidR="0013665B" w14:paraId="7E2C3AFE"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6EE2643C" w14:textId="77777777" w:rsidR="0013665B" w:rsidRDefault="00000000">
            <w:pPr>
              <w:spacing w:after="0"/>
            </w:pPr>
            <w:r>
              <w:rPr>
                <w:rFonts w:ascii="Liberation Mono" w:hAnsi="Liberation Mono"/>
                <w:sz w:val="16"/>
              </w:rPr>
              <w:t>bcftools norm   -f /project/resources/reference/hg38.fa   -m -any   -c x   -Oz   -o /project/results/${DISEASE}/work/${DISEASE}.normalized.vcf.gz   /project/input/small_variants/${DISEASE}.small_variants.vcf</w:t>
            </w:r>
          </w:p>
        </w:tc>
      </w:tr>
    </w:tbl>
    <w:p w14:paraId="01E02361" w14:textId="77777777" w:rsidR="0013665B" w:rsidRDefault="0013665B">
      <w:pPr>
        <w:spacing w:after="0"/>
      </w:pPr>
    </w:p>
    <w:p w14:paraId="0EB9F285" w14:textId="77777777" w:rsidR="0013665B" w:rsidRDefault="00000000">
      <w:r>
        <w:t>The -c x option excludes records whose REF allele does not match the GRCh38 reference. In the synthetic datasets, some placeholder background variants were removed for this reason. The disease-focused variants remained present. This behavior must be disclosed rather than hidden.</w:t>
      </w:r>
    </w:p>
    <w:p w14:paraId="0E99873A" w14:textId="77777777" w:rsidR="0013665B" w:rsidRDefault="00000000">
      <w:pPr>
        <w:pStyle w:val="Heading1"/>
      </w:pPr>
      <w:r>
        <w:t>11. Step 7 - Annotate with VEP 115</w:t>
      </w:r>
    </w:p>
    <w:tbl>
      <w:tblPr>
        <w:tblStyle w:val="TableGrid"/>
        <w:tblW w:w="0" w:type="auto"/>
        <w:jc w:val="center"/>
        <w:tblLook w:val="04A0" w:firstRow="1" w:lastRow="0" w:firstColumn="1" w:lastColumn="0" w:noHBand="0" w:noVBand="1"/>
      </w:tblPr>
      <w:tblGrid>
        <w:gridCol w:w="5040"/>
        <w:gridCol w:w="5040"/>
      </w:tblGrid>
      <w:tr w:rsidR="0013665B" w14:paraId="45F66EA1" w14:textId="77777777">
        <w:trPr>
          <w:cantSplit/>
          <w:tblHeader/>
          <w:jc w:val="center"/>
        </w:trPr>
        <w:tc>
          <w:tcPr>
            <w:tcW w:w="5040" w:type="dxa"/>
            <w:shd w:val="clear" w:color="auto" w:fill="D9EAF7"/>
          </w:tcPr>
          <w:p w14:paraId="32E57B50" w14:textId="77777777" w:rsidR="0013665B" w:rsidRDefault="00000000">
            <w:pPr>
              <w:jc w:val="center"/>
            </w:pPr>
            <w:r>
              <w:rPr>
                <w:b/>
                <w:sz w:val="18"/>
              </w:rPr>
              <w:t>Item</w:t>
            </w:r>
          </w:p>
        </w:tc>
        <w:tc>
          <w:tcPr>
            <w:tcW w:w="5040" w:type="dxa"/>
            <w:shd w:val="clear" w:color="auto" w:fill="D9EAF7"/>
          </w:tcPr>
          <w:p w14:paraId="28B86B3B" w14:textId="77777777" w:rsidR="0013665B" w:rsidRDefault="00000000">
            <w:pPr>
              <w:jc w:val="center"/>
            </w:pPr>
            <w:r>
              <w:rPr>
                <w:b/>
                <w:sz w:val="18"/>
              </w:rPr>
              <w:t>Description</w:t>
            </w:r>
          </w:p>
        </w:tc>
      </w:tr>
      <w:tr w:rsidR="0013665B" w14:paraId="3D8E11ED" w14:textId="77777777">
        <w:trPr>
          <w:cantSplit/>
          <w:jc w:val="center"/>
        </w:trPr>
        <w:tc>
          <w:tcPr>
            <w:tcW w:w="5040" w:type="dxa"/>
          </w:tcPr>
          <w:p w14:paraId="19FEF92C" w14:textId="77777777" w:rsidR="0013665B" w:rsidRDefault="00000000">
            <w:r>
              <w:rPr>
                <w:sz w:val="18"/>
              </w:rPr>
              <w:t>Input</w:t>
            </w:r>
          </w:p>
        </w:tc>
        <w:tc>
          <w:tcPr>
            <w:tcW w:w="5040" w:type="dxa"/>
          </w:tcPr>
          <w:p w14:paraId="65A9C8ED" w14:textId="77777777" w:rsidR="0013665B" w:rsidRDefault="00000000">
            <w:r>
              <w:rPr>
                <w:sz w:val="18"/>
              </w:rPr>
              <w:t>Normalized VCF.gz</w:t>
            </w:r>
          </w:p>
        </w:tc>
      </w:tr>
      <w:tr w:rsidR="0013665B" w14:paraId="3318F9BB" w14:textId="77777777">
        <w:trPr>
          <w:cantSplit/>
          <w:jc w:val="center"/>
        </w:trPr>
        <w:tc>
          <w:tcPr>
            <w:tcW w:w="5040" w:type="dxa"/>
          </w:tcPr>
          <w:p w14:paraId="0E52852C" w14:textId="77777777" w:rsidR="0013665B" w:rsidRDefault="00000000">
            <w:r>
              <w:rPr>
                <w:sz w:val="18"/>
              </w:rPr>
              <w:t>Purpose</w:t>
            </w:r>
          </w:p>
        </w:tc>
        <w:tc>
          <w:tcPr>
            <w:tcW w:w="5040" w:type="dxa"/>
          </w:tcPr>
          <w:p w14:paraId="0ECB94D2" w14:textId="77777777" w:rsidR="0013665B" w:rsidRDefault="00000000">
            <w:r>
              <w:rPr>
                <w:sz w:val="18"/>
              </w:rPr>
              <w:t>Predict gene, transcript, coding, protein, canonical/MANE, HGVS, biotype, and variant-class consequences.</w:t>
            </w:r>
          </w:p>
        </w:tc>
      </w:tr>
      <w:tr w:rsidR="0013665B" w14:paraId="562CB565" w14:textId="77777777">
        <w:trPr>
          <w:cantSplit/>
          <w:jc w:val="center"/>
        </w:trPr>
        <w:tc>
          <w:tcPr>
            <w:tcW w:w="5040" w:type="dxa"/>
          </w:tcPr>
          <w:p w14:paraId="603152AC" w14:textId="77777777" w:rsidR="0013665B" w:rsidRDefault="00000000">
            <w:r>
              <w:rPr>
                <w:sz w:val="18"/>
              </w:rPr>
              <w:t>Important field</w:t>
            </w:r>
          </w:p>
        </w:tc>
        <w:tc>
          <w:tcPr>
            <w:tcW w:w="5040" w:type="dxa"/>
          </w:tcPr>
          <w:p w14:paraId="5F3D8539" w14:textId="77777777" w:rsidR="0013665B" w:rsidRDefault="00000000">
            <w:r>
              <w:rPr>
                <w:sz w:val="18"/>
              </w:rPr>
              <w:t>INFO/CSQ</w:t>
            </w:r>
          </w:p>
        </w:tc>
      </w:tr>
      <w:tr w:rsidR="0013665B" w14:paraId="1EAD86EE" w14:textId="77777777">
        <w:trPr>
          <w:cantSplit/>
          <w:jc w:val="center"/>
        </w:trPr>
        <w:tc>
          <w:tcPr>
            <w:tcW w:w="5040" w:type="dxa"/>
          </w:tcPr>
          <w:p w14:paraId="0C37CDCB" w14:textId="77777777" w:rsidR="0013665B" w:rsidRDefault="00000000">
            <w:r>
              <w:rPr>
                <w:sz w:val="18"/>
              </w:rPr>
              <w:t>Output</w:t>
            </w:r>
          </w:p>
        </w:tc>
        <w:tc>
          <w:tcPr>
            <w:tcW w:w="5040" w:type="dxa"/>
          </w:tcPr>
          <w:p w14:paraId="53DEA003" w14:textId="77777777" w:rsidR="0013665B" w:rsidRDefault="00000000">
            <w:r>
              <w:rPr>
                <w:sz w:val="18"/>
              </w:rPr>
              <w:t>results/&lt;disease&gt;/snv/&lt;disease&gt;.vep.annotated.vcf</w:t>
            </w:r>
          </w:p>
        </w:tc>
      </w:tr>
    </w:tbl>
    <w:p w14:paraId="021E2B43" w14:textId="77777777" w:rsidR="0013665B" w:rsidRDefault="0013665B">
      <w:pPr>
        <w:spacing w:after="0"/>
      </w:pPr>
    </w:p>
    <w:tbl>
      <w:tblPr>
        <w:tblW w:w="0" w:type="auto"/>
        <w:jc w:val="center"/>
        <w:tblLook w:val="04A0" w:firstRow="1" w:lastRow="0" w:firstColumn="1" w:lastColumn="0" w:noHBand="0" w:noVBand="1"/>
      </w:tblPr>
      <w:tblGrid>
        <w:gridCol w:w="10080"/>
      </w:tblGrid>
      <w:tr w:rsidR="0013665B" w14:paraId="5545029C"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5A6E51CD" w14:textId="77777777" w:rsidR="0013665B" w:rsidRDefault="00000000">
            <w:pPr>
              <w:spacing w:after="0"/>
            </w:pPr>
            <w:r>
              <w:rPr>
                <w:rFonts w:ascii="Liberation Mono" w:hAnsi="Liberation Mono"/>
                <w:sz w:val="16"/>
              </w:rPr>
              <w:t>vep   --input_file /project/results/${DISEASE}/work/${DISEASE}.normalized.vcf.gz   --output_file /project/results/${DISEASE}/snv/${DISEASE}.vep.annotated.vcf   --format vcf --vcf --offline --cache   --dir_cache /project/resources/vep_cache   --species homo_sapiens --assembly GRCh38   --fasta /project/resources/reference/hg38.fa   --symbol --canonical --mane --hgvs --variant_class --biotype --numbers   --force_overwrite --no_stats --fork 4</w:t>
            </w:r>
          </w:p>
        </w:tc>
      </w:tr>
    </w:tbl>
    <w:p w14:paraId="2A8B217F" w14:textId="77777777" w:rsidR="0013665B" w:rsidRDefault="00000000">
      <w:pPr>
        <w:pStyle w:val="Heading1"/>
      </w:pPr>
      <w:r>
        <w:t>12. Step 8 - Add SnpEff Consequences</w:t>
      </w:r>
    </w:p>
    <w:tbl>
      <w:tblPr>
        <w:tblStyle w:val="TableGrid"/>
        <w:tblW w:w="0" w:type="auto"/>
        <w:jc w:val="center"/>
        <w:tblLook w:val="04A0" w:firstRow="1" w:lastRow="0" w:firstColumn="1" w:lastColumn="0" w:noHBand="0" w:noVBand="1"/>
      </w:tblPr>
      <w:tblGrid>
        <w:gridCol w:w="5040"/>
        <w:gridCol w:w="5040"/>
      </w:tblGrid>
      <w:tr w:rsidR="0013665B" w14:paraId="1BF6F701" w14:textId="77777777">
        <w:trPr>
          <w:cantSplit/>
          <w:tblHeader/>
          <w:jc w:val="center"/>
        </w:trPr>
        <w:tc>
          <w:tcPr>
            <w:tcW w:w="5040" w:type="dxa"/>
            <w:shd w:val="clear" w:color="auto" w:fill="D9EAF7"/>
          </w:tcPr>
          <w:p w14:paraId="3690D83C" w14:textId="77777777" w:rsidR="0013665B" w:rsidRDefault="00000000">
            <w:pPr>
              <w:jc w:val="center"/>
            </w:pPr>
            <w:r>
              <w:rPr>
                <w:b/>
                <w:sz w:val="18"/>
              </w:rPr>
              <w:t>Item</w:t>
            </w:r>
          </w:p>
        </w:tc>
        <w:tc>
          <w:tcPr>
            <w:tcW w:w="5040" w:type="dxa"/>
            <w:shd w:val="clear" w:color="auto" w:fill="D9EAF7"/>
          </w:tcPr>
          <w:p w14:paraId="6DC43A21" w14:textId="77777777" w:rsidR="0013665B" w:rsidRDefault="00000000">
            <w:pPr>
              <w:jc w:val="center"/>
            </w:pPr>
            <w:r>
              <w:rPr>
                <w:b/>
                <w:sz w:val="18"/>
              </w:rPr>
              <w:t>Description</w:t>
            </w:r>
          </w:p>
        </w:tc>
      </w:tr>
      <w:tr w:rsidR="0013665B" w14:paraId="4778DEE9" w14:textId="77777777">
        <w:trPr>
          <w:cantSplit/>
          <w:jc w:val="center"/>
        </w:trPr>
        <w:tc>
          <w:tcPr>
            <w:tcW w:w="5040" w:type="dxa"/>
          </w:tcPr>
          <w:p w14:paraId="6C6EB44E" w14:textId="77777777" w:rsidR="0013665B" w:rsidRDefault="00000000">
            <w:r>
              <w:rPr>
                <w:sz w:val="18"/>
              </w:rPr>
              <w:t>Input</w:t>
            </w:r>
          </w:p>
        </w:tc>
        <w:tc>
          <w:tcPr>
            <w:tcW w:w="5040" w:type="dxa"/>
          </w:tcPr>
          <w:p w14:paraId="6E081775" w14:textId="77777777" w:rsidR="0013665B" w:rsidRDefault="00000000">
            <w:r>
              <w:rPr>
                <w:sz w:val="18"/>
              </w:rPr>
              <w:t>VEP-annotated VCF</w:t>
            </w:r>
          </w:p>
        </w:tc>
      </w:tr>
      <w:tr w:rsidR="0013665B" w14:paraId="72D0730C" w14:textId="77777777">
        <w:trPr>
          <w:cantSplit/>
          <w:jc w:val="center"/>
        </w:trPr>
        <w:tc>
          <w:tcPr>
            <w:tcW w:w="5040" w:type="dxa"/>
          </w:tcPr>
          <w:p w14:paraId="030C70C8" w14:textId="77777777" w:rsidR="0013665B" w:rsidRDefault="00000000">
            <w:r>
              <w:rPr>
                <w:sz w:val="18"/>
              </w:rPr>
              <w:t>Purpose</w:t>
            </w:r>
          </w:p>
        </w:tc>
        <w:tc>
          <w:tcPr>
            <w:tcW w:w="5040" w:type="dxa"/>
          </w:tcPr>
          <w:p w14:paraId="0F4F5DDC" w14:textId="77777777" w:rsidR="0013665B" w:rsidRDefault="00000000">
            <w:r>
              <w:rPr>
                <w:sz w:val="18"/>
              </w:rPr>
              <w:t>Add an independent transcript consequence annotation for comparison with VEP.</w:t>
            </w:r>
          </w:p>
        </w:tc>
      </w:tr>
      <w:tr w:rsidR="0013665B" w14:paraId="2A576A40" w14:textId="77777777">
        <w:trPr>
          <w:cantSplit/>
          <w:jc w:val="center"/>
        </w:trPr>
        <w:tc>
          <w:tcPr>
            <w:tcW w:w="5040" w:type="dxa"/>
          </w:tcPr>
          <w:p w14:paraId="41DA980F" w14:textId="77777777" w:rsidR="0013665B" w:rsidRDefault="00000000">
            <w:r>
              <w:rPr>
                <w:sz w:val="18"/>
              </w:rPr>
              <w:t>Important fields</w:t>
            </w:r>
          </w:p>
        </w:tc>
        <w:tc>
          <w:tcPr>
            <w:tcW w:w="5040" w:type="dxa"/>
          </w:tcPr>
          <w:p w14:paraId="7A08454C" w14:textId="77777777" w:rsidR="0013665B" w:rsidRDefault="00000000">
            <w:r>
              <w:rPr>
                <w:sz w:val="18"/>
              </w:rPr>
              <w:t>INFO/ANN; optional LOF and NMD</w:t>
            </w:r>
          </w:p>
        </w:tc>
      </w:tr>
      <w:tr w:rsidR="0013665B" w14:paraId="1019AB02" w14:textId="77777777">
        <w:trPr>
          <w:cantSplit/>
          <w:jc w:val="center"/>
        </w:trPr>
        <w:tc>
          <w:tcPr>
            <w:tcW w:w="5040" w:type="dxa"/>
          </w:tcPr>
          <w:p w14:paraId="7693D39E" w14:textId="77777777" w:rsidR="0013665B" w:rsidRDefault="00000000">
            <w:r>
              <w:rPr>
                <w:sz w:val="18"/>
              </w:rPr>
              <w:t>Output</w:t>
            </w:r>
          </w:p>
        </w:tc>
        <w:tc>
          <w:tcPr>
            <w:tcW w:w="5040" w:type="dxa"/>
          </w:tcPr>
          <w:p w14:paraId="202A4159" w14:textId="77777777" w:rsidR="0013665B" w:rsidRDefault="00000000">
            <w:r>
              <w:rPr>
                <w:sz w:val="18"/>
              </w:rPr>
              <w:t>results/&lt;disease&gt;/snv/&lt;disease&gt;.vep.snpeff.annotated.vcf.gz</w:t>
            </w:r>
          </w:p>
        </w:tc>
      </w:tr>
    </w:tbl>
    <w:p w14:paraId="43C21DA1" w14:textId="77777777" w:rsidR="0013665B" w:rsidRDefault="0013665B">
      <w:pPr>
        <w:spacing w:after="0"/>
      </w:pPr>
    </w:p>
    <w:tbl>
      <w:tblPr>
        <w:tblW w:w="0" w:type="auto"/>
        <w:jc w:val="center"/>
        <w:tblLook w:val="04A0" w:firstRow="1" w:lastRow="0" w:firstColumn="1" w:lastColumn="0" w:noHBand="0" w:noVBand="1"/>
      </w:tblPr>
      <w:tblGrid>
        <w:gridCol w:w="10080"/>
      </w:tblGrid>
      <w:tr w:rsidR="0013665B" w14:paraId="1A4DC100"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08F78248" w14:textId="77777777" w:rsidR="0013665B" w:rsidRDefault="00000000">
            <w:pPr>
              <w:spacing w:after="0"/>
            </w:pPr>
            <w:r>
              <w:rPr>
                <w:rFonts w:ascii="Liberation Mono" w:hAnsi="Liberation Mono"/>
                <w:sz w:val="16"/>
              </w:rPr>
              <w:t>apptainer exec   --bind "$PROJECT_ROOT:/project"   "$SNPEFF_SIF"   /opt/snpEff/exec/snpeff ann   -noStats -canon -hgvs   -dataDir /project/resources/snpeff_data/data   GRCh38.mane.1.2.ensembl   "$CONTAINER_VEP_OUTPUT" | apptainer exec --bind "$PROJECT_ROOT:/project" "$CORE_SIF" bgzip -c &gt; "$SNPEFF_OUTPUT"</w:t>
            </w:r>
          </w:p>
        </w:tc>
      </w:tr>
    </w:tbl>
    <w:p w14:paraId="33F1E35C" w14:textId="77777777" w:rsidR="0013665B" w:rsidRDefault="0013665B">
      <w:pPr>
        <w:spacing w:after="0"/>
      </w:pPr>
    </w:p>
    <w:p w14:paraId="61AC0966" w14:textId="77777777" w:rsidR="0013665B" w:rsidRDefault="00000000">
      <w:pPr>
        <w:pStyle w:val="Heading1"/>
      </w:pPr>
      <w:r>
        <w:t>13. Step 9 - Add ClinVar Clinical Annotations</w:t>
      </w:r>
    </w:p>
    <w:tbl>
      <w:tblPr>
        <w:tblStyle w:val="TableGrid"/>
        <w:tblW w:w="0" w:type="auto"/>
        <w:jc w:val="center"/>
        <w:tblLook w:val="04A0" w:firstRow="1" w:lastRow="0" w:firstColumn="1" w:lastColumn="0" w:noHBand="0" w:noVBand="1"/>
      </w:tblPr>
      <w:tblGrid>
        <w:gridCol w:w="5004"/>
        <w:gridCol w:w="5292"/>
      </w:tblGrid>
      <w:tr w:rsidR="0013665B" w14:paraId="1634994A" w14:textId="77777777">
        <w:trPr>
          <w:cantSplit/>
          <w:tblHeader/>
          <w:jc w:val="center"/>
        </w:trPr>
        <w:tc>
          <w:tcPr>
            <w:tcW w:w="5040" w:type="dxa"/>
            <w:shd w:val="clear" w:color="auto" w:fill="D9EAF7"/>
          </w:tcPr>
          <w:p w14:paraId="1FF18B1D" w14:textId="77777777" w:rsidR="0013665B" w:rsidRDefault="00000000">
            <w:pPr>
              <w:jc w:val="center"/>
            </w:pPr>
            <w:r>
              <w:rPr>
                <w:b/>
                <w:sz w:val="17"/>
              </w:rPr>
              <w:t>Item</w:t>
            </w:r>
          </w:p>
        </w:tc>
        <w:tc>
          <w:tcPr>
            <w:tcW w:w="5040" w:type="dxa"/>
            <w:shd w:val="clear" w:color="auto" w:fill="D9EAF7"/>
          </w:tcPr>
          <w:p w14:paraId="10729115" w14:textId="77777777" w:rsidR="0013665B" w:rsidRDefault="00000000">
            <w:pPr>
              <w:jc w:val="center"/>
            </w:pPr>
            <w:r>
              <w:rPr>
                <w:b/>
                <w:sz w:val="17"/>
              </w:rPr>
              <w:t>Description</w:t>
            </w:r>
          </w:p>
        </w:tc>
      </w:tr>
      <w:tr w:rsidR="0013665B" w14:paraId="668A261C" w14:textId="77777777">
        <w:trPr>
          <w:cantSplit/>
          <w:jc w:val="center"/>
        </w:trPr>
        <w:tc>
          <w:tcPr>
            <w:tcW w:w="5040" w:type="dxa"/>
          </w:tcPr>
          <w:p w14:paraId="7AE96A5F" w14:textId="77777777" w:rsidR="0013665B" w:rsidRDefault="00000000">
            <w:r>
              <w:rPr>
                <w:sz w:val="17"/>
              </w:rPr>
              <w:t>Input</w:t>
            </w:r>
          </w:p>
        </w:tc>
        <w:tc>
          <w:tcPr>
            <w:tcW w:w="5040" w:type="dxa"/>
          </w:tcPr>
          <w:p w14:paraId="67A2AB15" w14:textId="77777777" w:rsidR="0013665B" w:rsidRDefault="00000000">
            <w:r>
              <w:rPr>
                <w:sz w:val="17"/>
              </w:rPr>
              <w:t>VEP + SnpEff VCF.gz</w:t>
            </w:r>
          </w:p>
        </w:tc>
      </w:tr>
      <w:tr w:rsidR="0013665B" w14:paraId="4BFD88A0" w14:textId="77777777">
        <w:trPr>
          <w:cantSplit/>
          <w:jc w:val="center"/>
        </w:trPr>
        <w:tc>
          <w:tcPr>
            <w:tcW w:w="5040" w:type="dxa"/>
          </w:tcPr>
          <w:p w14:paraId="5CE4E613" w14:textId="77777777" w:rsidR="0013665B" w:rsidRDefault="00000000">
            <w:r>
              <w:rPr>
                <w:sz w:val="17"/>
              </w:rPr>
              <w:t>Purpose</w:t>
            </w:r>
          </w:p>
        </w:tc>
        <w:tc>
          <w:tcPr>
            <w:tcW w:w="5040" w:type="dxa"/>
          </w:tcPr>
          <w:p w14:paraId="545B41F0" w14:textId="77777777" w:rsidR="0013665B" w:rsidRDefault="00000000">
            <w:r>
              <w:rPr>
                <w:sz w:val="17"/>
              </w:rPr>
              <w:t>Add known clinical significance, disease names, review status, HGVS, variant type, and gene identifiers for exact ClinVar matches.</w:t>
            </w:r>
          </w:p>
        </w:tc>
      </w:tr>
      <w:tr w:rsidR="0013665B" w14:paraId="66AE11B8" w14:textId="77777777">
        <w:trPr>
          <w:cantSplit/>
          <w:jc w:val="center"/>
        </w:trPr>
        <w:tc>
          <w:tcPr>
            <w:tcW w:w="5040" w:type="dxa"/>
          </w:tcPr>
          <w:p w14:paraId="586F464E" w14:textId="77777777" w:rsidR="0013665B" w:rsidRDefault="00000000">
            <w:r>
              <w:rPr>
                <w:sz w:val="17"/>
              </w:rPr>
              <w:t>Important fields</w:t>
            </w:r>
          </w:p>
        </w:tc>
        <w:tc>
          <w:tcPr>
            <w:tcW w:w="5040" w:type="dxa"/>
          </w:tcPr>
          <w:p w14:paraId="3FE8F28E" w14:textId="77777777" w:rsidR="0013665B" w:rsidRDefault="00000000">
            <w:r>
              <w:rPr>
                <w:sz w:val="17"/>
              </w:rPr>
              <w:t>CLNSIG, CLNREVSTAT, CLNDN, CLNDISDB, CLNHGVS, CLNVC, GENEINFO</w:t>
            </w:r>
          </w:p>
        </w:tc>
      </w:tr>
      <w:tr w:rsidR="0013665B" w14:paraId="6C61EDC2" w14:textId="77777777">
        <w:trPr>
          <w:cantSplit/>
          <w:jc w:val="center"/>
        </w:trPr>
        <w:tc>
          <w:tcPr>
            <w:tcW w:w="5040" w:type="dxa"/>
          </w:tcPr>
          <w:p w14:paraId="3EEA9B68" w14:textId="77777777" w:rsidR="0013665B" w:rsidRDefault="00000000">
            <w:r>
              <w:rPr>
                <w:sz w:val="17"/>
              </w:rPr>
              <w:t>Output</w:t>
            </w:r>
          </w:p>
        </w:tc>
        <w:tc>
          <w:tcPr>
            <w:tcW w:w="5040" w:type="dxa"/>
          </w:tcPr>
          <w:p w14:paraId="4958BD45" w14:textId="77777777" w:rsidR="0013665B" w:rsidRDefault="00000000">
            <w:r>
              <w:rPr>
                <w:sz w:val="17"/>
              </w:rPr>
              <w:t>results/&lt;disease&gt;/snv/&lt;disease&gt;.vep.snpeff.clinvar.annotated.vcf.gz</w:t>
            </w:r>
          </w:p>
        </w:tc>
      </w:tr>
    </w:tbl>
    <w:p w14:paraId="03EB28B0" w14:textId="77777777" w:rsidR="0013665B" w:rsidRDefault="0013665B">
      <w:pPr>
        <w:spacing w:after="0"/>
      </w:pPr>
    </w:p>
    <w:tbl>
      <w:tblPr>
        <w:tblW w:w="0" w:type="auto"/>
        <w:jc w:val="center"/>
        <w:tblLook w:val="04A0" w:firstRow="1" w:lastRow="0" w:firstColumn="1" w:lastColumn="0" w:noHBand="0" w:noVBand="1"/>
      </w:tblPr>
      <w:tblGrid>
        <w:gridCol w:w="10080"/>
      </w:tblGrid>
      <w:tr w:rsidR="0013665B" w14:paraId="4A8DA2BC"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6F848921" w14:textId="77777777" w:rsidR="0013665B" w:rsidRDefault="00000000">
            <w:pPr>
              <w:spacing w:after="0"/>
            </w:pPr>
            <w:r>
              <w:rPr>
                <w:rFonts w:ascii="Liberation Mono" w:hAnsi="Liberation Mono"/>
                <w:sz w:val="16"/>
              </w:rPr>
              <w:t>bcftools annotate   -a /project/resources/clinvar/clinvar.chr.vcf.gz   -c INFO/CLNSIG,INFO/CLNREVSTAT,INFO/CLNDN,INFO/CLNDISDB,INFO/CLNHGVS,INFO/CLNVC,INFO/CLNVCSO,INFO/GENEINFO   -Oz   -o "$CONTAINER_CLINVAR_OUTPUT"   "$CONTAINER_SNPEFF_OUTPUT"</w:t>
            </w:r>
          </w:p>
        </w:tc>
      </w:tr>
    </w:tbl>
    <w:p w14:paraId="36A8E7EE" w14:textId="77777777" w:rsidR="0013665B" w:rsidRDefault="0013665B">
      <w:pPr>
        <w:spacing w:after="0"/>
      </w:pPr>
    </w:p>
    <w:p w14:paraId="08D662F1" w14:textId="77777777" w:rsidR="0013665B" w:rsidRDefault="00000000">
      <w:r>
        <w:t>A variant with no ClinVar match is not automatically benign. It only means that the exact allele was not annotated by the selected ClinVar resource.</w:t>
      </w:r>
    </w:p>
    <w:p w14:paraId="239E63FC" w14:textId="77777777" w:rsidR="0013665B" w:rsidRDefault="00000000">
      <w:pPr>
        <w:pStyle w:val="Heading1"/>
      </w:pPr>
      <w:r>
        <w:t>14. Step 10 - Predict Splice Effects with SpliceAI</w:t>
      </w:r>
    </w:p>
    <w:tbl>
      <w:tblPr>
        <w:tblStyle w:val="TableGrid"/>
        <w:tblW w:w="0" w:type="auto"/>
        <w:jc w:val="center"/>
        <w:tblLook w:val="04A0" w:firstRow="1" w:lastRow="0" w:firstColumn="1" w:lastColumn="0" w:noHBand="0" w:noVBand="1"/>
      </w:tblPr>
      <w:tblGrid>
        <w:gridCol w:w="4900"/>
        <w:gridCol w:w="5396"/>
      </w:tblGrid>
      <w:tr w:rsidR="0013665B" w14:paraId="20A257AE" w14:textId="77777777">
        <w:trPr>
          <w:cantSplit/>
          <w:tblHeader/>
          <w:jc w:val="center"/>
        </w:trPr>
        <w:tc>
          <w:tcPr>
            <w:tcW w:w="5040" w:type="dxa"/>
            <w:shd w:val="clear" w:color="auto" w:fill="D9EAF7"/>
          </w:tcPr>
          <w:p w14:paraId="0E6E8960" w14:textId="77777777" w:rsidR="0013665B" w:rsidRDefault="00000000">
            <w:pPr>
              <w:jc w:val="center"/>
            </w:pPr>
            <w:r>
              <w:rPr>
                <w:b/>
                <w:sz w:val="18"/>
              </w:rPr>
              <w:t>Item</w:t>
            </w:r>
          </w:p>
        </w:tc>
        <w:tc>
          <w:tcPr>
            <w:tcW w:w="5040" w:type="dxa"/>
            <w:shd w:val="clear" w:color="auto" w:fill="D9EAF7"/>
          </w:tcPr>
          <w:p w14:paraId="4198DEA6" w14:textId="77777777" w:rsidR="0013665B" w:rsidRDefault="00000000">
            <w:pPr>
              <w:jc w:val="center"/>
            </w:pPr>
            <w:r>
              <w:rPr>
                <w:b/>
                <w:sz w:val="18"/>
              </w:rPr>
              <w:t>Description</w:t>
            </w:r>
          </w:p>
        </w:tc>
      </w:tr>
      <w:tr w:rsidR="0013665B" w14:paraId="5A459D69" w14:textId="77777777">
        <w:trPr>
          <w:cantSplit/>
          <w:jc w:val="center"/>
        </w:trPr>
        <w:tc>
          <w:tcPr>
            <w:tcW w:w="5040" w:type="dxa"/>
          </w:tcPr>
          <w:p w14:paraId="0F0A6BBB" w14:textId="77777777" w:rsidR="0013665B" w:rsidRDefault="00000000">
            <w:r>
              <w:rPr>
                <w:sz w:val="18"/>
              </w:rPr>
              <w:t>Input</w:t>
            </w:r>
          </w:p>
        </w:tc>
        <w:tc>
          <w:tcPr>
            <w:tcW w:w="5040" w:type="dxa"/>
          </w:tcPr>
          <w:p w14:paraId="1DD39D48" w14:textId="77777777" w:rsidR="0013665B" w:rsidRDefault="00000000">
            <w:r>
              <w:rPr>
                <w:sz w:val="18"/>
              </w:rPr>
              <w:t>VEP + SnpEff + ClinVar VCF.gz</w:t>
            </w:r>
          </w:p>
        </w:tc>
      </w:tr>
      <w:tr w:rsidR="0013665B" w14:paraId="64DCAA67" w14:textId="77777777">
        <w:trPr>
          <w:cantSplit/>
          <w:jc w:val="center"/>
        </w:trPr>
        <w:tc>
          <w:tcPr>
            <w:tcW w:w="5040" w:type="dxa"/>
          </w:tcPr>
          <w:p w14:paraId="3BB49F35" w14:textId="77777777" w:rsidR="0013665B" w:rsidRDefault="00000000">
            <w:r>
              <w:rPr>
                <w:sz w:val="18"/>
              </w:rPr>
              <w:t>Purpose</w:t>
            </w:r>
          </w:p>
        </w:tc>
        <w:tc>
          <w:tcPr>
            <w:tcW w:w="5040" w:type="dxa"/>
          </w:tcPr>
          <w:p w14:paraId="1B4C9AD5" w14:textId="77777777" w:rsidR="0013665B" w:rsidRDefault="00000000">
            <w:r>
              <w:rPr>
                <w:sz w:val="18"/>
              </w:rPr>
              <w:t>Predict acceptor gain/loss and donor gain/loss effects and their relative positions.</w:t>
            </w:r>
          </w:p>
        </w:tc>
      </w:tr>
      <w:tr w:rsidR="0013665B" w14:paraId="2CCEFD06" w14:textId="77777777">
        <w:trPr>
          <w:cantSplit/>
          <w:jc w:val="center"/>
        </w:trPr>
        <w:tc>
          <w:tcPr>
            <w:tcW w:w="5040" w:type="dxa"/>
          </w:tcPr>
          <w:p w14:paraId="00822722" w14:textId="77777777" w:rsidR="0013665B" w:rsidRDefault="00000000">
            <w:r>
              <w:rPr>
                <w:sz w:val="18"/>
              </w:rPr>
              <w:t>Important field</w:t>
            </w:r>
          </w:p>
        </w:tc>
        <w:tc>
          <w:tcPr>
            <w:tcW w:w="5040" w:type="dxa"/>
          </w:tcPr>
          <w:p w14:paraId="1C24048B" w14:textId="77777777" w:rsidR="0013665B" w:rsidRDefault="00000000">
            <w:r>
              <w:rPr>
                <w:sz w:val="18"/>
              </w:rPr>
              <w:t>INFO/SpliceAI: DS_AG, DS_AL, DS_DG, DS_DL and positions</w:t>
            </w:r>
          </w:p>
        </w:tc>
      </w:tr>
      <w:tr w:rsidR="0013665B" w14:paraId="12B29086" w14:textId="77777777">
        <w:trPr>
          <w:cantSplit/>
          <w:jc w:val="center"/>
        </w:trPr>
        <w:tc>
          <w:tcPr>
            <w:tcW w:w="5040" w:type="dxa"/>
          </w:tcPr>
          <w:p w14:paraId="1BCD9AD3" w14:textId="77777777" w:rsidR="0013665B" w:rsidRDefault="00000000">
            <w:r>
              <w:rPr>
                <w:sz w:val="18"/>
              </w:rPr>
              <w:t>Output</w:t>
            </w:r>
          </w:p>
        </w:tc>
        <w:tc>
          <w:tcPr>
            <w:tcW w:w="5040" w:type="dxa"/>
          </w:tcPr>
          <w:p w14:paraId="39B93EFF" w14:textId="77777777" w:rsidR="0013665B" w:rsidRDefault="00000000">
            <w:r>
              <w:rPr>
                <w:sz w:val="18"/>
              </w:rPr>
              <w:t>results/&lt;disease&gt;/snv/&lt;disease&gt;.vep.snpeff.clinvar.spliceai.vcf.gz</w:t>
            </w:r>
          </w:p>
        </w:tc>
      </w:tr>
    </w:tbl>
    <w:p w14:paraId="675F123C" w14:textId="77777777" w:rsidR="0013665B" w:rsidRDefault="0013665B">
      <w:pPr>
        <w:spacing w:after="0"/>
      </w:pPr>
    </w:p>
    <w:tbl>
      <w:tblPr>
        <w:tblW w:w="0" w:type="auto"/>
        <w:jc w:val="center"/>
        <w:tblLook w:val="04A0" w:firstRow="1" w:lastRow="0" w:firstColumn="1" w:lastColumn="0" w:noHBand="0" w:noVBand="1"/>
      </w:tblPr>
      <w:tblGrid>
        <w:gridCol w:w="10080"/>
      </w:tblGrid>
      <w:tr w:rsidR="0013665B" w14:paraId="7A715EEA"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454B726B" w14:textId="77777777" w:rsidR="0013665B" w:rsidRDefault="00000000">
            <w:pPr>
              <w:spacing w:after="0"/>
            </w:pPr>
            <w:r>
              <w:rPr>
                <w:rFonts w:ascii="Liberation Mono" w:hAnsi="Liberation Mono"/>
                <w:sz w:val="16"/>
              </w:rPr>
              <w:t>spliceai   -I "$CONTAINER_CLINVAR_OUTPUT"   -O "$CONTAINER_SPLICEAI_RAW"   -R /project/resources/reference/hg38.fa   -A grch38</w:t>
            </w:r>
          </w:p>
        </w:tc>
      </w:tr>
    </w:tbl>
    <w:p w14:paraId="6A53345C" w14:textId="77777777" w:rsidR="0013665B" w:rsidRDefault="0013665B">
      <w:pPr>
        <w:spacing w:after="0"/>
      </w:pPr>
    </w:p>
    <w:p w14:paraId="150CA948" w14:textId="77777777" w:rsidR="0013665B" w:rsidRDefault="00000000">
      <w:r>
        <w:t>The SpliceAI output is compressed and copied to the final folder as &lt;disease&gt;.final.small_variants.annotated.vcf.gz. A .tbi index is optional for submission but useful for fast regional queries.</w:t>
      </w:r>
    </w:p>
    <w:p w14:paraId="21C6EC4D" w14:textId="392D2810" w:rsidR="0013665B" w:rsidRDefault="00000000">
      <w:pPr>
        <w:keepNext/>
      </w:pPr>
      <w:r>
        <w:rPr>
          <w:b/>
          <w:color w:val="1F4E79"/>
          <w:sz w:val="21"/>
        </w:rPr>
        <w:t>Figure 4. Compact disease SNV evidence</w:t>
      </w:r>
      <w:r w:rsidR="00DF6FE4" w:rsidRPr="00DF6FE4">
        <w:rPr>
          <w:noProof/>
        </w:rPr>
        <w:t xml:space="preserve"> </w:t>
      </w:r>
    </w:p>
    <w:tbl>
      <w:tblPr>
        <w:tblW w:w="0" w:type="auto"/>
        <w:jc w:val="center"/>
        <w:tblLook w:val="04A0" w:firstRow="1" w:lastRow="0" w:firstColumn="1" w:lastColumn="0" w:noHBand="0" w:noVBand="1"/>
      </w:tblPr>
      <w:tblGrid>
        <w:gridCol w:w="9000"/>
      </w:tblGrid>
      <w:tr w:rsidR="0013665B" w14:paraId="6D18A2EB" w14:textId="77777777" w:rsidTr="00DF6FE4">
        <w:trPr>
          <w:trHeight w:val="1487"/>
          <w:jc w:val="center"/>
        </w:trPr>
        <w:tc>
          <w:tcPr>
            <w:tcW w:w="9000" w:type="dxa"/>
            <w:tcBorders>
              <w:top w:val="dashed" w:sz="10" w:space="0" w:color="8A8A8A"/>
              <w:left w:val="dashed" w:sz="10" w:space="0" w:color="8A8A8A"/>
              <w:bottom w:val="dashed" w:sz="10" w:space="0" w:color="8A8A8A"/>
              <w:right w:val="dashed" w:sz="10" w:space="0" w:color="8A8A8A"/>
            </w:tcBorders>
            <w:shd w:val="clear" w:color="auto" w:fill="F7F7F7"/>
            <w:vAlign w:val="center"/>
          </w:tcPr>
          <w:p w14:paraId="02A773F8" w14:textId="41728825" w:rsidR="0013665B" w:rsidRDefault="00DF6FE4" w:rsidP="000A24BB">
            <w:pPr>
              <w:jc w:val="center"/>
            </w:pPr>
            <w:r w:rsidRPr="00DF6FE4">
              <w:rPr>
                <w:b/>
                <w:noProof/>
                <w:color w:val="1F4E79"/>
                <w:sz w:val="21"/>
              </w:rPr>
              <w:drawing>
                <wp:anchor distT="0" distB="0" distL="114300" distR="114300" simplePos="0" relativeHeight="251635712" behindDoc="0" locked="0" layoutInCell="1" allowOverlap="1" wp14:anchorId="56ABD2A0" wp14:editId="30FCF266">
                  <wp:simplePos x="0" y="0"/>
                  <wp:positionH relativeFrom="column">
                    <wp:posOffset>-74295</wp:posOffset>
                  </wp:positionH>
                  <wp:positionV relativeFrom="paragraph">
                    <wp:posOffset>-25400</wp:posOffset>
                  </wp:positionV>
                  <wp:extent cx="5727700" cy="979805"/>
                  <wp:effectExtent l="0" t="0" r="6350" b="0"/>
                  <wp:wrapNone/>
                  <wp:docPr id="36862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21621" name=""/>
                          <pic:cNvPicPr/>
                        </pic:nvPicPr>
                        <pic:blipFill>
                          <a:blip r:embed="rId11"/>
                          <a:stretch>
                            <a:fillRect/>
                          </a:stretch>
                        </pic:blipFill>
                        <pic:spPr>
                          <a:xfrm>
                            <a:off x="0" y="0"/>
                            <a:ext cx="5727700" cy="979805"/>
                          </a:xfrm>
                          <a:prstGeom prst="rect">
                            <a:avLst/>
                          </a:prstGeom>
                        </pic:spPr>
                      </pic:pic>
                    </a:graphicData>
                  </a:graphic>
                  <wp14:sizeRelH relativeFrom="margin">
                    <wp14:pctWidth>0</wp14:pctWidth>
                  </wp14:sizeRelH>
                  <wp14:sizeRelV relativeFrom="margin">
                    <wp14:pctHeight>0</wp14:pctHeight>
                  </wp14:sizeRelV>
                </wp:anchor>
              </w:drawing>
            </w:r>
          </w:p>
        </w:tc>
      </w:tr>
    </w:tbl>
    <w:p w14:paraId="652F098E" w14:textId="7B6B27F2" w:rsidR="0013665B" w:rsidRDefault="0013665B"/>
    <w:p w14:paraId="224A46C2" w14:textId="77777777" w:rsidR="0013665B" w:rsidRDefault="00000000">
      <w:pPr>
        <w:pStyle w:val="Heading1"/>
      </w:pPr>
      <w:r>
        <w:t>15. Step 11 - Annotate CNVs with AnnotSV</w:t>
      </w:r>
    </w:p>
    <w:tbl>
      <w:tblPr>
        <w:tblStyle w:val="TableGrid"/>
        <w:tblW w:w="0" w:type="auto"/>
        <w:jc w:val="center"/>
        <w:tblLook w:val="04A0" w:firstRow="1" w:lastRow="0" w:firstColumn="1" w:lastColumn="0" w:noHBand="0" w:noVBand="1"/>
      </w:tblPr>
      <w:tblGrid>
        <w:gridCol w:w="5040"/>
        <w:gridCol w:w="5040"/>
      </w:tblGrid>
      <w:tr w:rsidR="0013665B" w14:paraId="3A6F3478" w14:textId="77777777">
        <w:trPr>
          <w:cantSplit/>
          <w:tblHeader/>
          <w:jc w:val="center"/>
        </w:trPr>
        <w:tc>
          <w:tcPr>
            <w:tcW w:w="5040" w:type="dxa"/>
            <w:shd w:val="clear" w:color="auto" w:fill="D9EAF7"/>
          </w:tcPr>
          <w:p w14:paraId="168934A1" w14:textId="77777777" w:rsidR="0013665B" w:rsidRDefault="00000000">
            <w:pPr>
              <w:jc w:val="center"/>
            </w:pPr>
            <w:r>
              <w:rPr>
                <w:b/>
                <w:sz w:val="17"/>
              </w:rPr>
              <w:t>Item</w:t>
            </w:r>
          </w:p>
        </w:tc>
        <w:tc>
          <w:tcPr>
            <w:tcW w:w="5040" w:type="dxa"/>
            <w:shd w:val="clear" w:color="auto" w:fill="D9EAF7"/>
          </w:tcPr>
          <w:p w14:paraId="28B4C826" w14:textId="77777777" w:rsidR="0013665B" w:rsidRDefault="00000000">
            <w:pPr>
              <w:jc w:val="center"/>
            </w:pPr>
            <w:r>
              <w:rPr>
                <w:b/>
                <w:sz w:val="17"/>
              </w:rPr>
              <w:t>Description</w:t>
            </w:r>
          </w:p>
        </w:tc>
      </w:tr>
      <w:tr w:rsidR="0013665B" w14:paraId="4BF8980E" w14:textId="77777777">
        <w:trPr>
          <w:cantSplit/>
          <w:jc w:val="center"/>
        </w:trPr>
        <w:tc>
          <w:tcPr>
            <w:tcW w:w="5040" w:type="dxa"/>
          </w:tcPr>
          <w:p w14:paraId="573CB131" w14:textId="77777777" w:rsidR="0013665B" w:rsidRDefault="00000000">
            <w:r>
              <w:rPr>
                <w:sz w:val="17"/>
              </w:rPr>
              <w:t>Input</w:t>
            </w:r>
          </w:p>
        </w:tc>
        <w:tc>
          <w:tcPr>
            <w:tcW w:w="5040" w:type="dxa"/>
          </w:tcPr>
          <w:p w14:paraId="4E667739" w14:textId="77777777" w:rsidR="0013665B" w:rsidRDefault="00000000">
            <w:r>
              <w:rPr>
                <w:sz w:val="17"/>
              </w:rPr>
              <w:t>Four-column CNV BED</w:t>
            </w:r>
          </w:p>
        </w:tc>
      </w:tr>
      <w:tr w:rsidR="0013665B" w14:paraId="5542650F" w14:textId="77777777">
        <w:trPr>
          <w:cantSplit/>
          <w:jc w:val="center"/>
        </w:trPr>
        <w:tc>
          <w:tcPr>
            <w:tcW w:w="5040" w:type="dxa"/>
          </w:tcPr>
          <w:p w14:paraId="1AEE1C77" w14:textId="77777777" w:rsidR="0013665B" w:rsidRDefault="00000000">
            <w:r>
              <w:rPr>
                <w:sz w:val="17"/>
              </w:rPr>
              <w:lastRenderedPageBreak/>
              <w:t>Purpose</w:t>
            </w:r>
          </w:p>
        </w:tc>
        <w:tc>
          <w:tcPr>
            <w:tcW w:w="5040" w:type="dxa"/>
          </w:tcPr>
          <w:p w14:paraId="3BC6D0BB" w14:textId="77777777" w:rsidR="0013665B" w:rsidRDefault="00000000">
            <w:r>
              <w:rPr>
                <w:sz w:val="17"/>
              </w:rPr>
              <w:t>Annotate genes, transcripts, cytobands, dosage-sensitive regions, pathogenic/benign overlaps, known disease associations, ranking criteria, and an AnnotSV ACMG class.</w:t>
            </w:r>
          </w:p>
        </w:tc>
      </w:tr>
      <w:tr w:rsidR="0013665B" w14:paraId="785D4D9E" w14:textId="77777777">
        <w:trPr>
          <w:cantSplit/>
          <w:jc w:val="center"/>
        </w:trPr>
        <w:tc>
          <w:tcPr>
            <w:tcW w:w="5040" w:type="dxa"/>
          </w:tcPr>
          <w:p w14:paraId="6F2BC318" w14:textId="77777777" w:rsidR="0013665B" w:rsidRDefault="00000000">
            <w:r>
              <w:rPr>
                <w:sz w:val="17"/>
              </w:rPr>
              <w:t>Output</w:t>
            </w:r>
          </w:p>
        </w:tc>
        <w:tc>
          <w:tcPr>
            <w:tcW w:w="5040" w:type="dxa"/>
          </w:tcPr>
          <w:p w14:paraId="7CE856F7" w14:textId="77777777" w:rsidR="0013665B" w:rsidRDefault="00000000">
            <w:r>
              <w:rPr>
                <w:sz w:val="17"/>
              </w:rPr>
              <w:t>results/&lt;disease&gt;/cnv/&lt;disease&gt;.AnnotSV.tsv</w:t>
            </w:r>
          </w:p>
        </w:tc>
      </w:tr>
    </w:tbl>
    <w:p w14:paraId="2E77AB66" w14:textId="77777777" w:rsidR="0013665B" w:rsidRDefault="0013665B">
      <w:pPr>
        <w:spacing w:after="0"/>
      </w:pPr>
    </w:p>
    <w:tbl>
      <w:tblPr>
        <w:tblW w:w="0" w:type="auto"/>
        <w:jc w:val="center"/>
        <w:tblLook w:val="04A0" w:firstRow="1" w:lastRow="0" w:firstColumn="1" w:lastColumn="0" w:noHBand="0" w:noVBand="1"/>
      </w:tblPr>
      <w:tblGrid>
        <w:gridCol w:w="10080"/>
      </w:tblGrid>
      <w:tr w:rsidR="0013665B" w14:paraId="084966AA"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3FF72B6A" w14:textId="77777777" w:rsidR="0013665B" w:rsidRDefault="00000000">
            <w:pPr>
              <w:spacing w:after="0"/>
            </w:pPr>
            <w:r>
              <w:rPr>
                <w:rFonts w:ascii="Liberation Mono" w:hAnsi="Liberation Mono"/>
                <w:sz w:val="16"/>
              </w:rPr>
              <w:t>AnnotSV   -SVinputFile /project/input/cnv/${DISEASE}.cnvs.bed   -outputFile /project/results/${DISEASE}/cnv/${DISEASE}.AnnotSV.tsv   -annotationsDir /project/resources/annotsv_annotations/AnnotSV_annotations   -genomeBuild GRCh38   -svtBEDcol 4   -annotationMode both   -overwrite 1</w:t>
            </w:r>
          </w:p>
        </w:tc>
      </w:tr>
    </w:tbl>
    <w:p w14:paraId="02F4437B" w14:textId="77777777" w:rsidR="0013665B" w:rsidRDefault="0013665B">
      <w:pPr>
        <w:spacing w:after="0"/>
      </w:pPr>
    </w:p>
    <w:p w14:paraId="6FCD703E" w14:textId="77777777" w:rsidR="0013665B" w:rsidRDefault="00000000">
      <w:pPr>
        <w:pStyle w:val="Heading1"/>
      </w:pPr>
      <w:r>
        <w:t>16. Step 12 - Classify CNVs with ClassifyCNV</w:t>
      </w:r>
    </w:p>
    <w:tbl>
      <w:tblPr>
        <w:tblStyle w:val="TableGrid"/>
        <w:tblW w:w="0" w:type="auto"/>
        <w:jc w:val="center"/>
        <w:tblLook w:val="04A0" w:firstRow="1" w:lastRow="0" w:firstColumn="1" w:lastColumn="0" w:noHBand="0" w:noVBand="1"/>
      </w:tblPr>
      <w:tblGrid>
        <w:gridCol w:w="5040"/>
        <w:gridCol w:w="5040"/>
      </w:tblGrid>
      <w:tr w:rsidR="0013665B" w14:paraId="4F9CD191" w14:textId="77777777">
        <w:trPr>
          <w:cantSplit/>
          <w:tblHeader/>
          <w:jc w:val="center"/>
        </w:trPr>
        <w:tc>
          <w:tcPr>
            <w:tcW w:w="5040" w:type="dxa"/>
            <w:shd w:val="clear" w:color="auto" w:fill="D9EAF7"/>
          </w:tcPr>
          <w:p w14:paraId="3757DAF6" w14:textId="77777777" w:rsidR="0013665B" w:rsidRDefault="00000000">
            <w:pPr>
              <w:jc w:val="center"/>
            </w:pPr>
            <w:r>
              <w:rPr>
                <w:b/>
                <w:sz w:val="17"/>
              </w:rPr>
              <w:t>Item</w:t>
            </w:r>
          </w:p>
        </w:tc>
        <w:tc>
          <w:tcPr>
            <w:tcW w:w="5040" w:type="dxa"/>
            <w:shd w:val="clear" w:color="auto" w:fill="D9EAF7"/>
          </w:tcPr>
          <w:p w14:paraId="4077D114" w14:textId="77777777" w:rsidR="0013665B" w:rsidRDefault="00000000">
            <w:pPr>
              <w:jc w:val="center"/>
            </w:pPr>
            <w:r>
              <w:rPr>
                <w:b/>
                <w:sz w:val="17"/>
              </w:rPr>
              <w:t>Description</w:t>
            </w:r>
          </w:p>
        </w:tc>
      </w:tr>
      <w:tr w:rsidR="0013665B" w14:paraId="63DF2126" w14:textId="77777777">
        <w:trPr>
          <w:cantSplit/>
          <w:jc w:val="center"/>
        </w:trPr>
        <w:tc>
          <w:tcPr>
            <w:tcW w:w="5040" w:type="dxa"/>
          </w:tcPr>
          <w:p w14:paraId="4E2097B1" w14:textId="77777777" w:rsidR="0013665B" w:rsidRDefault="00000000">
            <w:r>
              <w:rPr>
                <w:sz w:val="17"/>
              </w:rPr>
              <w:t>Input</w:t>
            </w:r>
          </w:p>
        </w:tc>
        <w:tc>
          <w:tcPr>
            <w:tcW w:w="5040" w:type="dxa"/>
          </w:tcPr>
          <w:p w14:paraId="53685058" w14:textId="77777777" w:rsidR="0013665B" w:rsidRDefault="00000000">
            <w:r>
              <w:rPr>
                <w:sz w:val="17"/>
              </w:rPr>
              <w:t>The same four-column CNV BED used by AnnotSV</w:t>
            </w:r>
          </w:p>
        </w:tc>
      </w:tr>
      <w:tr w:rsidR="0013665B" w14:paraId="52862884" w14:textId="77777777">
        <w:trPr>
          <w:cantSplit/>
          <w:jc w:val="center"/>
        </w:trPr>
        <w:tc>
          <w:tcPr>
            <w:tcW w:w="5040" w:type="dxa"/>
          </w:tcPr>
          <w:p w14:paraId="02079F34" w14:textId="77777777" w:rsidR="0013665B" w:rsidRDefault="00000000">
            <w:r>
              <w:rPr>
                <w:sz w:val="17"/>
              </w:rPr>
              <w:t>Purpose</w:t>
            </w:r>
          </w:p>
        </w:tc>
        <w:tc>
          <w:tcPr>
            <w:tcW w:w="5040" w:type="dxa"/>
          </w:tcPr>
          <w:p w14:paraId="79732CAF" w14:textId="77777777" w:rsidR="0013665B" w:rsidRDefault="00000000">
            <w:r>
              <w:rPr>
                <w:sz w:val="17"/>
              </w:rPr>
              <w:t>Apply ACMG/ClinGen CNV evidence scoring and report the total score, classification, dosage-sensitive genes, and section-level evidence.</w:t>
            </w:r>
          </w:p>
        </w:tc>
      </w:tr>
      <w:tr w:rsidR="0013665B" w14:paraId="58C8B2EC" w14:textId="77777777">
        <w:trPr>
          <w:cantSplit/>
          <w:jc w:val="center"/>
        </w:trPr>
        <w:tc>
          <w:tcPr>
            <w:tcW w:w="5040" w:type="dxa"/>
          </w:tcPr>
          <w:p w14:paraId="7FCD32EE" w14:textId="77777777" w:rsidR="0013665B" w:rsidRDefault="00000000">
            <w:r>
              <w:rPr>
                <w:sz w:val="17"/>
              </w:rPr>
              <w:t>Output</w:t>
            </w:r>
          </w:p>
        </w:tc>
        <w:tc>
          <w:tcPr>
            <w:tcW w:w="5040" w:type="dxa"/>
          </w:tcPr>
          <w:p w14:paraId="7E27D2A3" w14:textId="77777777" w:rsidR="0013665B" w:rsidRDefault="00000000">
            <w:r>
              <w:rPr>
                <w:sz w:val="17"/>
              </w:rPr>
              <w:t>results/&lt;disease&gt;/cnv/&lt;disease&gt;.ClassifyCNV.Scoresheet.txt</w:t>
            </w:r>
          </w:p>
        </w:tc>
      </w:tr>
    </w:tbl>
    <w:p w14:paraId="2684DD61" w14:textId="77777777" w:rsidR="0013665B" w:rsidRDefault="0013665B">
      <w:pPr>
        <w:spacing w:after="0"/>
      </w:pPr>
    </w:p>
    <w:tbl>
      <w:tblPr>
        <w:tblW w:w="0" w:type="auto"/>
        <w:jc w:val="center"/>
        <w:tblLook w:val="04A0" w:firstRow="1" w:lastRow="0" w:firstColumn="1" w:lastColumn="0" w:noHBand="0" w:noVBand="1"/>
      </w:tblPr>
      <w:tblGrid>
        <w:gridCol w:w="10080"/>
      </w:tblGrid>
      <w:tr w:rsidR="0013665B" w14:paraId="3AF9066A"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522D9D51" w14:textId="77777777" w:rsidR="0013665B" w:rsidRDefault="00000000">
            <w:pPr>
              <w:spacing w:after="0"/>
            </w:pPr>
            <w:r>
              <w:rPr>
                <w:rFonts w:ascii="Liberation Mono" w:hAnsi="Liberation Mono"/>
                <w:sz w:val="16"/>
              </w:rPr>
              <w:t>python3 ClassifyCNV.py   --infile /project/input/cnv/${DISEASE}.cnvs.bed   --GenomeBuild hg38   --cores 4   --precise   --outdir ${DISEASE}_ClassifyCNV</w:t>
            </w:r>
          </w:p>
        </w:tc>
      </w:tr>
    </w:tbl>
    <w:p w14:paraId="7E77F01D" w14:textId="77777777" w:rsidR="0013665B" w:rsidRDefault="0013665B">
      <w:pPr>
        <w:spacing w:after="0"/>
      </w:pPr>
    </w:p>
    <w:tbl>
      <w:tblPr>
        <w:tblW w:w="0" w:type="auto"/>
        <w:jc w:val="center"/>
        <w:tblLook w:val="04A0" w:firstRow="1" w:lastRow="0" w:firstColumn="1" w:lastColumn="0" w:noHBand="0" w:noVBand="1"/>
      </w:tblPr>
      <w:tblGrid>
        <w:gridCol w:w="10080"/>
      </w:tblGrid>
      <w:tr w:rsidR="0013665B" w14:paraId="6A941B68" w14:textId="77777777">
        <w:trPr>
          <w:jc w:val="center"/>
        </w:trPr>
        <w:tc>
          <w:tcPr>
            <w:tcW w:w="10080" w:type="dxa"/>
            <w:tcBorders>
              <w:top w:val="single" w:sz="8" w:space="0" w:color="5B9BD5"/>
              <w:left w:val="single" w:sz="8" w:space="0" w:color="5B9BD5"/>
              <w:bottom w:val="single" w:sz="8" w:space="0" w:color="5B9BD5"/>
              <w:right w:val="single" w:sz="8" w:space="0" w:color="5B9BD5"/>
            </w:tcBorders>
            <w:shd w:val="clear" w:color="auto" w:fill="EAF2F8"/>
          </w:tcPr>
          <w:p w14:paraId="5A43800B" w14:textId="77777777" w:rsidR="0013665B" w:rsidRDefault="00000000">
            <w:r>
              <w:rPr>
                <w:b/>
                <w:sz w:val="19"/>
              </w:rPr>
              <w:t xml:space="preserve">Parallel interpretation: </w:t>
            </w:r>
            <w:r>
              <w:rPr>
                <w:sz w:val="19"/>
              </w:rPr>
              <w:t>AnnotSV output is not used as ClassifyCNV input. Both tools independently analyze the same CNV BED and are compared afterward.</w:t>
            </w:r>
          </w:p>
        </w:tc>
      </w:tr>
    </w:tbl>
    <w:p w14:paraId="4EEC56D2" w14:textId="77777777" w:rsidR="0013665B" w:rsidRDefault="00000000">
      <w:pPr>
        <w:pStyle w:val="Heading1"/>
      </w:pPr>
      <w:r>
        <w:t>17. Step 13 - Run ISV-CNV and SHAP Analysis</w:t>
      </w:r>
    </w:p>
    <w:tbl>
      <w:tblPr>
        <w:tblStyle w:val="TableGrid"/>
        <w:tblW w:w="0" w:type="auto"/>
        <w:jc w:val="center"/>
        <w:tblLook w:val="04A0" w:firstRow="1" w:lastRow="0" w:firstColumn="1" w:lastColumn="0" w:noHBand="0" w:noVBand="1"/>
      </w:tblPr>
      <w:tblGrid>
        <w:gridCol w:w="5040"/>
        <w:gridCol w:w="5040"/>
      </w:tblGrid>
      <w:tr w:rsidR="0013665B" w14:paraId="2C0CDE33" w14:textId="77777777">
        <w:trPr>
          <w:cantSplit/>
          <w:tblHeader/>
          <w:jc w:val="center"/>
        </w:trPr>
        <w:tc>
          <w:tcPr>
            <w:tcW w:w="5040" w:type="dxa"/>
            <w:shd w:val="clear" w:color="auto" w:fill="D9EAF7"/>
          </w:tcPr>
          <w:p w14:paraId="5BCBA1A9" w14:textId="77777777" w:rsidR="0013665B" w:rsidRDefault="00000000">
            <w:pPr>
              <w:jc w:val="center"/>
            </w:pPr>
            <w:r>
              <w:rPr>
                <w:b/>
                <w:sz w:val="17"/>
              </w:rPr>
              <w:t>Item</w:t>
            </w:r>
          </w:p>
        </w:tc>
        <w:tc>
          <w:tcPr>
            <w:tcW w:w="5040" w:type="dxa"/>
            <w:shd w:val="clear" w:color="auto" w:fill="D9EAF7"/>
          </w:tcPr>
          <w:p w14:paraId="2E05B566" w14:textId="77777777" w:rsidR="0013665B" w:rsidRDefault="00000000">
            <w:pPr>
              <w:jc w:val="center"/>
            </w:pPr>
            <w:r>
              <w:rPr>
                <w:b/>
                <w:sz w:val="17"/>
              </w:rPr>
              <w:t>Description</w:t>
            </w:r>
          </w:p>
        </w:tc>
      </w:tr>
      <w:tr w:rsidR="0013665B" w14:paraId="5B8FC7A9" w14:textId="77777777">
        <w:trPr>
          <w:cantSplit/>
          <w:jc w:val="center"/>
        </w:trPr>
        <w:tc>
          <w:tcPr>
            <w:tcW w:w="5040" w:type="dxa"/>
          </w:tcPr>
          <w:p w14:paraId="04B523B2" w14:textId="77777777" w:rsidR="0013665B" w:rsidRDefault="00000000">
            <w:r>
              <w:rPr>
                <w:sz w:val="17"/>
              </w:rPr>
              <w:t>Input</w:t>
            </w:r>
          </w:p>
        </w:tc>
        <w:tc>
          <w:tcPr>
            <w:tcW w:w="5040" w:type="dxa"/>
          </w:tcPr>
          <w:p w14:paraId="34271CFC" w14:textId="77777777" w:rsidR="0013665B" w:rsidRDefault="00000000">
            <w:r>
              <w:rPr>
                <w:sz w:val="17"/>
              </w:rPr>
              <w:t>Header-containing CNV BED: chromosome, start, end, cnv_type</w:t>
            </w:r>
          </w:p>
        </w:tc>
      </w:tr>
      <w:tr w:rsidR="0013665B" w14:paraId="4A0F4DDF" w14:textId="77777777">
        <w:trPr>
          <w:cantSplit/>
          <w:jc w:val="center"/>
        </w:trPr>
        <w:tc>
          <w:tcPr>
            <w:tcW w:w="5040" w:type="dxa"/>
          </w:tcPr>
          <w:p w14:paraId="35EB8F9D" w14:textId="77777777" w:rsidR="0013665B" w:rsidRDefault="00000000">
            <w:r>
              <w:rPr>
                <w:sz w:val="17"/>
              </w:rPr>
              <w:t>Purpose</w:t>
            </w:r>
          </w:p>
        </w:tc>
        <w:tc>
          <w:tcPr>
            <w:tcW w:w="5040" w:type="dxa"/>
          </w:tcPr>
          <w:p w14:paraId="28F13F1F" w14:textId="77777777" w:rsidR="0013665B" w:rsidRDefault="00000000">
            <w:r>
              <w:rPr>
                <w:sz w:val="17"/>
              </w:rPr>
              <w:t>Generate an independent machine-learning pathogenicity probability and SHAP contributions showing which feature groups influenced the prediction.</w:t>
            </w:r>
          </w:p>
        </w:tc>
      </w:tr>
      <w:tr w:rsidR="0013665B" w14:paraId="660FDF5C" w14:textId="77777777">
        <w:trPr>
          <w:cantSplit/>
          <w:jc w:val="center"/>
        </w:trPr>
        <w:tc>
          <w:tcPr>
            <w:tcW w:w="5040" w:type="dxa"/>
          </w:tcPr>
          <w:p w14:paraId="482B3409" w14:textId="77777777" w:rsidR="0013665B" w:rsidRDefault="00000000">
            <w:r>
              <w:rPr>
                <w:sz w:val="17"/>
              </w:rPr>
              <w:t>Output</w:t>
            </w:r>
          </w:p>
        </w:tc>
        <w:tc>
          <w:tcPr>
            <w:tcW w:w="5040" w:type="dxa"/>
          </w:tcPr>
          <w:p w14:paraId="3C7816CF" w14:textId="77777777" w:rsidR="0013665B" w:rsidRDefault="00000000">
            <w:r>
              <w:rPr>
                <w:sz w:val="17"/>
              </w:rPr>
              <w:t>results/&lt;disease&gt;/cnv/&lt;disease&gt;.ISV_with_SHAP.tsv</w:t>
            </w:r>
          </w:p>
        </w:tc>
      </w:tr>
    </w:tbl>
    <w:p w14:paraId="09F8B64D" w14:textId="77777777" w:rsidR="0013665B" w:rsidRDefault="0013665B">
      <w:pPr>
        <w:spacing w:after="0"/>
      </w:pPr>
    </w:p>
    <w:tbl>
      <w:tblPr>
        <w:tblW w:w="0" w:type="auto"/>
        <w:jc w:val="center"/>
        <w:tblLook w:val="04A0" w:firstRow="1" w:lastRow="0" w:firstColumn="1" w:lastColumn="0" w:noHBand="0" w:noVBand="1"/>
      </w:tblPr>
      <w:tblGrid>
        <w:gridCol w:w="10080"/>
      </w:tblGrid>
      <w:tr w:rsidR="0013665B" w14:paraId="46A81315"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25764E57" w14:textId="77777777" w:rsidR="0013665B" w:rsidRDefault="00000000">
            <w:pPr>
              <w:spacing w:after="0"/>
            </w:pPr>
            <w:r>
              <w:rPr>
                <w:rFonts w:ascii="Liberation Mono" w:hAnsi="Liberation Mono"/>
                <w:sz w:val="16"/>
              </w:rPr>
              <w:t>{</w:t>
            </w:r>
            <w:r>
              <w:br/>
            </w:r>
            <w:r>
              <w:rPr>
                <w:rFonts w:ascii="Liberation Mono" w:hAnsi="Liberation Mono"/>
                <w:sz w:val="16"/>
              </w:rPr>
              <w:t xml:space="preserve">  printf "chromosome\tstart\tend\tcnv_type\n"</w:t>
            </w:r>
            <w:r>
              <w:br/>
            </w:r>
            <w:r>
              <w:rPr>
                <w:rFonts w:ascii="Liberation Mono" w:hAnsi="Liberation Mono"/>
                <w:sz w:val="16"/>
              </w:rPr>
              <w:t xml:space="preserve">  cat "$CNV_INPUT"</w:t>
            </w:r>
            <w:r>
              <w:br/>
            </w:r>
            <w:r>
              <w:rPr>
                <w:rFonts w:ascii="Liberation Mono" w:hAnsi="Liberation Mono"/>
                <w:sz w:val="16"/>
              </w:rPr>
              <w:t>} &gt; "$ISV_INPUT"</w:t>
            </w:r>
            <w:r>
              <w:br/>
            </w:r>
            <w:r>
              <w:br/>
            </w:r>
            <w:r>
              <w:rPr>
                <w:rFonts w:ascii="Liberation Mono" w:hAnsi="Liberation Mono"/>
                <w:sz w:val="16"/>
              </w:rPr>
              <w:t>results = isv.isv(cnvs, proba=True, shap=True, threshold=0.95)</w:t>
            </w:r>
            <w:r>
              <w:br/>
            </w:r>
            <w:r>
              <w:rPr>
                <w:rFonts w:ascii="Liberation Mono" w:hAnsi="Liberation Mono"/>
                <w:sz w:val="16"/>
              </w:rPr>
              <w:t>results.to_csv(output_file, sep="\t", index=False)</w:t>
            </w:r>
          </w:p>
        </w:tc>
      </w:tr>
    </w:tbl>
    <w:p w14:paraId="38F0DE4D" w14:textId="77777777" w:rsidR="0013665B" w:rsidRDefault="0013665B">
      <w:pPr>
        <w:spacing w:after="0"/>
      </w:pPr>
    </w:p>
    <w:p w14:paraId="0B8D095E" w14:textId="77777777" w:rsidR="0013665B" w:rsidRDefault="00000000">
      <w:r>
        <w:t>The ISV package was run through its Python API because the installed package did not create an isv executable in PATH. The probability is supporting computational evidence and does not replace curated evidence.</w:t>
      </w:r>
    </w:p>
    <w:p w14:paraId="3CAD0303" w14:textId="77777777" w:rsidR="0013665B" w:rsidRDefault="00000000">
      <w:pPr>
        <w:pStyle w:val="Heading1"/>
      </w:pPr>
      <w:r>
        <w:t>18. Step 14 - Combine the Three CNV Outputs</w:t>
      </w:r>
    </w:p>
    <w:p w14:paraId="545955D7" w14:textId="77777777" w:rsidR="0013665B" w:rsidRDefault="00000000">
      <w:r>
        <w:t>A pandas script inside isv.sif retains one full AnnotSV row per CNV, restores the original zero-based BED start, and merges AnnotSV, ClassifyCNV, and ISV by chromosome, start, end, and type.</w:t>
      </w:r>
    </w:p>
    <w:tbl>
      <w:tblPr>
        <w:tblStyle w:val="TableGrid"/>
        <w:tblW w:w="0" w:type="auto"/>
        <w:jc w:val="center"/>
        <w:tblLook w:val="04A0" w:firstRow="1" w:lastRow="0" w:firstColumn="1" w:lastColumn="0" w:noHBand="0" w:noVBand="1"/>
      </w:tblPr>
      <w:tblGrid>
        <w:gridCol w:w="5040"/>
        <w:gridCol w:w="5040"/>
      </w:tblGrid>
      <w:tr w:rsidR="0013665B" w14:paraId="6B1D3921" w14:textId="77777777">
        <w:trPr>
          <w:cantSplit/>
          <w:tblHeader/>
          <w:jc w:val="center"/>
        </w:trPr>
        <w:tc>
          <w:tcPr>
            <w:tcW w:w="5040" w:type="dxa"/>
            <w:shd w:val="clear" w:color="auto" w:fill="D9EAF7"/>
          </w:tcPr>
          <w:p w14:paraId="023F0B73" w14:textId="77777777" w:rsidR="0013665B" w:rsidRDefault="00000000">
            <w:pPr>
              <w:jc w:val="center"/>
            </w:pPr>
            <w:r>
              <w:rPr>
                <w:b/>
                <w:sz w:val="17"/>
              </w:rPr>
              <w:t>Combined column</w:t>
            </w:r>
          </w:p>
        </w:tc>
        <w:tc>
          <w:tcPr>
            <w:tcW w:w="5040" w:type="dxa"/>
            <w:shd w:val="clear" w:color="auto" w:fill="D9EAF7"/>
          </w:tcPr>
          <w:p w14:paraId="47A6F54C" w14:textId="77777777" w:rsidR="0013665B" w:rsidRDefault="00000000">
            <w:pPr>
              <w:jc w:val="center"/>
            </w:pPr>
            <w:r>
              <w:rPr>
                <w:b/>
                <w:sz w:val="17"/>
              </w:rPr>
              <w:t>Meaning</w:t>
            </w:r>
          </w:p>
        </w:tc>
      </w:tr>
      <w:tr w:rsidR="0013665B" w14:paraId="779EC99F" w14:textId="77777777">
        <w:trPr>
          <w:cantSplit/>
          <w:jc w:val="center"/>
        </w:trPr>
        <w:tc>
          <w:tcPr>
            <w:tcW w:w="5040" w:type="dxa"/>
          </w:tcPr>
          <w:p w14:paraId="5B2593A2" w14:textId="77777777" w:rsidR="0013665B" w:rsidRDefault="00000000">
            <w:r>
              <w:rPr>
                <w:sz w:val="17"/>
              </w:rPr>
              <w:t>Gene_count</w:t>
            </w:r>
          </w:p>
        </w:tc>
        <w:tc>
          <w:tcPr>
            <w:tcW w:w="5040" w:type="dxa"/>
          </w:tcPr>
          <w:p w14:paraId="4B9D9660" w14:textId="77777777" w:rsidR="0013665B" w:rsidRDefault="00000000">
            <w:r>
              <w:rPr>
                <w:sz w:val="17"/>
              </w:rPr>
              <w:t>Number of genes reported in the full AnnotSV row</w:t>
            </w:r>
          </w:p>
        </w:tc>
      </w:tr>
      <w:tr w:rsidR="0013665B" w14:paraId="37501165" w14:textId="77777777">
        <w:trPr>
          <w:cantSplit/>
          <w:jc w:val="center"/>
        </w:trPr>
        <w:tc>
          <w:tcPr>
            <w:tcW w:w="5040" w:type="dxa"/>
          </w:tcPr>
          <w:p w14:paraId="21A9D66B" w14:textId="77777777" w:rsidR="0013665B" w:rsidRDefault="00000000">
            <w:r>
              <w:rPr>
                <w:sz w:val="17"/>
              </w:rPr>
              <w:lastRenderedPageBreak/>
              <w:t>AnnotSV_ranking_score</w:t>
            </w:r>
          </w:p>
        </w:tc>
        <w:tc>
          <w:tcPr>
            <w:tcW w:w="5040" w:type="dxa"/>
          </w:tcPr>
          <w:p w14:paraId="0B9391E1" w14:textId="77777777" w:rsidR="0013665B" w:rsidRDefault="00000000">
            <w:r>
              <w:rPr>
                <w:sz w:val="17"/>
              </w:rPr>
              <w:t>AnnotSV evidence-based ranking value</w:t>
            </w:r>
          </w:p>
        </w:tc>
      </w:tr>
      <w:tr w:rsidR="0013665B" w14:paraId="5ADD2A39" w14:textId="77777777">
        <w:trPr>
          <w:cantSplit/>
          <w:jc w:val="center"/>
        </w:trPr>
        <w:tc>
          <w:tcPr>
            <w:tcW w:w="5040" w:type="dxa"/>
          </w:tcPr>
          <w:p w14:paraId="15B8336D" w14:textId="77777777" w:rsidR="0013665B" w:rsidRDefault="00000000">
            <w:r>
              <w:rPr>
                <w:sz w:val="17"/>
              </w:rPr>
              <w:t>AnnotSV_ACMG_class / classification</w:t>
            </w:r>
          </w:p>
        </w:tc>
        <w:tc>
          <w:tcPr>
            <w:tcW w:w="5040" w:type="dxa"/>
          </w:tcPr>
          <w:p w14:paraId="56998702" w14:textId="77777777" w:rsidR="0013665B" w:rsidRDefault="00000000">
            <w:r>
              <w:rPr>
                <w:sz w:val="17"/>
              </w:rPr>
              <w:t>AnnotSV class 1-5 and corresponding label</w:t>
            </w:r>
          </w:p>
        </w:tc>
      </w:tr>
      <w:tr w:rsidR="0013665B" w14:paraId="4E84C7A3" w14:textId="77777777">
        <w:trPr>
          <w:cantSplit/>
          <w:jc w:val="center"/>
        </w:trPr>
        <w:tc>
          <w:tcPr>
            <w:tcW w:w="5040" w:type="dxa"/>
          </w:tcPr>
          <w:p w14:paraId="71A9A605" w14:textId="77777777" w:rsidR="0013665B" w:rsidRDefault="00000000">
            <w:r>
              <w:rPr>
                <w:sz w:val="17"/>
              </w:rPr>
              <w:t>ClassifyCNV_classification / total_score</w:t>
            </w:r>
          </w:p>
        </w:tc>
        <w:tc>
          <w:tcPr>
            <w:tcW w:w="5040" w:type="dxa"/>
          </w:tcPr>
          <w:p w14:paraId="1452FB71" w14:textId="77777777" w:rsidR="0013665B" w:rsidRDefault="00000000">
            <w:r>
              <w:rPr>
                <w:sz w:val="17"/>
              </w:rPr>
              <w:t>Independent ACMG/ClinGen classification and score</w:t>
            </w:r>
          </w:p>
        </w:tc>
      </w:tr>
      <w:tr w:rsidR="0013665B" w14:paraId="75627078" w14:textId="77777777">
        <w:trPr>
          <w:cantSplit/>
          <w:jc w:val="center"/>
        </w:trPr>
        <w:tc>
          <w:tcPr>
            <w:tcW w:w="5040" w:type="dxa"/>
          </w:tcPr>
          <w:p w14:paraId="56EB8AC9" w14:textId="77777777" w:rsidR="0013665B" w:rsidRDefault="00000000">
            <w:r>
              <w:rPr>
                <w:sz w:val="17"/>
              </w:rPr>
              <w:t>ISV_probability</w:t>
            </w:r>
          </w:p>
        </w:tc>
        <w:tc>
          <w:tcPr>
            <w:tcW w:w="5040" w:type="dxa"/>
          </w:tcPr>
          <w:p w14:paraId="2538214E" w14:textId="77777777" w:rsidR="0013665B" w:rsidRDefault="00000000">
            <w:r>
              <w:rPr>
                <w:sz w:val="17"/>
              </w:rPr>
              <w:t>Independent machine-learning pathogenicity probability</w:t>
            </w:r>
          </w:p>
        </w:tc>
      </w:tr>
      <w:tr w:rsidR="0013665B" w14:paraId="397BF9EA" w14:textId="77777777">
        <w:trPr>
          <w:cantSplit/>
          <w:jc w:val="center"/>
        </w:trPr>
        <w:tc>
          <w:tcPr>
            <w:tcW w:w="5040" w:type="dxa"/>
          </w:tcPr>
          <w:p w14:paraId="5C81A234" w14:textId="77777777" w:rsidR="0013665B" w:rsidRDefault="00000000">
            <w:r>
              <w:rPr>
                <w:sz w:val="17"/>
              </w:rPr>
              <w:t>ISV_threshold_0.95</w:t>
            </w:r>
          </w:p>
        </w:tc>
        <w:tc>
          <w:tcPr>
            <w:tcW w:w="5040" w:type="dxa"/>
          </w:tcPr>
          <w:p w14:paraId="74389368" w14:textId="77777777" w:rsidR="0013665B" w:rsidRDefault="00000000">
            <w:r>
              <w:rPr>
                <w:sz w:val="17"/>
              </w:rPr>
              <w:t>Whether the probability met the selected 0.95 threshold</w:t>
            </w:r>
          </w:p>
        </w:tc>
      </w:tr>
    </w:tbl>
    <w:p w14:paraId="642F46AB" w14:textId="77777777" w:rsidR="0013665B" w:rsidRDefault="0013665B">
      <w:pPr>
        <w:spacing w:after="0"/>
      </w:pPr>
    </w:p>
    <w:p w14:paraId="04B704F6" w14:textId="77777777" w:rsidR="0013665B" w:rsidRDefault="00000000">
      <w:r>
        <w:t>Final output: results/&lt;disease&gt;/final/&lt;disease&gt;.final.cnv.summary.tsv</w:t>
      </w:r>
    </w:p>
    <w:p w14:paraId="7C4607FD" w14:textId="77777777" w:rsidR="0013665B" w:rsidRDefault="00000000">
      <w:pPr>
        <w:keepNext/>
      </w:pPr>
      <w:r>
        <w:rPr>
          <w:b/>
          <w:color w:val="1F4E79"/>
          <w:sz w:val="21"/>
        </w:rPr>
        <w:t>Figure 5. Compact combined CNV summary</w:t>
      </w:r>
    </w:p>
    <w:tbl>
      <w:tblPr>
        <w:tblW w:w="0" w:type="auto"/>
        <w:jc w:val="center"/>
        <w:tblLook w:val="04A0" w:firstRow="1" w:lastRow="0" w:firstColumn="1" w:lastColumn="0" w:noHBand="0" w:noVBand="1"/>
      </w:tblPr>
      <w:tblGrid>
        <w:gridCol w:w="9000"/>
      </w:tblGrid>
      <w:tr w:rsidR="0013665B" w14:paraId="1FE13C56" w14:textId="77777777">
        <w:trPr>
          <w:trHeight w:val="1800"/>
          <w:jc w:val="center"/>
        </w:trPr>
        <w:tc>
          <w:tcPr>
            <w:tcW w:w="9000" w:type="dxa"/>
            <w:tcBorders>
              <w:top w:val="dashed" w:sz="10" w:space="0" w:color="8A8A8A"/>
              <w:left w:val="dashed" w:sz="10" w:space="0" w:color="8A8A8A"/>
              <w:bottom w:val="dashed" w:sz="10" w:space="0" w:color="8A8A8A"/>
              <w:right w:val="dashed" w:sz="10" w:space="0" w:color="8A8A8A"/>
            </w:tcBorders>
            <w:shd w:val="clear" w:color="auto" w:fill="F7F7F7"/>
            <w:vAlign w:val="center"/>
          </w:tcPr>
          <w:p w14:paraId="071731E1" w14:textId="65A5BE8B" w:rsidR="0013665B" w:rsidRDefault="00DF6FE4" w:rsidP="000A24BB">
            <w:pPr>
              <w:jc w:val="center"/>
            </w:pPr>
            <w:r w:rsidRPr="00DF6FE4">
              <w:rPr>
                <w:noProof/>
              </w:rPr>
              <w:drawing>
                <wp:anchor distT="0" distB="0" distL="114300" distR="114300" simplePos="0" relativeHeight="251636736" behindDoc="0" locked="0" layoutInCell="1" allowOverlap="1" wp14:anchorId="1AF75DC0" wp14:editId="5BED6310">
                  <wp:simplePos x="0" y="0"/>
                  <wp:positionH relativeFrom="column">
                    <wp:posOffset>-80010</wp:posOffset>
                  </wp:positionH>
                  <wp:positionV relativeFrom="paragraph">
                    <wp:posOffset>-35560</wp:posOffset>
                  </wp:positionV>
                  <wp:extent cx="5751195" cy="1187450"/>
                  <wp:effectExtent l="0" t="0" r="1905" b="0"/>
                  <wp:wrapNone/>
                  <wp:docPr id="39179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96895" name=""/>
                          <pic:cNvPicPr/>
                        </pic:nvPicPr>
                        <pic:blipFill>
                          <a:blip r:embed="rId12"/>
                          <a:stretch>
                            <a:fillRect/>
                          </a:stretch>
                        </pic:blipFill>
                        <pic:spPr>
                          <a:xfrm>
                            <a:off x="0" y="0"/>
                            <a:ext cx="5751195" cy="1187450"/>
                          </a:xfrm>
                          <a:prstGeom prst="rect">
                            <a:avLst/>
                          </a:prstGeom>
                        </pic:spPr>
                      </pic:pic>
                    </a:graphicData>
                  </a:graphic>
                  <wp14:sizeRelH relativeFrom="margin">
                    <wp14:pctWidth>0</wp14:pctWidth>
                  </wp14:sizeRelH>
                  <wp14:sizeRelV relativeFrom="margin">
                    <wp14:pctHeight>0</wp14:pctHeight>
                  </wp14:sizeRelV>
                </wp:anchor>
              </w:drawing>
            </w:r>
          </w:p>
        </w:tc>
      </w:tr>
    </w:tbl>
    <w:p w14:paraId="7BBF99E4" w14:textId="5F0D490B" w:rsidR="0013665B" w:rsidRDefault="0013665B">
      <w:pPr>
        <w:spacing w:after="0"/>
      </w:pPr>
    </w:p>
    <w:p w14:paraId="007FC3C8" w14:textId="77777777" w:rsidR="0013665B" w:rsidRDefault="00000000">
      <w:pPr>
        <w:pStyle w:val="Heading1"/>
      </w:pPr>
      <w:r>
        <w:t>19. Step 15 - Final Outputs, Manifest, Logs, and Batch Execution</w:t>
      </w:r>
    </w:p>
    <w:tbl>
      <w:tblPr>
        <w:tblStyle w:val="TableGrid"/>
        <w:tblW w:w="0" w:type="auto"/>
        <w:jc w:val="center"/>
        <w:tblLook w:val="04A0" w:firstRow="1" w:lastRow="0" w:firstColumn="1" w:lastColumn="0" w:noHBand="0" w:noVBand="1"/>
      </w:tblPr>
      <w:tblGrid>
        <w:gridCol w:w="5040"/>
        <w:gridCol w:w="5040"/>
      </w:tblGrid>
      <w:tr w:rsidR="0013665B" w14:paraId="60785B3F" w14:textId="77777777">
        <w:trPr>
          <w:cantSplit/>
          <w:tblHeader/>
          <w:jc w:val="center"/>
        </w:trPr>
        <w:tc>
          <w:tcPr>
            <w:tcW w:w="5040" w:type="dxa"/>
            <w:shd w:val="clear" w:color="auto" w:fill="D9EAF7"/>
          </w:tcPr>
          <w:p w14:paraId="40867E30" w14:textId="77777777" w:rsidR="0013665B" w:rsidRDefault="00000000">
            <w:pPr>
              <w:jc w:val="center"/>
            </w:pPr>
            <w:r>
              <w:rPr>
                <w:b/>
                <w:sz w:val="17"/>
              </w:rPr>
              <w:t>Final file</w:t>
            </w:r>
          </w:p>
        </w:tc>
        <w:tc>
          <w:tcPr>
            <w:tcW w:w="5040" w:type="dxa"/>
            <w:shd w:val="clear" w:color="auto" w:fill="D9EAF7"/>
          </w:tcPr>
          <w:p w14:paraId="02A3C990" w14:textId="77777777" w:rsidR="0013665B" w:rsidRDefault="00000000">
            <w:pPr>
              <w:jc w:val="center"/>
            </w:pPr>
            <w:r>
              <w:rPr>
                <w:b/>
                <w:sz w:val="17"/>
              </w:rPr>
              <w:t>Purpose</w:t>
            </w:r>
          </w:p>
        </w:tc>
      </w:tr>
      <w:tr w:rsidR="0013665B" w14:paraId="76FD7AF9" w14:textId="77777777">
        <w:trPr>
          <w:cantSplit/>
          <w:jc w:val="center"/>
        </w:trPr>
        <w:tc>
          <w:tcPr>
            <w:tcW w:w="5040" w:type="dxa"/>
          </w:tcPr>
          <w:p w14:paraId="04517A1A" w14:textId="77777777" w:rsidR="0013665B" w:rsidRDefault="00000000">
            <w:r>
              <w:rPr>
                <w:sz w:val="17"/>
              </w:rPr>
              <w:t>&lt;disease&gt;.final.small_variants.annotated.vcf.gz</w:t>
            </w:r>
          </w:p>
        </w:tc>
        <w:tc>
          <w:tcPr>
            <w:tcW w:w="5040" w:type="dxa"/>
          </w:tcPr>
          <w:p w14:paraId="44C5E560" w14:textId="77777777" w:rsidR="0013665B" w:rsidRDefault="00000000">
            <w:r>
              <w:rPr>
                <w:sz w:val="17"/>
              </w:rPr>
              <w:t>Final VEP + SnpEff + ClinVar + SpliceAI small-variant result</w:t>
            </w:r>
          </w:p>
        </w:tc>
      </w:tr>
      <w:tr w:rsidR="0013665B" w14:paraId="7072AC02" w14:textId="77777777">
        <w:trPr>
          <w:cantSplit/>
          <w:jc w:val="center"/>
        </w:trPr>
        <w:tc>
          <w:tcPr>
            <w:tcW w:w="5040" w:type="dxa"/>
          </w:tcPr>
          <w:p w14:paraId="7563A042" w14:textId="77777777" w:rsidR="0013665B" w:rsidRDefault="00000000">
            <w:r>
              <w:rPr>
                <w:sz w:val="17"/>
              </w:rPr>
              <w:t>&lt;disease&gt;.final.small_variants.annotated.vcf.gz.tbi</w:t>
            </w:r>
          </w:p>
        </w:tc>
        <w:tc>
          <w:tcPr>
            <w:tcW w:w="5040" w:type="dxa"/>
          </w:tcPr>
          <w:p w14:paraId="0A080349" w14:textId="77777777" w:rsidR="0013665B" w:rsidRDefault="00000000">
            <w:r>
              <w:rPr>
                <w:sz w:val="17"/>
              </w:rPr>
              <w:t>Optional VCF index for rapid queries</w:t>
            </w:r>
          </w:p>
        </w:tc>
      </w:tr>
      <w:tr w:rsidR="0013665B" w14:paraId="2B1631D8" w14:textId="77777777">
        <w:trPr>
          <w:cantSplit/>
          <w:jc w:val="center"/>
        </w:trPr>
        <w:tc>
          <w:tcPr>
            <w:tcW w:w="5040" w:type="dxa"/>
          </w:tcPr>
          <w:p w14:paraId="7A3DB42C" w14:textId="77777777" w:rsidR="0013665B" w:rsidRDefault="00000000">
            <w:r>
              <w:rPr>
                <w:sz w:val="17"/>
              </w:rPr>
              <w:t>&lt;disease&gt;.final.cnv.summary.tsv</w:t>
            </w:r>
          </w:p>
        </w:tc>
        <w:tc>
          <w:tcPr>
            <w:tcW w:w="5040" w:type="dxa"/>
          </w:tcPr>
          <w:p w14:paraId="2C35E81C" w14:textId="77777777" w:rsidR="0013665B" w:rsidRDefault="00000000">
            <w:r>
              <w:rPr>
                <w:sz w:val="17"/>
              </w:rPr>
              <w:t>Combined AnnotSV + ClassifyCNV + ISV-CNV summary</w:t>
            </w:r>
          </w:p>
        </w:tc>
      </w:tr>
      <w:tr w:rsidR="0013665B" w14:paraId="21C95B33" w14:textId="77777777">
        <w:trPr>
          <w:cantSplit/>
          <w:jc w:val="center"/>
        </w:trPr>
        <w:tc>
          <w:tcPr>
            <w:tcW w:w="5040" w:type="dxa"/>
          </w:tcPr>
          <w:p w14:paraId="0D8303BD" w14:textId="77777777" w:rsidR="0013665B" w:rsidRDefault="00000000">
            <w:r>
              <w:rPr>
                <w:sz w:val="17"/>
              </w:rPr>
              <w:t>&lt;disease&gt;.pipeline_outputs.txt</w:t>
            </w:r>
          </w:p>
        </w:tc>
        <w:tc>
          <w:tcPr>
            <w:tcW w:w="5040" w:type="dxa"/>
          </w:tcPr>
          <w:p w14:paraId="76331C15" w14:textId="77777777" w:rsidR="0013665B" w:rsidRDefault="00000000">
            <w:r>
              <w:rPr>
                <w:sz w:val="17"/>
              </w:rPr>
              <w:t>Manifest listing inputs, outputs, record counts, tools, and log path</w:t>
            </w:r>
          </w:p>
        </w:tc>
      </w:tr>
      <w:tr w:rsidR="0013665B" w14:paraId="51DC661B" w14:textId="77777777">
        <w:trPr>
          <w:cantSplit/>
          <w:jc w:val="center"/>
        </w:trPr>
        <w:tc>
          <w:tcPr>
            <w:tcW w:w="5040" w:type="dxa"/>
          </w:tcPr>
          <w:p w14:paraId="44BC79E3" w14:textId="77777777" w:rsidR="0013665B" w:rsidRDefault="00000000">
            <w:r>
              <w:rPr>
                <w:sz w:val="17"/>
              </w:rPr>
              <w:t>&lt;disease&gt;.pipeline.log</w:t>
            </w:r>
          </w:p>
        </w:tc>
        <w:tc>
          <w:tcPr>
            <w:tcW w:w="5040" w:type="dxa"/>
          </w:tcPr>
          <w:p w14:paraId="0D9CC273" w14:textId="77777777" w:rsidR="0013665B" w:rsidRDefault="00000000">
            <w:r>
              <w:rPr>
                <w:sz w:val="17"/>
              </w:rPr>
              <w:t>Detailed run log for troubleshooting and reproducibility</w:t>
            </w:r>
          </w:p>
        </w:tc>
      </w:tr>
    </w:tbl>
    <w:p w14:paraId="0F45F9B8" w14:textId="77777777" w:rsidR="0013665B" w:rsidRDefault="0013665B">
      <w:pPr>
        <w:spacing w:after="0"/>
      </w:pPr>
    </w:p>
    <w:tbl>
      <w:tblPr>
        <w:tblW w:w="0" w:type="auto"/>
        <w:jc w:val="center"/>
        <w:tblLook w:val="04A0" w:firstRow="1" w:lastRow="0" w:firstColumn="1" w:lastColumn="0" w:noHBand="0" w:noVBand="1"/>
      </w:tblPr>
      <w:tblGrid>
        <w:gridCol w:w="10080"/>
      </w:tblGrid>
      <w:tr w:rsidR="0013665B" w14:paraId="63C3E95A" w14:textId="77777777">
        <w:trPr>
          <w:jc w:val="center"/>
        </w:trPr>
        <w:tc>
          <w:tcPr>
            <w:tcW w:w="10080" w:type="dxa"/>
            <w:tcBorders>
              <w:top w:val="single" w:sz="4" w:space="0" w:color="D1D5DB"/>
              <w:left w:val="single" w:sz="4" w:space="0" w:color="D1D5DB"/>
              <w:bottom w:val="single" w:sz="4" w:space="0" w:color="D1D5DB"/>
              <w:right w:val="single" w:sz="4" w:space="0" w:color="D1D5DB"/>
            </w:tcBorders>
            <w:shd w:val="clear" w:color="auto" w:fill="F3F4F6"/>
          </w:tcPr>
          <w:p w14:paraId="0A89CE81" w14:textId="77777777" w:rsidR="0013665B" w:rsidRDefault="00000000">
            <w:pPr>
              <w:spacing w:after="0"/>
            </w:pPr>
            <w:r>
              <w:rPr>
                <w:rFonts w:ascii="Liberation Mono" w:hAnsi="Liberation Mono"/>
                <w:sz w:val="16"/>
              </w:rPr>
              <w:t>DISEASES=(fabry monilethrix ais nf1)</w:t>
            </w:r>
            <w:r>
              <w:br/>
            </w:r>
            <w:r>
              <w:rPr>
                <w:rFonts w:ascii="Liberation Mono" w:hAnsi="Liberation Mono"/>
                <w:sz w:val="16"/>
              </w:rPr>
              <w:t>for disease in "${DISEASES[@]}"</w:t>
            </w:r>
            <w:r>
              <w:br/>
            </w:r>
            <w:r>
              <w:rPr>
                <w:rFonts w:ascii="Liberation Mono" w:hAnsi="Liberation Mono"/>
                <w:sz w:val="16"/>
              </w:rPr>
              <w:t>do</w:t>
            </w:r>
            <w:r>
              <w:br/>
            </w:r>
            <w:r>
              <w:rPr>
                <w:rFonts w:ascii="Liberation Mono" w:hAnsi="Liberation Mono"/>
                <w:sz w:val="16"/>
              </w:rPr>
              <w:t xml:space="preserve">  bash "$PIPELINE" "$disease"</w:t>
            </w:r>
            <w:r>
              <w:br/>
            </w:r>
            <w:r>
              <w:rPr>
                <w:rFonts w:ascii="Liberation Mono" w:hAnsi="Liberation Mono"/>
                <w:sz w:val="16"/>
              </w:rPr>
              <w:t>done</w:t>
            </w:r>
          </w:p>
        </w:tc>
      </w:tr>
    </w:tbl>
    <w:p w14:paraId="6DDC0E44" w14:textId="77777777" w:rsidR="0013665B" w:rsidRDefault="0013665B">
      <w:pPr>
        <w:spacing w:after="0"/>
      </w:pPr>
    </w:p>
    <w:p w14:paraId="2E1C281C" w14:textId="16C361EC" w:rsidR="0013665B" w:rsidRDefault="00000000">
      <w:pPr>
        <w:keepNext/>
      </w:pPr>
      <w:r>
        <w:rPr>
          <w:b/>
          <w:color w:val="1F4E79"/>
          <w:sz w:val="21"/>
        </w:rPr>
        <w:t>Figure 6. Successful batch completion</w:t>
      </w:r>
    </w:p>
    <w:tbl>
      <w:tblPr>
        <w:tblW w:w="0" w:type="auto"/>
        <w:jc w:val="center"/>
        <w:tblLook w:val="04A0" w:firstRow="1" w:lastRow="0" w:firstColumn="1" w:lastColumn="0" w:noHBand="0" w:noVBand="1"/>
      </w:tblPr>
      <w:tblGrid>
        <w:gridCol w:w="9000"/>
      </w:tblGrid>
      <w:tr w:rsidR="0013665B" w14:paraId="59D31ACB" w14:textId="77777777">
        <w:trPr>
          <w:trHeight w:val="1900"/>
          <w:jc w:val="center"/>
        </w:trPr>
        <w:tc>
          <w:tcPr>
            <w:tcW w:w="9000" w:type="dxa"/>
            <w:tcBorders>
              <w:top w:val="dashed" w:sz="10" w:space="0" w:color="8A8A8A"/>
              <w:left w:val="dashed" w:sz="10" w:space="0" w:color="8A8A8A"/>
              <w:bottom w:val="dashed" w:sz="10" w:space="0" w:color="8A8A8A"/>
              <w:right w:val="dashed" w:sz="10" w:space="0" w:color="8A8A8A"/>
            </w:tcBorders>
            <w:shd w:val="clear" w:color="auto" w:fill="F7F7F7"/>
            <w:vAlign w:val="center"/>
          </w:tcPr>
          <w:p w14:paraId="093B991C" w14:textId="2974D646" w:rsidR="0013665B" w:rsidRDefault="008F4B30">
            <w:pPr>
              <w:jc w:val="center"/>
            </w:pPr>
            <w:r w:rsidRPr="008F4B30">
              <w:rPr>
                <w:rFonts w:ascii="Liberation Mono" w:hAnsi="Liberation Mono"/>
                <w:sz w:val="16"/>
              </w:rPr>
              <w:drawing>
                <wp:anchor distT="0" distB="0" distL="114300" distR="114300" simplePos="0" relativeHeight="251642880" behindDoc="0" locked="0" layoutInCell="1" allowOverlap="1" wp14:anchorId="10474A81" wp14:editId="61B18FAF">
                  <wp:simplePos x="0" y="0"/>
                  <wp:positionH relativeFrom="column">
                    <wp:posOffset>-410845</wp:posOffset>
                  </wp:positionH>
                  <wp:positionV relativeFrom="paragraph">
                    <wp:posOffset>-32385</wp:posOffset>
                  </wp:positionV>
                  <wp:extent cx="6188075" cy="1243330"/>
                  <wp:effectExtent l="0" t="0" r="3175" b="0"/>
                  <wp:wrapNone/>
                  <wp:docPr id="944339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39293" name=""/>
                          <pic:cNvPicPr/>
                        </pic:nvPicPr>
                        <pic:blipFill>
                          <a:blip r:embed="rId13"/>
                          <a:stretch>
                            <a:fillRect/>
                          </a:stretch>
                        </pic:blipFill>
                        <pic:spPr>
                          <a:xfrm>
                            <a:off x="0" y="0"/>
                            <a:ext cx="6188075" cy="1243330"/>
                          </a:xfrm>
                          <a:prstGeom prst="rect">
                            <a:avLst/>
                          </a:prstGeom>
                        </pic:spPr>
                      </pic:pic>
                    </a:graphicData>
                  </a:graphic>
                  <wp14:sizeRelH relativeFrom="margin">
                    <wp14:pctWidth>0</wp14:pctWidth>
                  </wp14:sizeRelH>
                  <wp14:sizeRelV relativeFrom="margin">
                    <wp14:pctHeight>0</wp14:pctHeight>
                  </wp14:sizeRelV>
                </wp:anchor>
              </w:drawing>
            </w:r>
            <w:r w:rsidR="00000000">
              <w:rPr>
                <w:b/>
                <w:color w:val="646464"/>
                <w:sz w:val="24"/>
              </w:rPr>
              <w:t>INSERT MEANINGFUL SCREENSHOT HERE</w:t>
            </w:r>
          </w:p>
          <w:p w14:paraId="4E6D7FF8" w14:textId="44C6437A" w:rsidR="0013665B" w:rsidRDefault="00000000">
            <w:pPr>
              <w:jc w:val="center"/>
            </w:pPr>
            <w:r>
              <w:rPr>
                <w:i/>
                <w:color w:val="646464"/>
                <w:sz w:val="18"/>
              </w:rPr>
              <w:t>Show the final PASS lines and final output paths for all four diseases, not the entire log.</w:t>
            </w:r>
          </w:p>
        </w:tc>
      </w:tr>
    </w:tbl>
    <w:p w14:paraId="75F8F70A" w14:textId="7B4CEC38" w:rsidR="0013665B" w:rsidRDefault="0013665B">
      <w:pPr>
        <w:spacing w:after="0"/>
      </w:pPr>
    </w:p>
    <w:p w14:paraId="6B2A2D6C" w14:textId="014726DA" w:rsidR="0013665B" w:rsidRDefault="00000000">
      <w:pPr>
        <w:pStyle w:val="Heading1"/>
      </w:pPr>
      <w:r>
        <w:t>20. Disease-Specific Evidence and Screenshot Plan</w:t>
      </w:r>
    </w:p>
    <w:p w14:paraId="4C1D6C90" w14:textId="15E2FA94" w:rsidR="0013665B" w:rsidRDefault="00000000">
      <w:r>
        <w:t>Use only two core evidence screenshots per disease: one compact SNV record and one compact CNV summary row. This produces eight understandable disease screenshots. Additional screenshots are optional only when they explain a specific error or tool disagreement.</w:t>
      </w:r>
    </w:p>
    <w:p w14:paraId="1FDAB28C" w14:textId="6043702B" w:rsidR="0013665B" w:rsidRDefault="00000000">
      <w:pPr>
        <w:pStyle w:val="Heading2"/>
      </w:pPr>
      <w:r>
        <w:lastRenderedPageBreak/>
        <w:t>20.1 Fabry disease</w:t>
      </w:r>
    </w:p>
    <w:tbl>
      <w:tblPr>
        <w:tblStyle w:val="TableGrid"/>
        <w:tblW w:w="0" w:type="auto"/>
        <w:jc w:val="center"/>
        <w:tblLook w:val="04A0" w:firstRow="1" w:lastRow="0" w:firstColumn="1" w:lastColumn="0" w:noHBand="0" w:noVBand="1"/>
      </w:tblPr>
      <w:tblGrid>
        <w:gridCol w:w="5040"/>
        <w:gridCol w:w="5040"/>
      </w:tblGrid>
      <w:tr w:rsidR="0013665B" w14:paraId="4DE91D12" w14:textId="77777777">
        <w:trPr>
          <w:cantSplit/>
          <w:tblHeader/>
          <w:jc w:val="center"/>
        </w:trPr>
        <w:tc>
          <w:tcPr>
            <w:tcW w:w="5040" w:type="dxa"/>
            <w:shd w:val="clear" w:color="auto" w:fill="D9EAF7"/>
          </w:tcPr>
          <w:p w14:paraId="24005D5B" w14:textId="77777777" w:rsidR="0013665B" w:rsidRDefault="00000000">
            <w:pPr>
              <w:jc w:val="center"/>
            </w:pPr>
            <w:r>
              <w:rPr>
                <w:b/>
                <w:sz w:val="18"/>
              </w:rPr>
              <w:t>Evidence branch</w:t>
            </w:r>
          </w:p>
        </w:tc>
        <w:tc>
          <w:tcPr>
            <w:tcW w:w="5040" w:type="dxa"/>
            <w:shd w:val="clear" w:color="auto" w:fill="D9EAF7"/>
          </w:tcPr>
          <w:p w14:paraId="3D0A4440" w14:textId="7C27BD61" w:rsidR="0013665B" w:rsidRDefault="00000000">
            <w:pPr>
              <w:jc w:val="center"/>
            </w:pPr>
            <w:r>
              <w:rPr>
                <w:b/>
                <w:sz w:val="18"/>
              </w:rPr>
              <w:t>Meaningful result</w:t>
            </w:r>
          </w:p>
        </w:tc>
      </w:tr>
      <w:tr w:rsidR="0013665B" w14:paraId="45C4675B" w14:textId="77777777">
        <w:trPr>
          <w:cantSplit/>
          <w:jc w:val="center"/>
        </w:trPr>
        <w:tc>
          <w:tcPr>
            <w:tcW w:w="5040" w:type="dxa"/>
          </w:tcPr>
          <w:p w14:paraId="030D22DF" w14:textId="77777777" w:rsidR="0013665B" w:rsidRDefault="00000000">
            <w:r>
              <w:rPr>
                <w:sz w:val="18"/>
              </w:rPr>
              <w:t>SNV</w:t>
            </w:r>
          </w:p>
        </w:tc>
        <w:tc>
          <w:tcPr>
            <w:tcW w:w="5040" w:type="dxa"/>
          </w:tcPr>
          <w:p w14:paraId="29FF64A2" w14:textId="77777777" w:rsidR="0013665B" w:rsidRDefault="00000000">
            <w:r>
              <w:rPr>
                <w:sz w:val="18"/>
              </w:rPr>
              <w:t>GLA c.902G&gt;A (p.Arg301Gln), pathogenic missense</w:t>
            </w:r>
          </w:p>
        </w:tc>
      </w:tr>
      <w:tr w:rsidR="0013665B" w14:paraId="1B720367" w14:textId="77777777">
        <w:trPr>
          <w:cantSplit/>
          <w:jc w:val="center"/>
        </w:trPr>
        <w:tc>
          <w:tcPr>
            <w:tcW w:w="5040" w:type="dxa"/>
          </w:tcPr>
          <w:p w14:paraId="1ABDEA00" w14:textId="77777777" w:rsidR="0013665B" w:rsidRDefault="00000000">
            <w:r>
              <w:rPr>
                <w:sz w:val="18"/>
              </w:rPr>
              <w:t>CNV</w:t>
            </w:r>
          </w:p>
        </w:tc>
        <w:tc>
          <w:tcPr>
            <w:tcW w:w="5040" w:type="dxa"/>
          </w:tcPr>
          <w:p w14:paraId="02C6B09C" w14:textId="0481324A" w:rsidR="0013665B" w:rsidRDefault="00000000">
            <w:r>
              <w:rPr>
                <w:sz w:val="18"/>
              </w:rPr>
              <w:t xml:space="preserve">GLA-containing deletion; </w:t>
            </w:r>
            <w:proofErr w:type="spellStart"/>
            <w:r>
              <w:rPr>
                <w:sz w:val="18"/>
              </w:rPr>
              <w:t>AnnotSV</w:t>
            </w:r>
            <w:proofErr w:type="spellEnd"/>
            <w:r>
              <w:rPr>
                <w:sz w:val="18"/>
              </w:rPr>
              <w:t xml:space="preserve"> pathogenic; ClassifyCNV pathogenic; ISV 0.897, below 0.95</w:t>
            </w:r>
          </w:p>
        </w:tc>
      </w:tr>
    </w:tbl>
    <w:p w14:paraId="7FF938C5" w14:textId="2E78AE4E" w:rsidR="0013665B" w:rsidRDefault="0013665B">
      <w:pPr>
        <w:spacing w:after="0"/>
      </w:pPr>
    </w:p>
    <w:p w14:paraId="1703D0CF" w14:textId="1F3911B8" w:rsidR="0013665B" w:rsidRDefault="00000000">
      <w:pPr>
        <w:keepNext/>
      </w:pPr>
      <w:r>
        <w:rPr>
          <w:b/>
          <w:color w:val="1F4E79"/>
          <w:sz w:val="21"/>
        </w:rPr>
        <w:t>Figure 7. Fabry disease - disease-focused SNV</w:t>
      </w:r>
    </w:p>
    <w:tbl>
      <w:tblPr>
        <w:tblW w:w="0" w:type="auto"/>
        <w:jc w:val="center"/>
        <w:tblLook w:val="04A0" w:firstRow="1" w:lastRow="0" w:firstColumn="1" w:lastColumn="0" w:noHBand="0" w:noVBand="1"/>
      </w:tblPr>
      <w:tblGrid>
        <w:gridCol w:w="9000"/>
      </w:tblGrid>
      <w:tr w:rsidR="0013665B" w14:paraId="75DC1926" w14:textId="77777777">
        <w:trPr>
          <w:trHeight w:val="1600"/>
          <w:jc w:val="center"/>
        </w:trPr>
        <w:tc>
          <w:tcPr>
            <w:tcW w:w="9000" w:type="dxa"/>
            <w:tcBorders>
              <w:top w:val="dashed" w:sz="10" w:space="0" w:color="8A8A8A"/>
              <w:left w:val="dashed" w:sz="10" w:space="0" w:color="8A8A8A"/>
              <w:bottom w:val="dashed" w:sz="10" w:space="0" w:color="8A8A8A"/>
              <w:right w:val="dashed" w:sz="10" w:space="0" w:color="8A8A8A"/>
            </w:tcBorders>
            <w:shd w:val="clear" w:color="auto" w:fill="F7F7F7"/>
            <w:vAlign w:val="center"/>
          </w:tcPr>
          <w:p w14:paraId="0C034E36" w14:textId="228BC80B" w:rsidR="0013665B" w:rsidRDefault="008F4B30" w:rsidP="000A24BB">
            <w:pPr>
              <w:jc w:val="center"/>
            </w:pPr>
            <w:r w:rsidRPr="008F4B30">
              <w:rPr>
                <w:rFonts w:ascii="Liberation Mono" w:hAnsi="Liberation Mono"/>
                <w:sz w:val="16"/>
              </w:rPr>
              <w:drawing>
                <wp:anchor distT="0" distB="0" distL="114300" distR="114300" simplePos="0" relativeHeight="251649024" behindDoc="0" locked="0" layoutInCell="1" allowOverlap="1" wp14:anchorId="7F98A19F" wp14:editId="538DCC6D">
                  <wp:simplePos x="0" y="0"/>
                  <wp:positionH relativeFrom="column">
                    <wp:posOffset>-417830</wp:posOffset>
                  </wp:positionH>
                  <wp:positionV relativeFrom="paragraph">
                    <wp:posOffset>-24765</wp:posOffset>
                  </wp:positionV>
                  <wp:extent cx="6400800" cy="1045845"/>
                  <wp:effectExtent l="0" t="0" r="0" b="1905"/>
                  <wp:wrapNone/>
                  <wp:docPr id="133036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64920" name=""/>
                          <pic:cNvPicPr/>
                        </pic:nvPicPr>
                        <pic:blipFill>
                          <a:blip r:embed="rId14"/>
                          <a:stretch>
                            <a:fillRect/>
                          </a:stretch>
                        </pic:blipFill>
                        <pic:spPr>
                          <a:xfrm>
                            <a:off x="0" y="0"/>
                            <a:ext cx="6400800" cy="1045845"/>
                          </a:xfrm>
                          <a:prstGeom prst="rect">
                            <a:avLst/>
                          </a:prstGeom>
                        </pic:spPr>
                      </pic:pic>
                    </a:graphicData>
                  </a:graphic>
                  <wp14:sizeRelH relativeFrom="margin">
                    <wp14:pctWidth>0</wp14:pctWidth>
                  </wp14:sizeRelH>
                  <wp14:sizeRelV relativeFrom="margin">
                    <wp14:pctHeight>0</wp14:pctHeight>
                  </wp14:sizeRelV>
                </wp:anchor>
              </w:drawing>
            </w:r>
          </w:p>
        </w:tc>
      </w:tr>
    </w:tbl>
    <w:p w14:paraId="1AC2CE2E" w14:textId="77777777" w:rsidR="0013665B" w:rsidRDefault="0013665B">
      <w:pPr>
        <w:spacing w:after="0"/>
      </w:pPr>
    </w:p>
    <w:p w14:paraId="3E6C8424" w14:textId="77777777" w:rsidR="0013665B" w:rsidRDefault="00000000">
      <w:pPr>
        <w:keepNext/>
      </w:pPr>
      <w:r>
        <w:rPr>
          <w:b/>
          <w:color w:val="1F4E79"/>
          <w:sz w:val="21"/>
        </w:rPr>
        <w:t>Figure 8. Fabry disease - disease-focused CNV</w:t>
      </w:r>
    </w:p>
    <w:tbl>
      <w:tblPr>
        <w:tblW w:w="0" w:type="auto"/>
        <w:jc w:val="center"/>
        <w:tblLook w:val="04A0" w:firstRow="1" w:lastRow="0" w:firstColumn="1" w:lastColumn="0" w:noHBand="0" w:noVBand="1"/>
      </w:tblPr>
      <w:tblGrid>
        <w:gridCol w:w="9000"/>
      </w:tblGrid>
      <w:tr w:rsidR="0013665B" w14:paraId="1C48ADF3" w14:textId="77777777">
        <w:trPr>
          <w:trHeight w:val="1600"/>
          <w:jc w:val="center"/>
        </w:trPr>
        <w:tc>
          <w:tcPr>
            <w:tcW w:w="9000" w:type="dxa"/>
            <w:tcBorders>
              <w:top w:val="dashed" w:sz="10" w:space="0" w:color="8A8A8A"/>
              <w:left w:val="dashed" w:sz="10" w:space="0" w:color="8A8A8A"/>
              <w:bottom w:val="dashed" w:sz="10" w:space="0" w:color="8A8A8A"/>
              <w:right w:val="dashed" w:sz="10" w:space="0" w:color="8A8A8A"/>
            </w:tcBorders>
            <w:shd w:val="clear" w:color="auto" w:fill="F7F7F7"/>
            <w:vAlign w:val="center"/>
          </w:tcPr>
          <w:p w14:paraId="64163337" w14:textId="687F60DC" w:rsidR="0013665B" w:rsidRDefault="008F4B30">
            <w:pPr>
              <w:jc w:val="center"/>
            </w:pPr>
            <w:r w:rsidRPr="008F4B30">
              <w:drawing>
                <wp:anchor distT="0" distB="0" distL="114300" distR="114300" simplePos="0" relativeHeight="251654144" behindDoc="0" locked="0" layoutInCell="1" allowOverlap="1" wp14:anchorId="43B95DCB" wp14:editId="1591032F">
                  <wp:simplePos x="0" y="0"/>
                  <wp:positionH relativeFrom="column">
                    <wp:posOffset>-384810</wp:posOffset>
                  </wp:positionH>
                  <wp:positionV relativeFrom="paragraph">
                    <wp:posOffset>-6985</wp:posOffset>
                  </wp:positionV>
                  <wp:extent cx="6400800" cy="1026160"/>
                  <wp:effectExtent l="0" t="0" r="0" b="2540"/>
                  <wp:wrapNone/>
                  <wp:docPr id="37054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48377" name=""/>
                          <pic:cNvPicPr/>
                        </pic:nvPicPr>
                        <pic:blipFill>
                          <a:blip r:embed="rId15"/>
                          <a:stretch>
                            <a:fillRect/>
                          </a:stretch>
                        </pic:blipFill>
                        <pic:spPr>
                          <a:xfrm>
                            <a:off x="0" y="0"/>
                            <a:ext cx="6400800" cy="1026160"/>
                          </a:xfrm>
                          <a:prstGeom prst="rect">
                            <a:avLst/>
                          </a:prstGeom>
                        </pic:spPr>
                      </pic:pic>
                    </a:graphicData>
                  </a:graphic>
                  <wp14:sizeRelH relativeFrom="margin">
                    <wp14:pctWidth>0</wp14:pctWidth>
                  </wp14:sizeRelH>
                  <wp14:sizeRelV relativeFrom="margin">
                    <wp14:pctHeight>0</wp14:pctHeight>
                  </wp14:sizeRelV>
                </wp:anchor>
              </w:drawing>
            </w:r>
            <w:r w:rsidR="00000000">
              <w:rPr>
                <w:b/>
                <w:color w:val="646464"/>
                <w:sz w:val="24"/>
              </w:rPr>
              <w:t>INSERT MEANINGFUL SCREENSHOT HERE</w:t>
            </w:r>
          </w:p>
          <w:p w14:paraId="42B7B287" w14:textId="77777777" w:rsidR="0013665B" w:rsidRDefault="00000000">
            <w:pPr>
              <w:jc w:val="center"/>
            </w:pPr>
            <w:r>
              <w:rPr>
                <w:i/>
                <w:color w:val="646464"/>
                <w:sz w:val="18"/>
              </w:rPr>
              <w:t>Capture only the combined summary header and the disease-relevant CNV row. Explain agreement or disagreement among the three tools.</w:t>
            </w:r>
          </w:p>
        </w:tc>
      </w:tr>
    </w:tbl>
    <w:p w14:paraId="1FC6F1D1" w14:textId="77777777" w:rsidR="0013665B" w:rsidRDefault="0013665B">
      <w:pPr>
        <w:spacing w:after="0"/>
      </w:pPr>
    </w:p>
    <w:p w14:paraId="2E379361" w14:textId="19FE08A0" w:rsidR="0013665B" w:rsidRDefault="00000000">
      <w:r>
        <w:t>GitHub links for this disease:</w:t>
      </w:r>
      <w:r w:rsidR="008F4B30" w:rsidRPr="008F4B30">
        <w:rPr>
          <w:noProof/>
        </w:rPr>
        <w:t xml:space="preserve"> </w:t>
      </w:r>
    </w:p>
    <w:p w14:paraId="251DA969" w14:textId="77777777" w:rsidR="0013665B" w:rsidRDefault="00000000">
      <w:r>
        <w:rPr>
          <w:b/>
          <w:sz w:val="19"/>
        </w:rPr>
        <w:t xml:space="preserve">Unannotated SNV VCF: </w:t>
      </w:r>
      <w:r>
        <w:rPr>
          <w:i/>
          <w:color w:val="C0504D"/>
          <w:sz w:val="19"/>
        </w:rPr>
        <w:t>[PASTE GITHUB URL AFTER UPLOAD]</w:t>
      </w:r>
    </w:p>
    <w:p w14:paraId="7DF8EB52" w14:textId="77777777" w:rsidR="0013665B" w:rsidRDefault="00000000">
      <w:r>
        <w:rPr>
          <w:b/>
          <w:sz w:val="19"/>
        </w:rPr>
        <w:t xml:space="preserve">GPT-annotated educational SNV VCF (if retained): </w:t>
      </w:r>
      <w:r>
        <w:rPr>
          <w:i/>
          <w:color w:val="C0504D"/>
          <w:sz w:val="19"/>
        </w:rPr>
        <w:t>[PASTE GITHUB URL AFTER UPLOAD]</w:t>
      </w:r>
    </w:p>
    <w:p w14:paraId="5168A23F" w14:textId="77777777" w:rsidR="0013665B" w:rsidRDefault="00000000">
      <w:r>
        <w:rPr>
          <w:b/>
          <w:sz w:val="19"/>
        </w:rPr>
        <w:t xml:space="preserve">Pipeline-annotated final SNV VCF: </w:t>
      </w:r>
      <w:r>
        <w:rPr>
          <w:i/>
          <w:color w:val="C0504D"/>
          <w:sz w:val="19"/>
        </w:rPr>
        <w:t>[PASTE GITHUB URL AFTER UPLOAD]</w:t>
      </w:r>
    </w:p>
    <w:p w14:paraId="362535A9" w14:textId="77777777" w:rsidR="0013665B" w:rsidRDefault="00000000">
      <w:r>
        <w:rPr>
          <w:b/>
          <w:sz w:val="19"/>
        </w:rPr>
        <w:t xml:space="preserve">Unannotated CNV VCF: </w:t>
      </w:r>
      <w:r>
        <w:rPr>
          <w:i/>
          <w:color w:val="C0504D"/>
          <w:sz w:val="19"/>
        </w:rPr>
        <w:t>[PASTE GITHUB URL AFTER UPLOAD]</w:t>
      </w:r>
    </w:p>
    <w:p w14:paraId="4C886804" w14:textId="77777777" w:rsidR="0013665B" w:rsidRDefault="00000000">
      <w:r>
        <w:rPr>
          <w:b/>
          <w:sz w:val="19"/>
        </w:rPr>
        <w:t xml:space="preserve">Converted CNV BED: </w:t>
      </w:r>
      <w:r>
        <w:rPr>
          <w:i/>
          <w:color w:val="C0504D"/>
          <w:sz w:val="19"/>
        </w:rPr>
        <w:t>[PASTE GITHUB URL AFTER UPLOAD]</w:t>
      </w:r>
    </w:p>
    <w:p w14:paraId="280B3034" w14:textId="77777777" w:rsidR="0013665B" w:rsidRDefault="00000000">
      <w:r>
        <w:rPr>
          <w:b/>
          <w:sz w:val="19"/>
        </w:rPr>
        <w:t xml:space="preserve">Combined CNV summary: </w:t>
      </w:r>
      <w:r>
        <w:rPr>
          <w:i/>
          <w:color w:val="C0504D"/>
          <w:sz w:val="19"/>
        </w:rPr>
        <w:t>[PASTE GITHUB URL AFTER UPLOAD]</w:t>
      </w:r>
    </w:p>
    <w:p w14:paraId="5045110F" w14:textId="77777777" w:rsidR="0013665B" w:rsidRDefault="00000000">
      <w:pPr>
        <w:pStyle w:val="Heading2"/>
      </w:pPr>
      <w:r>
        <w:t>20.2 Monilethrix</w:t>
      </w:r>
    </w:p>
    <w:tbl>
      <w:tblPr>
        <w:tblStyle w:val="TableGrid"/>
        <w:tblW w:w="0" w:type="auto"/>
        <w:jc w:val="center"/>
        <w:tblLook w:val="04A0" w:firstRow="1" w:lastRow="0" w:firstColumn="1" w:lastColumn="0" w:noHBand="0" w:noVBand="1"/>
      </w:tblPr>
      <w:tblGrid>
        <w:gridCol w:w="5040"/>
        <w:gridCol w:w="5040"/>
      </w:tblGrid>
      <w:tr w:rsidR="0013665B" w14:paraId="183E6152" w14:textId="77777777">
        <w:trPr>
          <w:cantSplit/>
          <w:tblHeader/>
          <w:jc w:val="center"/>
        </w:trPr>
        <w:tc>
          <w:tcPr>
            <w:tcW w:w="5040" w:type="dxa"/>
            <w:shd w:val="clear" w:color="auto" w:fill="D9EAF7"/>
          </w:tcPr>
          <w:p w14:paraId="04AC41F2" w14:textId="77777777" w:rsidR="0013665B" w:rsidRDefault="00000000">
            <w:pPr>
              <w:jc w:val="center"/>
            </w:pPr>
            <w:r>
              <w:rPr>
                <w:b/>
                <w:sz w:val="18"/>
              </w:rPr>
              <w:t>Evidence branch</w:t>
            </w:r>
          </w:p>
        </w:tc>
        <w:tc>
          <w:tcPr>
            <w:tcW w:w="5040" w:type="dxa"/>
            <w:shd w:val="clear" w:color="auto" w:fill="D9EAF7"/>
          </w:tcPr>
          <w:p w14:paraId="5F6A9E0E" w14:textId="77777777" w:rsidR="0013665B" w:rsidRDefault="00000000">
            <w:pPr>
              <w:jc w:val="center"/>
            </w:pPr>
            <w:r>
              <w:rPr>
                <w:b/>
                <w:sz w:val="18"/>
              </w:rPr>
              <w:t>Meaningful result</w:t>
            </w:r>
          </w:p>
        </w:tc>
      </w:tr>
      <w:tr w:rsidR="0013665B" w14:paraId="5D9836F0" w14:textId="77777777">
        <w:trPr>
          <w:cantSplit/>
          <w:jc w:val="center"/>
        </w:trPr>
        <w:tc>
          <w:tcPr>
            <w:tcW w:w="5040" w:type="dxa"/>
          </w:tcPr>
          <w:p w14:paraId="2C283F49" w14:textId="77777777" w:rsidR="0013665B" w:rsidRDefault="00000000">
            <w:r>
              <w:rPr>
                <w:sz w:val="18"/>
              </w:rPr>
              <w:t>SNV</w:t>
            </w:r>
          </w:p>
        </w:tc>
        <w:tc>
          <w:tcPr>
            <w:tcW w:w="5040" w:type="dxa"/>
          </w:tcPr>
          <w:p w14:paraId="1F10ABB6" w14:textId="77777777" w:rsidR="0013665B" w:rsidRDefault="00000000">
            <w:r>
              <w:rPr>
                <w:sz w:val="18"/>
              </w:rPr>
              <w:t>KRT86 c.1239G&gt;T (p.Glu413Asp), pathogenic missense</w:t>
            </w:r>
          </w:p>
        </w:tc>
      </w:tr>
      <w:tr w:rsidR="0013665B" w14:paraId="1A5F58B1" w14:textId="77777777">
        <w:trPr>
          <w:cantSplit/>
          <w:jc w:val="center"/>
        </w:trPr>
        <w:tc>
          <w:tcPr>
            <w:tcW w:w="5040" w:type="dxa"/>
          </w:tcPr>
          <w:p w14:paraId="33807C84" w14:textId="77777777" w:rsidR="0013665B" w:rsidRDefault="00000000">
            <w:r>
              <w:rPr>
                <w:sz w:val="18"/>
              </w:rPr>
              <w:t>CNV</w:t>
            </w:r>
          </w:p>
        </w:tc>
        <w:tc>
          <w:tcPr>
            <w:tcW w:w="5040" w:type="dxa"/>
          </w:tcPr>
          <w:p w14:paraId="633599EF" w14:textId="77777777" w:rsidR="0013665B" w:rsidRDefault="00000000">
            <w:r>
              <w:rPr>
                <w:sz w:val="18"/>
              </w:rPr>
              <w:t>DSG4-containing deletion; AnnotSV pathogenic; ClassifyCNV uncertain; ISV 0.651</w:t>
            </w:r>
          </w:p>
        </w:tc>
      </w:tr>
    </w:tbl>
    <w:p w14:paraId="56DA433C" w14:textId="77777777" w:rsidR="0013665B" w:rsidRDefault="0013665B">
      <w:pPr>
        <w:spacing w:after="0"/>
      </w:pPr>
    </w:p>
    <w:p w14:paraId="0E5232D6" w14:textId="59902C18" w:rsidR="0013665B" w:rsidRDefault="00000000">
      <w:pPr>
        <w:keepNext/>
      </w:pPr>
      <w:r>
        <w:rPr>
          <w:b/>
          <w:color w:val="1F4E79"/>
          <w:sz w:val="21"/>
        </w:rPr>
        <w:t>Figure 9. Monilethrix - disease-focused SNV</w:t>
      </w:r>
    </w:p>
    <w:tbl>
      <w:tblPr>
        <w:tblW w:w="0" w:type="auto"/>
        <w:jc w:val="center"/>
        <w:tblLook w:val="04A0" w:firstRow="1" w:lastRow="0" w:firstColumn="1" w:lastColumn="0" w:noHBand="0" w:noVBand="1"/>
      </w:tblPr>
      <w:tblGrid>
        <w:gridCol w:w="9000"/>
      </w:tblGrid>
      <w:tr w:rsidR="0013665B" w14:paraId="1F420825" w14:textId="77777777">
        <w:trPr>
          <w:trHeight w:val="1600"/>
          <w:jc w:val="center"/>
        </w:trPr>
        <w:tc>
          <w:tcPr>
            <w:tcW w:w="9000" w:type="dxa"/>
            <w:tcBorders>
              <w:top w:val="dashed" w:sz="10" w:space="0" w:color="8A8A8A"/>
              <w:left w:val="dashed" w:sz="10" w:space="0" w:color="8A8A8A"/>
              <w:bottom w:val="dashed" w:sz="10" w:space="0" w:color="8A8A8A"/>
              <w:right w:val="dashed" w:sz="10" w:space="0" w:color="8A8A8A"/>
            </w:tcBorders>
            <w:shd w:val="clear" w:color="auto" w:fill="F7F7F7"/>
            <w:vAlign w:val="center"/>
          </w:tcPr>
          <w:p w14:paraId="0274EDA6" w14:textId="0FF98AC4" w:rsidR="0013665B" w:rsidRDefault="008F4B30">
            <w:pPr>
              <w:jc w:val="center"/>
            </w:pPr>
            <w:r w:rsidRPr="008F4B30">
              <w:rPr>
                <w:rFonts w:ascii="Liberation Mono" w:hAnsi="Liberation Mono"/>
                <w:sz w:val="16"/>
              </w:rPr>
              <w:drawing>
                <wp:anchor distT="0" distB="0" distL="114300" distR="114300" simplePos="0" relativeHeight="251657216" behindDoc="0" locked="0" layoutInCell="1" allowOverlap="1" wp14:anchorId="4BF7C399" wp14:editId="49A92126">
                  <wp:simplePos x="0" y="0"/>
                  <wp:positionH relativeFrom="column">
                    <wp:posOffset>-405130</wp:posOffset>
                  </wp:positionH>
                  <wp:positionV relativeFrom="paragraph">
                    <wp:posOffset>-9525</wp:posOffset>
                  </wp:positionV>
                  <wp:extent cx="6257290" cy="1017905"/>
                  <wp:effectExtent l="0" t="0" r="0" b="0"/>
                  <wp:wrapNone/>
                  <wp:docPr id="1247605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05777" name=""/>
                          <pic:cNvPicPr/>
                        </pic:nvPicPr>
                        <pic:blipFill>
                          <a:blip r:embed="rId16"/>
                          <a:stretch>
                            <a:fillRect/>
                          </a:stretch>
                        </pic:blipFill>
                        <pic:spPr>
                          <a:xfrm>
                            <a:off x="0" y="0"/>
                            <a:ext cx="6257290" cy="1017905"/>
                          </a:xfrm>
                          <a:prstGeom prst="rect">
                            <a:avLst/>
                          </a:prstGeom>
                        </pic:spPr>
                      </pic:pic>
                    </a:graphicData>
                  </a:graphic>
                  <wp14:sizeRelH relativeFrom="margin">
                    <wp14:pctWidth>0</wp14:pctWidth>
                  </wp14:sizeRelH>
                  <wp14:sizeRelV relativeFrom="margin">
                    <wp14:pctHeight>0</wp14:pctHeight>
                  </wp14:sizeRelV>
                </wp:anchor>
              </w:drawing>
            </w:r>
            <w:r w:rsidR="00000000">
              <w:rPr>
                <w:b/>
                <w:color w:val="646464"/>
                <w:sz w:val="24"/>
              </w:rPr>
              <w:t>INSERT MEANINGFUL SCREENSHOT HERE</w:t>
            </w:r>
          </w:p>
          <w:p w14:paraId="5ACDABBB" w14:textId="77777777" w:rsidR="0013665B" w:rsidRDefault="00000000">
            <w:pPr>
              <w:jc w:val="center"/>
            </w:pPr>
            <w:r>
              <w:rPr>
                <w:i/>
                <w:color w:val="646464"/>
                <w:sz w:val="18"/>
              </w:rPr>
              <w:t>Capture the single disease-target record. Add a short caption explaining gene, consequence, ClinVar class, and SpliceAI result.</w:t>
            </w:r>
          </w:p>
        </w:tc>
      </w:tr>
    </w:tbl>
    <w:p w14:paraId="2F844FB9" w14:textId="77777777" w:rsidR="0013665B" w:rsidRDefault="0013665B">
      <w:pPr>
        <w:spacing w:after="0"/>
      </w:pPr>
    </w:p>
    <w:p w14:paraId="01F32BE6" w14:textId="3185E313" w:rsidR="0013665B" w:rsidRDefault="00000000">
      <w:pPr>
        <w:keepNext/>
      </w:pPr>
      <w:r>
        <w:rPr>
          <w:b/>
          <w:color w:val="1F4E79"/>
          <w:sz w:val="21"/>
        </w:rPr>
        <w:lastRenderedPageBreak/>
        <w:t>Figure 10. Monilethrix - disease-focused CNV</w:t>
      </w:r>
    </w:p>
    <w:tbl>
      <w:tblPr>
        <w:tblW w:w="0" w:type="auto"/>
        <w:jc w:val="center"/>
        <w:tblLook w:val="04A0" w:firstRow="1" w:lastRow="0" w:firstColumn="1" w:lastColumn="0" w:noHBand="0" w:noVBand="1"/>
      </w:tblPr>
      <w:tblGrid>
        <w:gridCol w:w="9000"/>
      </w:tblGrid>
      <w:tr w:rsidR="0013665B" w14:paraId="3B81BA13" w14:textId="77777777">
        <w:trPr>
          <w:trHeight w:val="1600"/>
          <w:jc w:val="center"/>
        </w:trPr>
        <w:tc>
          <w:tcPr>
            <w:tcW w:w="9000" w:type="dxa"/>
            <w:tcBorders>
              <w:top w:val="dashed" w:sz="10" w:space="0" w:color="8A8A8A"/>
              <w:left w:val="dashed" w:sz="10" w:space="0" w:color="8A8A8A"/>
              <w:bottom w:val="dashed" w:sz="10" w:space="0" w:color="8A8A8A"/>
              <w:right w:val="dashed" w:sz="10" w:space="0" w:color="8A8A8A"/>
            </w:tcBorders>
            <w:shd w:val="clear" w:color="auto" w:fill="F7F7F7"/>
            <w:vAlign w:val="center"/>
          </w:tcPr>
          <w:p w14:paraId="68E7D92A" w14:textId="5FF97440" w:rsidR="0013665B" w:rsidRDefault="008F4B30">
            <w:pPr>
              <w:jc w:val="center"/>
            </w:pPr>
            <w:r w:rsidRPr="008F4B30">
              <w:rPr>
                <w:rFonts w:ascii="Liberation Mono" w:hAnsi="Liberation Mono"/>
                <w:sz w:val="16"/>
              </w:rPr>
              <w:drawing>
                <wp:anchor distT="0" distB="0" distL="114300" distR="114300" simplePos="0" relativeHeight="251660288" behindDoc="0" locked="0" layoutInCell="1" allowOverlap="1" wp14:anchorId="71067034" wp14:editId="4E796558">
                  <wp:simplePos x="0" y="0"/>
                  <wp:positionH relativeFrom="column">
                    <wp:posOffset>-405130</wp:posOffset>
                  </wp:positionH>
                  <wp:positionV relativeFrom="paragraph">
                    <wp:posOffset>-14605</wp:posOffset>
                  </wp:positionV>
                  <wp:extent cx="6400800" cy="1025525"/>
                  <wp:effectExtent l="0" t="0" r="0" b="3175"/>
                  <wp:wrapNone/>
                  <wp:docPr id="143999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90721" name=""/>
                          <pic:cNvPicPr/>
                        </pic:nvPicPr>
                        <pic:blipFill>
                          <a:blip r:embed="rId17"/>
                          <a:stretch>
                            <a:fillRect/>
                          </a:stretch>
                        </pic:blipFill>
                        <pic:spPr>
                          <a:xfrm>
                            <a:off x="0" y="0"/>
                            <a:ext cx="6400800" cy="1025525"/>
                          </a:xfrm>
                          <a:prstGeom prst="rect">
                            <a:avLst/>
                          </a:prstGeom>
                        </pic:spPr>
                      </pic:pic>
                    </a:graphicData>
                  </a:graphic>
                  <wp14:sizeRelH relativeFrom="margin">
                    <wp14:pctWidth>0</wp14:pctWidth>
                  </wp14:sizeRelH>
                  <wp14:sizeRelV relativeFrom="margin">
                    <wp14:pctHeight>0</wp14:pctHeight>
                  </wp14:sizeRelV>
                </wp:anchor>
              </w:drawing>
            </w:r>
            <w:r w:rsidR="00000000">
              <w:rPr>
                <w:b/>
                <w:color w:val="646464"/>
                <w:sz w:val="24"/>
              </w:rPr>
              <w:t>INSERT MEANINGFUL SCREENSHOT HERE</w:t>
            </w:r>
          </w:p>
          <w:p w14:paraId="21830C75" w14:textId="2F864FC7" w:rsidR="0013665B" w:rsidRDefault="00000000">
            <w:pPr>
              <w:jc w:val="center"/>
            </w:pPr>
            <w:r>
              <w:rPr>
                <w:i/>
                <w:color w:val="646464"/>
                <w:sz w:val="18"/>
              </w:rPr>
              <w:t>Capture only the combined summary header and the disease-relevant CNV row. Explain agreement or disagreement among the three tools.</w:t>
            </w:r>
          </w:p>
        </w:tc>
      </w:tr>
    </w:tbl>
    <w:p w14:paraId="26062883" w14:textId="77777777" w:rsidR="0013665B" w:rsidRDefault="0013665B">
      <w:pPr>
        <w:spacing w:after="0"/>
      </w:pPr>
    </w:p>
    <w:p w14:paraId="554CE6CE" w14:textId="77777777" w:rsidR="0013665B" w:rsidRDefault="00000000">
      <w:r>
        <w:t>GitHub links for this disease:</w:t>
      </w:r>
    </w:p>
    <w:p w14:paraId="023F560A" w14:textId="77777777" w:rsidR="0013665B" w:rsidRDefault="00000000">
      <w:r>
        <w:rPr>
          <w:b/>
          <w:sz w:val="19"/>
        </w:rPr>
        <w:t xml:space="preserve">Unannotated SNV VCF: </w:t>
      </w:r>
      <w:r>
        <w:rPr>
          <w:i/>
          <w:color w:val="C0504D"/>
          <w:sz w:val="19"/>
        </w:rPr>
        <w:t>[PASTE GITHUB URL AFTER UPLOAD]</w:t>
      </w:r>
    </w:p>
    <w:p w14:paraId="52D47202" w14:textId="77777777" w:rsidR="0013665B" w:rsidRDefault="00000000">
      <w:r>
        <w:rPr>
          <w:b/>
          <w:sz w:val="19"/>
        </w:rPr>
        <w:t xml:space="preserve">GPT-annotated educational SNV VCF (if retained): </w:t>
      </w:r>
      <w:r>
        <w:rPr>
          <w:i/>
          <w:color w:val="C0504D"/>
          <w:sz w:val="19"/>
        </w:rPr>
        <w:t>[PASTE GITHUB URL AFTER UPLOAD]</w:t>
      </w:r>
    </w:p>
    <w:p w14:paraId="3B268F4B" w14:textId="77777777" w:rsidR="0013665B" w:rsidRDefault="00000000">
      <w:r>
        <w:rPr>
          <w:b/>
          <w:sz w:val="19"/>
        </w:rPr>
        <w:t xml:space="preserve">Pipeline-annotated final SNV VCF: </w:t>
      </w:r>
      <w:r>
        <w:rPr>
          <w:i/>
          <w:color w:val="C0504D"/>
          <w:sz w:val="19"/>
        </w:rPr>
        <w:t>[PASTE GITHUB URL AFTER UPLOAD]</w:t>
      </w:r>
    </w:p>
    <w:p w14:paraId="5154158C" w14:textId="77777777" w:rsidR="0013665B" w:rsidRDefault="00000000">
      <w:r>
        <w:rPr>
          <w:b/>
          <w:sz w:val="19"/>
        </w:rPr>
        <w:t xml:space="preserve">Unannotated CNV VCF: </w:t>
      </w:r>
      <w:r>
        <w:rPr>
          <w:i/>
          <w:color w:val="C0504D"/>
          <w:sz w:val="19"/>
        </w:rPr>
        <w:t>[PASTE GITHUB URL AFTER UPLOAD]</w:t>
      </w:r>
    </w:p>
    <w:p w14:paraId="21CB8BE1" w14:textId="77777777" w:rsidR="0013665B" w:rsidRDefault="00000000">
      <w:r>
        <w:rPr>
          <w:b/>
          <w:sz w:val="19"/>
        </w:rPr>
        <w:t xml:space="preserve">Converted CNV BED: </w:t>
      </w:r>
      <w:r>
        <w:rPr>
          <w:i/>
          <w:color w:val="C0504D"/>
          <w:sz w:val="19"/>
        </w:rPr>
        <w:t>[PASTE GITHUB URL AFTER UPLOAD]</w:t>
      </w:r>
    </w:p>
    <w:p w14:paraId="18C1FF6C" w14:textId="77777777" w:rsidR="0013665B" w:rsidRDefault="00000000">
      <w:r>
        <w:rPr>
          <w:b/>
          <w:sz w:val="19"/>
        </w:rPr>
        <w:t xml:space="preserve">Combined CNV summary: </w:t>
      </w:r>
      <w:r>
        <w:rPr>
          <w:i/>
          <w:color w:val="C0504D"/>
          <w:sz w:val="19"/>
        </w:rPr>
        <w:t>[PASTE GITHUB URL AFTER UPLOAD]</w:t>
      </w:r>
    </w:p>
    <w:p w14:paraId="65708D0D" w14:textId="77777777" w:rsidR="0013665B" w:rsidRDefault="00000000">
      <w:pPr>
        <w:pStyle w:val="Heading2"/>
      </w:pPr>
      <w:r>
        <w:t>20.3 Androgen Insensitivity Syndrome</w:t>
      </w:r>
    </w:p>
    <w:tbl>
      <w:tblPr>
        <w:tblStyle w:val="TableGrid"/>
        <w:tblW w:w="0" w:type="auto"/>
        <w:jc w:val="center"/>
        <w:tblLook w:val="04A0" w:firstRow="1" w:lastRow="0" w:firstColumn="1" w:lastColumn="0" w:noHBand="0" w:noVBand="1"/>
      </w:tblPr>
      <w:tblGrid>
        <w:gridCol w:w="5040"/>
        <w:gridCol w:w="5040"/>
      </w:tblGrid>
      <w:tr w:rsidR="0013665B" w14:paraId="3A0EBC07" w14:textId="77777777">
        <w:trPr>
          <w:cantSplit/>
          <w:tblHeader/>
          <w:jc w:val="center"/>
        </w:trPr>
        <w:tc>
          <w:tcPr>
            <w:tcW w:w="5040" w:type="dxa"/>
            <w:shd w:val="clear" w:color="auto" w:fill="D9EAF7"/>
          </w:tcPr>
          <w:p w14:paraId="29E01C1E" w14:textId="77777777" w:rsidR="0013665B" w:rsidRDefault="00000000">
            <w:pPr>
              <w:jc w:val="center"/>
            </w:pPr>
            <w:r>
              <w:rPr>
                <w:b/>
                <w:sz w:val="18"/>
              </w:rPr>
              <w:t>Evidence branch</w:t>
            </w:r>
          </w:p>
        </w:tc>
        <w:tc>
          <w:tcPr>
            <w:tcW w:w="5040" w:type="dxa"/>
            <w:shd w:val="clear" w:color="auto" w:fill="D9EAF7"/>
          </w:tcPr>
          <w:p w14:paraId="15A3700F" w14:textId="77777777" w:rsidR="0013665B" w:rsidRDefault="00000000">
            <w:pPr>
              <w:jc w:val="center"/>
            </w:pPr>
            <w:r>
              <w:rPr>
                <w:b/>
                <w:sz w:val="18"/>
              </w:rPr>
              <w:t>Meaningful result</w:t>
            </w:r>
          </w:p>
        </w:tc>
      </w:tr>
      <w:tr w:rsidR="0013665B" w14:paraId="1DF38628" w14:textId="77777777">
        <w:trPr>
          <w:cantSplit/>
          <w:jc w:val="center"/>
        </w:trPr>
        <w:tc>
          <w:tcPr>
            <w:tcW w:w="5040" w:type="dxa"/>
          </w:tcPr>
          <w:p w14:paraId="62502472" w14:textId="77777777" w:rsidR="0013665B" w:rsidRDefault="00000000">
            <w:r>
              <w:rPr>
                <w:sz w:val="18"/>
              </w:rPr>
              <w:t>SNV</w:t>
            </w:r>
          </w:p>
        </w:tc>
        <w:tc>
          <w:tcPr>
            <w:tcW w:w="5040" w:type="dxa"/>
          </w:tcPr>
          <w:p w14:paraId="37930354" w14:textId="77777777" w:rsidR="0013665B" w:rsidRDefault="00000000">
            <w:r>
              <w:rPr>
                <w:sz w:val="18"/>
              </w:rPr>
              <w:t>AR c.2359C&gt;T (p.Arg787Ter), pathogenic stop-gained</w:t>
            </w:r>
          </w:p>
        </w:tc>
      </w:tr>
      <w:tr w:rsidR="0013665B" w14:paraId="4CE9F522" w14:textId="77777777">
        <w:trPr>
          <w:cantSplit/>
          <w:jc w:val="center"/>
        </w:trPr>
        <w:tc>
          <w:tcPr>
            <w:tcW w:w="5040" w:type="dxa"/>
          </w:tcPr>
          <w:p w14:paraId="226E81CD" w14:textId="77777777" w:rsidR="0013665B" w:rsidRDefault="00000000">
            <w:r>
              <w:rPr>
                <w:sz w:val="18"/>
              </w:rPr>
              <w:t>CNV</w:t>
            </w:r>
          </w:p>
        </w:tc>
        <w:tc>
          <w:tcPr>
            <w:tcW w:w="5040" w:type="dxa"/>
          </w:tcPr>
          <w:p w14:paraId="04766414" w14:textId="77777777" w:rsidR="0013665B" w:rsidRDefault="00000000">
            <w:r>
              <w:rPr>
                <w:sz w:val="18"/>
              </w:rPr>
              <w:t>AR deletion; AnnotSV pathogenic; ClassifyCNV pathogenic; ISV 0.541</w:t>
            </w:r>
          </w:p>
        </w:tc>
      </w:tr>
    </w:tbl>
    <w:p w14:paraId="466DF716" w14:textId="77777777" w:rsidR="0013665B" w:rsidRDefault="0013665B">
      <w:pPr>
        <w:spacing w:after="0"/>
      </w:pPr>
    </w:p>
    <w:p w14:paraId="03ACE9C0" w14:textId="77777777" w:rsidR="0013665B" w:rsidRDefault="00000000">
      <w:pPr>
        <w:keepNext/>
      </w:pPr>
      <w:r>
        <w:rPr>
          <w:b/>
          <w:color w:val="1F4E79"/>
          <w:sz w:val="21"/>
        </w:rPr>
        <w:t>Figure 11. Androgen Insensitivity Syndrome - disease-focused SNV</w:t>
      </w:r>
    </w:p>
    <w:tbl>
      <w:tblPr>
        <w:tblW w:w="0" w:type="auto"/>
        <w:jc w:val="center"/>
        <w:tblLook w:val="04A0" w:firstRow="1" w:lastRow="0" w:firstColumn="1" w:lastColumn="0" w:noHBand="0" w:noVBand="1"/>
      </w:tblPr>
      <w:tblGrid>
        <w:gridCol w:w="9000"/>
      </w:tblGrid>
      <w:tr w:rsidR="0013665B" w14:paraId="4C3C4FE4" w14:textId="77777777">
        <w:trPr>
          <w:trHeight w:val="1600"/>
          <w:jc w:val="center"/>
        </w:trPr>
        <w:tc>
          <w:tcPr>
            <w:tcW w:w="9000" w:type="dxa"/>
            <w:tcBorders>
              <w:top w:val="dashed" w:sz="10" w:space="0" w:color="8A8A8A"/>
              <w:left w:val="dashed" w:sz="10" w:space="0" w:color="8A8A8A"/>
              <w:bottom w:val="dashed" w:sz="10" w:space="0" w:color="8A8A8A"/>
              <w:right w:val="dashed" w:sz="10" w:space="0" w:color="8A8A8A"/>
            </w:tcBorders>
            <w:shd w:val="clear" w:color="auto" w:fill="F7F7F7"/>
            <w:vAlign w:val="center"/>
          </w:tcPr>
          <w:p w14:paraId="1B902DAA" w14:textId="36D60F2F" w:rsidR="0013665B" w:rsidRDefault="008F4B30">
            <w:pPr>
              <w:jc w:val="center"/>
            </w:pPr>
            <w:r w:rsidRPr="008F4B30">
              <w:rPr>
                <w:b/>
                <w:color w:val="1F4E79"/>
                <w:sz w:val="21"/>
              </w:rPr>
              <w:drawing>
                <wp:anchor distT="0" distB="0" distL="114300" distR="114300" simplePos="0" relativeHeight="251663360" behindDoc="0" locked="0" layoutInCell="1" allowOverlap="1" wp14:anchorId="33065AF6" wp14:editId="4CF1935D">
                  <wp:simplePos x="0" y="0"/>
                  <wp:positionH relativeFrom="column">
                    <wp:posOffset>-396875</wp:posOffset>
                  </wp:positionH>
                  <wp:positionV relativeFrom="paragraph">
                    <wp:posOffset>-17780</wp:posOffset>
                  </wp:positionV>
                  <wp:extent cx="6400800" cy="1041400"/>
                  <wp:effectExtent l="0" t="0" r="0" b="6350"/>
                  <wp:wrapNone/>
                  <wp:docPr id="162489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98539" name=""/>
                          <pic:cNvPicPr/>
                        </pic:nvPicPr>
                        <pic:blipFill>
                          <a:blip r:embed="rId18"/>
                          <a:stretch>
                            <a:fillRect/>
                          </a:stretch>
                        </pic:blipFill>
                        <pic:spPr>
                          <a:xfrm>
                            <a:off x="0" y="0"/>
                            <a:ext cx="6400800" cy="1041400"/>
                          </a:xfrm>
                          <a:prstGeom prst="rect">
                            <a:avLst/>
                          </a:prstGeom>
                        </pic:spPr>
                      </pic:pic>
                    </a:graphicData>
                  </a:graphic>
                  <wp14:sizeRelH relativeFrom="margin">
                    <wp14:pctWidth>0</wp14:pctWidth>
                  </wp14:sizeRelH>
                  <wp14:sizeRelV relativeFrom="margin">
                    <wp14:pctHeight>0</wp14:pctHeight>
                  </wp14:sizeRelV>
                </wp:anchor>
              </w:drawing>
            </w:r>
            <w:r w:rsidR="00000000">
              <w:rPr>
                <w:b/>
                <w:color w:val="646464"/>
                <w:sz w:val="24"/>
              </w:rPr>
              <w:t>INSERT MEANINGFUL SCREENSHOT HERE</w:t>
            </w:r>
          </w:p>
          <w:p w14:paraId="05348E1B" w14:textId="1D533CE1" w:rsidR="0013665B" w:rsidRDefault="00000000">
            <w:pPr>
              <w:jc w:val="center"/>
            </w:pPr>
            <w:r>
              <w:rPr>
                <w:i/>
                <w:color w:val="646464"/>
                <w:sz w:val="18"/>
              </w:rPr>
              <w:t>Capture the single disease-target record. Add a short caption explaining gene, consequence, ClinVar class, and SpliceAI result.</w:t>
            </w:r>
          </w:p>
        </w:tc>
      </w:tr>
    </w:tbl>
    <w:p w14:paraId="6C49BBBA" w14:textId="77777777" w:rsidR="0013665B" w:rsidRDefault="0013665B">
      <w:pPr>
        <w:spacing w:after="0"/>
      </w:pPr>
    </w:p>
    <w:p w14:paraId="63B3B452" w14:textId="460C8B24" w:rsidR="0013665B" w:rsidRDefault="00000000">
      <w:pPr>
        <w:keepNext/>
      </w:pPr>
      <w:r>
        <w:rPr>
          <w:b/>
          <w:color w:val="1F4E79"/>
          <w:sz w:val="21"/>
        </w:rPr>
        <w:t>Figure 12. Androgen Insensitivity Syndrome - disease-focused CNV</w:t>
      </w:r>
      <w:r w:rsidR="008F4B30" w:rsidRPr="008F4B30">
        <w:rPr>
          <w:noProof/>
        </w:rPr>
        <w:t xml:space="preserve"> </w:t>
      </w:r>
    </w:p>
    <w:tbl>
      <w:tblPr>
        <w:tblW w:w="0" w:type="auto"/>
        <w:jc w:val="center"/>
        <w:tblLook w:val="04A0" w:firstRow="1" w:lastRow="0" w:firstColumn="1" w:lastColumn="0" w:noHBand="0" w:noVBand="1"/>
      </w:tblPr>
      <w:tblGrid>
        <w:gridCol w:w="9000"/>
      </w:tblGrid>
      <w:tr w:rsidR="0013665B" w14:paraId="47BF31AC" w14:textId="77777777">
        <w:trPr>
          <w:trHeight w:val="1600"/>
          <w:jc w:val="center"/>
        </w:trPr>
        <w:tc>
          <w:tcPr>
            <w:tcW w:w="9000" w:type="dxa"/>
            <w:tcBorders>
              <w:top w:val="dashed" w:sz="10" w:space="0" w:color="8A8A8A"/>
              <w:left w:val="dashed" w:sz="10" w:space="0" w:color="8A8A8A"/>
              <w:bottom w:val="dashed" w:sz="10" w:space="0" w:color="8A8A8A"/>
              <w:right w:val="dashed" w:sz="10" w:space="0" w:color="8A8A8A"/>
            </w:tcBorders>
            <w:shd w:val="clear" w:color="auto" w:fill="F7F7F7"/>
            <w:vAlign w:val="center"/>
          </w:tcPr>
          <w:p w14:paraId="0019A168" w14:textId="578FB664" w:rsidR="0013665B" w:rsidRDefault="00255B83">
            <w:pPr>
              <w:jc w:val="center"/>
            </w:pPr>
            <w:r w:rsidRPr="00255B83">
              <w:rPr>
                <w:i/>
                <w:color w:val="C0504D"/>
                <w:sz w:val="19"/>
              </w:rPr>
              <w:drawing>
                <wp:anchor distT="0" distB="0" distL="114300" distR="114300" simplePos="0" relativeHeight="251666432" behindDoc="0" locked="0" layoutInCell="1" allowOverlap="1" wp14:anchorId="5EDE1BE1" wp14:editId="6D5E5E98">
                  <wp:simplePos x="0" y="0"/>
                  <wp:positionH relativeFrom="column">
                    <wp:posOffset>-349250</wp:posOffset>
                  </wp:positionH>
                  <wp:positionV relativeFrom="paragraph">
                    <wp:posOffset>-1270</wp:posOffset>
                  </wp:positionV>
                  <wp:extent cx="6400800" cy="1025525"/>
                  <wp:effectExtent l="0" t="0" r="0" b="3175"/>
                  <wp:wrapNone/>
                  <wp:docPr id="69775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53075" name=""/>
                          <pic:cNvPicPr/>
                        </pic:nvPicPr>
                        <pic:blipFill>
                          <a:blip r:embed="rId19"/>
                          <a:stretch>
                            <a:fillRect/>
                          </a:stretch>
                        </pic:blipFill>
                        <pic:spPr>
                          <a:xfrm>
                            <a:off x="0" y="0"/>
                            <a:ext cx="6400800" cy="1025525"/>
                          </a:xfrm>
                          <a:prstGeom prst="rect">
                            <a:avLst/>
                          </a:prstGeom>
                        </pic:spPr>
                      </pic:pic>
                    </a:graphicData>
                  </a:graphic>
                  <wp14:sizeRelH relativeFrom="margin">
                    <wp14:pctWidth>0</wp14:pctWidth>
                  </wp14:sizeRelH>
                  <wp14:sizeRelV relativeFrom="margin">
                    <wp14:pctHeight>0</wp14:pctHeight>
                  </wp14:sizeRelV>
                </wp:anchor>
              </w:drawing>
            </w:r>
            <w:r w:rsidR="00000000">
              <w:rPr>
                <w:b/>
                <w:color w:val="646464"/>
                <w:sz w:val="24"/>
              </w:rPr>
              <w:t>INSERT MEANINGFUL SCREENSHOT HERE</w:t>
            </w:r>
          </w:p>
          <w:p w14:paraId="7251D0AB" w14:textId="08B7A98D" w:rsidR="0013665B" w:rsidRDefault="00000000">
            <w:pPr>
              <w:jc w:val="center"/>
            </w:pPr>
            <w:r>
              <w:rPr>
                <w:i/>
                <w:color w:val="646464"/>
                <w:sz w:val="18"/>
              </w:rPr>
              <w:t>Capture only the combined summary header and the disease-relevant CNV row. Explain agreement or disagreement among the three tools.</w:t>
            </w:r>
          </w:p>
        </w:tc>
      </w:tr>
    </w:tbl>
    <w:p w14:paraId="6E98A135" w14:textId="77777777" w:rsidR="0013665B" w:rsidRDefault="0013665B">
      <w:pPr>
        <w:spacing w:after="0"/>
      </w:pPr>
    </w:p>
    <w:p w14:paraId="706D4EAF" w14:textId="77777777" w:rsidR="0013665B" w:rsidRDefault="00000000">
      <w:r>
        <w:t>GitHub links for this disease:</w:t>
      </w:r>
    </w:p>
    <w:p w14:paraId="2C708716" w14:textId="32A3F8E2" w:rsidR="0013665B" w:rsidRDefault="00000000">
      <w:r>
        <w:rPr>
          <w:b/>
          <w:sz w:val="19"/>
        </w:rPr>
        <w:t xml:space="preserve">Unannotated SNV VCF: </w:t>
      </w:r>
      <w:r>
        <w:rPr>
          <w:i/>
          <w:color w:val="C0504D"/>
          <w:sz w:val="19"/>
        </w:rPr>
        <w:t>[PASTE GITHUB URL AFTER UPLOAD]</w:t>
      </w:r>
      <w:r w:rsidR="00255B83" w:rsidRPr="00255B83">
        <w:rPr>
          <w:noProof/>
        </w:rPr>
        <w:t xml:space="preserve"> </w:t>
      </w:r>
    </w:p>
    <w:p w14:paraId="73FB260A" w14:textId="77777777" w:rsidR="0013665B" w:rsidRDefault="00000000">
      <w:r>
        <w:rPr>
          <w:b/>
          <w:sz w:val="19"/>
        </w:rPr>
        <w:t xml:space="preserve">GPT-annotated educational SNV VCF (if retained): </w:t>
      </w:r>
      <w:r>
        <w:rPr>
          <w:i/>
          <w:color w:val="C0504D"/>
          <w:sz w:val="19"/>
        </w:rPr>
        <w:t>[PASTE GITHUB URL AFTER UPLOAD]</w:t>
      </w:r>
    </w:p>
    <w:p w14:paraId="04EF3FAD" w14:textId="77777777" w:rsidR="0013665B" w:rsidRDefault="00000000">
      <w:r>
        <w:rPr>
          <w:b/>
          <w:sz w:val="19"/>
        </w:rPr>
        <w:t xml:space="preserve">Pipeline-annotated final SNV VCF: </w:t>
      </w:r>
      <w:r>
        <w:rPr>
          <w:i/>
          <w:color w:val="C0504D"/>
          <w:sz w:val="19"/>
        </w:rPr>
        <w:t>[PASTE GITHUB URL AFTER UPLOAD]</w:t>
      </w:r>
    </w:p>
    <w:p w14:paraId="696A9501" w14:textId="77777777" w:rsidR="0013665B" w:rsidRDefault="00000000">
      <w:r>
        <w:rPr>
          <w:b/>
          <w:sz w:val="19"/>
        </w:rPr>
        <w:t xml:space="preserve">Unannotated CNV VCF: </w:t>
      </w:r>
      <w:r>
        <w:rPr>
          <w:i/>
          <w:color w:val="C0504D"/>
          <w:sz w:val="19"/>
        </w:rPr>
        <w:t>[PASTE GITHUB URL AFTER UPLOAD]</w:t>
      </w:r>
    </w:p>
    <w:p w14:paraId="38E33A4E" w14:textId="77777777" w:rsidR="0013665B" w:rsidRDefault="00000000">
      <w:r>
        <w:rPr>
          <w:b/>
          <w:sz w:val="19"/>
        </w:rPr>
        <w:t xml:space="preserve">Converted CNV BED: </w:t>
      </w:r>
      <w:r>
        <w:rPr>
          <w:i/>
          <w:color w:val="C0504D"/>
          <w:sz w:val="19"/>
        </w:rPr>
        <w:t>[PASTE GITHUB URL AFTER UPLOAD]</w:t>
      </w:r>
    </w:p>
    <w:p w14:paraId="00408E3E" w14:textId="77777777" w:rsidR="0013665B" w:rsidRDefault="00000000">
      <w:r>
        <w:rPr>
          <w:b/>
          <w:sz w:val="19"/>
        </w:rPr>
        <w:t xml:space="preserve">Combined CNV summary: </w:t>
      </w:r>
      <w:r>
        <w:rPr>
          <w:i/>
          <w:color w:val="C0504D"/>
          <w:sz w:val="19"/>
        </w:rPr>
        <w:t>[PASTE GITHUB URL AFTER UPLOAD]</w:t>
      </w:r>
    </w:p>
    <w:p w14:paraId="479D9413" w14:textId="77777777" w:rsidR="0013665B" w:rsidRDefault="00000000">
      <w:pPr>
        <w:pStyle w:val="Heading2"/>
      </w:pPr>
      <w:r>
        <w:lastRenderedPageBreak/>
        <w:t>20.4 Neurofibromatosis Type 1</w:t>
      </w:r>
    </w:p>
    <w:tbl>
      <w:tblPr>
        <w:tblStyle w:val="TableGrid"/>
        <w:tblW w:w="0" w:type="auto"/>
        <w:jc w:val="center"/>
        <w:tblLook w:val="04A0" w:firstRow="1" w:lastRow="0" w:firstColumn="1" w:lastColumn="0" w:noHBand="0" w:noVBand="1"/>
      </w:tblPr>
      <w:tblGrid>
        <w:gridCol w:w="5040"/>
        <w:gridCol w:w="5040"/>
      </w:tblGrid>
      <w:tr w:rsidR="0013665B" w14:paraId="595556F9" w14:textId="77777777">
        <w:trPr>
          <w:cantSplit/>
          <w:tblHeader/>
          <w:jc w:val="center"/>
        </w:trPr>
        <w:tc>
          <w:tcPr>
            <w:tcW w:w="5040" w:type="dxa"/>
            <w:shd w:val="clear" w:color="auto" w:fill="D9EAF7"/>
          </w:tcPr>
          <w:p w14:paraId="0346758C" w14:textId="77777777" w:rsidR="0013665B" w:rsidRDefault="00000000">
            <w:pPr>
              <w:jc w:val="center"/>
            </w:pPr>
            <w:r>
              <w:rPr>
                <w:b/>
                <w:sz w:val="18"/>
              </w:rPr>
              <w:t>Evidence branch</w:t>
            </w:r>
          </w:p>
        </w:tc>
        <w:tc>
          <w:tcPr>
            <w:tcW w:w="5040" w:type="dxa"/>
            <w:shd w:val="clear" w:color="auto" w:fill="D9EAF7"/>
          </w:tcPr>
          <w:p w14:paraId="41183927" w14:textId="77777777" w:rsidR="0013665B" w:rsidRDefault="00000000">
            <w:pPr>
              <w:jc w:val="center"/>
            </w:pPr>
            <w:r>
              <w:rPr>
                <w:b/>
                <w:sz w:val="18"/>
              </w:rPr>
              <w:t>Meaningful result</w:t>
            </w:r>
          </w:p>
        </w:tc>
      </w:tr>
      <w:tr w:rsidR="0013665B" w14:paraId="489DBFAE" w14:textId="77777777">
        <w:trPr>
          <w:cantSplit/>
          <w:jc w:val="center"/>
        </w:trPr>
        <w:tc>
          <w:tcPr>
            <w:tcW w:w="5040" w:type="dxa"/>
          </w:tcPr>
          <w:p w14:paraId="39F67C14" w14:textId="77777777" w:rsidR="0013665B" w:rsidRDefault="00000000">
            <w:r>
              <w:rPr>
                <w:sz w:val="18"/>
              </w:rPr>
              <w:t>SNV</w:t>
            </w:r>
          </w:p>
        </w:tc>
        <w:tc>
          <w:tcPr>
            <w:tcW w:w="5040" w:type="dxa"/>
          </w:tcPr>
          <w:p w14:paraId="4002DB24" w14:textId="77777777" w:rsidR="0013665B" w:rsidRDefault="00000000">
            <w:r>
              <w:rPr>
                <w:sz w:val="18"/>
              </w:rPr>
              <w:t>NF1 c.3113+1G&gt;A, pathogenic splice-donor; SpliceAI donor loss 1.00</w:t>
            </w:r>
          </w:p>
        </w:tc>
      </w:tr>
      <w:tr w:rsidR="0013665B" w14:paraId="542F52AA" w14:textId="77777777">
        <w:trPr>
          <w:cantSplit/>
          <w:jc w:val="center"/>
        </w:trPr>
        <w:tc>
          <w:tcPr>
            <w:tcW w:w="5040" w:type="dxa"/>
          </w:tcPr>
          <w:p w14:paraId="66CF5A9D" w14:textId="77777777" w:rsidR="0013665B" w:rsidRDefault="00000000">
            <w:r>
              <w:rPr>
                <w:sz w:val="18"/>
              </w:rPr>
              <w:t>CNV</w:t>
            </w:r>
          </w:p>
        </w:tc>
        <w:tc>
          <w:tcPr>
            <w:tcW w:w="5040" w:type="dxa"/>
          </w:tcPr>
          <w:p w14:paraId="3BD42229" w14:textId="77777777" w:rsidR="0013665B" w:rsidRDefault="00000000">
            <w:r>
              <w:rPr>
                <w:sz w:val="18"/>
              </w:rPr>
              <w:t>NF1-containing deletion; AnnotSV pathogenic; ClassifyCNV pathogenic; ISV 0.990, above threshold</w:t>
            </w:r>
          </w:p>
        </w:tc>
      </w:tr>
    </w:tbl>
    <w:p w14:paraId="36832072" w14:textId="77777777" w:rsidR="0013665B" w:rsidRDefault="0013665B">
      <w:pPr>
        <w:spacing w:after="0"/>
      </w:pPr>
    </w:p>
    <w:p w14:paraId="5F808356" w14:textId="26DCE5CE" w:rsidR="0013665B" w:rsidRDefault="00000000">
      <w:pPr>
        <w:keepNext/>
      </w:pPr>
      <w:r>
        <w:rPr>
          <w:b/>
          <w:color w:val="1F4E79"/>
          <w:sz w:val="21"/>
        </w:rPr>
        <w:t>Figure 13. Neurofibromatosis Type 1 - disease-focused SNV</w:t>
      </w:r>
    </w:p>
    <w:tbl>
      <w:tblPr>
        <w:tblW w:w="0" w:type="auto"/>
        <w:jc w:val="center"/>
        <w:tblLook w:val="04A0" w:firstRow="1" w:lastRow="0" w:firstColumn="1" w:lastColumn="0" w:noHBand="0" w:noVBand="1"/>
      </w:tblPr>
      <w:tblGrid>
        <w:gridCol w:w="9000"/>
      </w:tblGrid>
      <w:tr w:rsidR="0013665B" w14:paraId="35C7FFA1" w14:textId="77777777">
        <w:trPr>
          <w:trHeight w:val="1600"/>
          <w:jc w:val="center"/>
        </w:trPr>
        <w:tc>
          <w:tcPr>
            <w:tcW w:w="9000" w:type="dxa"/>
            <w:tcBorders>
              <w:top w:val="dashed" w:sz="10" w:space="0" w:color="8A8A8A"/>
              <w:left w:val="dashed" w:sz="10" w:space="0" w:color="8A8A8A"/>
              <w:bottom w:val="dashed" w:sz="10" w:space="0" w:color="8A8A8A"/>
              <w:right w:val="dashed" w:sz="10" w:space="0" w:color="8A8A8A"/>
            </w:tcBorders>
            <w:shd w:val="clear" w:color="auto" w:fill="F7F7F7"/>
            <w:vAlign w:val="center"/>
          </w:tcPr>
          <w:p w14:paraId="644B3F4B" w14:textId="1E296BA5" w:rsidR="0013665B" w:rsidRDefault="00255B83" w:rsidP="000A24BB">
            <w:pPr>
              <w:jc w:val="center"/>
            </w:pPr>
            <w:r w:rsidRPr="00255B83">
              <w:rPr>
                <w:b/>
                <w:color w:val="1F4E79"/>
                <w:sz w:val="21"/>
              </w:rPr>
              <w:drawing>
                <wp:anchor distT="0" distB="0" distL="114300" distR="114300" simplePos="0" relativeHeight="251669504" behindDoc="0" locked="0" layoutInCell="1" allowOverlap="1" wp14:anchorId="14562EF6" wp14:editId="7C59ABB7">
                  <wp:simplePos x="0" y="0"/>
                  <wp:positionH relativeFrom="column">
                    <wp:posOffset>-356870</wp:posOffset>
                  </wp:positionH>
                  <wp:positionV relativeFrom="paragraph">
                    <wp:posOffset>-26035</wp:posOffset>
                  </wp:positionV>
                  <wp:extent cx="6400800" cy="1064895"/>
                  <wp:effectExtent l="0" t="0" r="0" b="1905"/>
                  <wp:wrapNone/>
                  <wp:docPr id="51463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32125" name=""/>
                          <pic:cNvPicPr/>
                        </pic:nvPicPr>
                        <pic:blipFill>
                          <a:blip r:embed="rId20"/>
                          <a:stretch>
                            <a:fillRect/>
                          </a:stretch>
                        </pic:blipFill>
                        <pic:spPr>
                          <a:xfrm>
                            <a:off x="0" y="0"/>
                            <a:ext cx="6400800" cy="1064895"/>
                          </a:xfrm>
                          <a:prstGeom prst="rect">
                            <a:avLst/>
                          </a:prstGeom>
                        </pic:spPr>
                      </pic:pic>
                    </a:graphicData>
                  </a:graphic>
                  <wp14:sizeRelH relativeFrom="margin">
                    <wp14:pctWidth>0</wp14:pctWidth>
                  </wp14:sizeRelH>
                  <wp14:sizeRelV relativeFrom="margin">
                    <wp14:pctHeight>0</wp14:pctHeight>
                  </wp14:sizeRelV>
                </wp:anchor>
              </w:drawing>
            </w:r>
          </w:p>
        </w:tc>
      </w:tr>
    </w:tbl>
    <w:p w14:paraId="467495F7" w14:textId="77777777" w:rsidR="0013665B" w:rsidRDefault="0013665B">
      <w:pPr>
        <w:spacing w:after="0"/>
      </w:pPr>
    </w:p>
    <w:p w14:paraId="01A9FA74" w14:textId="1072289E" w:rsidR="0013665B" w:rsidRDefault="00000000">
      <w:pPr>
        <w:keepNext/>
      </w:pPr>
      <w:r>
        <w:rPr>
          <w:b/>
          <w:color w:val="1F4E79"/>
          <w:sz w:val="21"/>
        </w:rPr>
        <w:t>Figure 14. Neurofibromatosis Type 1 - disease-focused CNV</w:t>
      </w:r>
      <w:r w:rsidR="00255B83" w:rsidRPr="00255B83">
        <w:rPr>
          <w:noProof/>
        </w:rPr>
        <w:t xml:space="preserve"> </w:t>
      </w:r>
    </w:p>
    <w:tbl>
      <w:tblPr>
        <w:tblW w:w="0" w:type="auto"/>
        <w:jc w:val="center"/>
        <w:tblLook w:val="04A0" w:firstRow="1" w:lastRow="0" w:firstColumn="1" w:lastColumn="0" w:noHBand="0" w:noVBand="1"/>
      </w:tblPr>
      <w:tblGrid>
        <w:gridCol w:w="9000"/>
      </w:tblGrid>
      <w:tr w:rsidR="0013665B" w14:paraId="225214D7" w14:textId="77777777">
        <w:trPr>
          <w:trHeight w:val="1600"/>
          <w:jc w:val="center"/>
        </w:trPr>
        <w:tc>
          <w:tcPr>
            <w:tcW w:w="9000" w:type="dxa"/>
            <w:tcBorders>
              <w:top w:val="dashed" w:sz="10" w:space="0" w:color="8A8A8A"/>
              <w:left w:val="dashed" w:sz="10" w:space="0" w:color="8A8A8A"/>
              <w:bottom w:val="dashed" w:sz="10" w:space="0" w:color="8A8A8A"/>
              <w:right w:val="dashed" w:sz="10" w:space="0" w:color="8A8A8A"/>
            </w:tcBorders>
            <w:shd w:val="clear" w:color="auto" w:fill="F7F7F7"/>
            <w:vAlign w:val="center"/>
          </w:tcPr>
          <w:p w14:paraId="3D0C7786" w14:textId="3613569C" w:rsidR="0013665B" w:rsidRDefault="00255B83" w:rsidP="000A24BB">
            <w:pPr>
              <w:jc w:val="center"/>
            </w:pPr>
            <w:r w:rsidRPr="00255B83">
              <w:rPr>
                <w:noProof/>
              </w:rPr>
              <w:drawing>
                <wp:anchor distT="0" distB="0" distL="114300" distR="114300" simplePos="0" relativeHeight="251672576" behindDoc="0" locked="0" layoutInCell="1" allowOverlap="1" wp14:anchorId="0F3082C4" wp14:editId="23A60643">
                  <wp:simplePos x="0" y="0"/>
                  <wp:positionH relativeFrom="column">
                    <wp:posOffset>-396875</wp:posOffset>
                  </wp:positionH>
                  <wp:positionV relativeFrom="paragraph">
                    <wp:posOffset>-17780</wp:posOffset>
                  </wp:positionV>
                  <wp:extent cx="6400800" cy="1064895"/>
                  <wp:effectExtent l="0" t="0" r="0" b="1905"/>
                  <wp:wrapNone/>
                  <wp:docPr id="131170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04101" name=""/>
                          <pic:cNvPicPr/>
                        </pic:nvPicPr>
                        <pic:blipFill>
                          <a:blip r:embed="rId21"/>
                          <a:stretch>
                            <a:fillRect/>
                          </a:stretch>
                        </pic:blipFill>
                        <pic:spPr>
                          <a:xfrm>
                            <a:off x="0" y="0"/>
                            <a:ext cx="6400800" cy="1064895"/>
                          </a:xfrm>
                          <a:prstGeom prst="rect">
                            <a:avLst/>
                          </a:prstGeom>
                        </pic:spPr>
                      </pic:pic>
                    </a:graphicData>
                  </a:graphic>
                  <wp14:sizeRelH relativeFrom="margin">
                    <wp14:pctWidth>0</wp14:pctWidth>
                  </wp14:sizeRelH>
                  <wp14:sizeRelV relativeFrom="margin">
                    <wp14:pctHeight>0</wp14:pctHeight>
                  </wp14:sizeRelV>
                </wp:anchor>
              </w:drawing>
            </w:r>
          </w:p>
        </w:tc>
      </w:tr>
    </w:tbl>
    <w:p w14:paraId="79D4856F" w14:textId="77777777" w:rsidR="0013665B" w:rsidRDefault="0013665B">
      <w:pPr>
        <w:spacing w:after="0"/>
      </w:pPr>
    </w:p>
    <w:p w14:paraId="690FEEF4" w14:textId="77777777" w:rsidR="0013665B" w:rsidRDefault="00000000">
      <w:r>
        <w:t>GitHub links for this disease:</w:t>
      </w:r>
    </w:p>
    <w:p w14:paraId="234EFBC1" w14:textId="77777777" w:rsidR="0013665B" w:rsidRDefault="00000000">
      <w:r>
        <w:rPr>
          <w:b/>
          <w:sz w:val="19"/>
        </w:rPr>
        <w:t xml:space="preserve">Unannotated SNV VCF: </w:t>
      </w:r>
      <w:r>
        <w:rPr>
          <w:i/>
          <w:color w:val="C0504D"/>
          <w:sz w:val="19"/>
        </w:rPr>
        <w:t>[PASTE GITHUB URL AFTER UPLOAD]</w:t>
      </w:r>
    </w:p>
    <w:p w14:paraId="281CF148" w14:textId="77777777" w:rsidR="0013665B" w:rsidRDefault="00000000">
      <w:r>
        <w:rPr>
          <w:b/>
          <w:sz w:val="19"/>
        </w:rPr>
        <w:t xml:space="preserve">GPT-annotated educational SNV VCF (if retained): </w:t>
      </w:r>
      <w:r>
        <w:rPr>
          <w:i/>
          <w:color w:val="C0504D"/>
          <w:sz w:val="19"/>
        </w:rPr>
        <w:t>[PASTE GITHUB URL AFTER UPLOAD]</w:t>
      </w:r>
    </w:p>
    <w:p w14:paraId="79612CA5" w14:textId="77777777" w:rsidR="0013665B" w:rsidRDefault="00000000">
      <w:r>
        <w:rPr>
          <w:b/>
          <w:sz w:val="19"/>
        </w:rPr>
        <w:t xml:space="preserve">Pipeline-annotated final SNV VCF: </w:t>
      </w:r>
      <w:r>
        <w:rPr>
          <w:i/>
          <w:color w:val="C0504D"/>
          <w:sz w:val="19"/>
        </w:rPr>
        <w:t>[PASTE GITHUB URL AFTER UPLOAD]</w:t>
      </w:r>
    </w:p>
    <w:p w14:paraId="1FFABFD0" w14:textId="77777777" w:rsidR="0013665B" w:rsidRDefault="00000000">
      <w:r>
        <w:rPr>
          <w:b/>
          <w:sz w:val="19"/>
        </w:rPr>
        <w:t xml:space="preserve">Unannotated CNV VCF: </w:t>
      </w:r>
      <w:r>
        <w:rPr>
          <w:i/>
          <w:color w:val="C0504D"/>
          <w:sz w:val="19"/>
        </w:rPr>
        <w:t>[PASTE GITHUB URL AFTER UPLOAD]</w:t>
      </w:r>
    </w:p>
    <w:p w14:paraId="719D4A6D" w14:textId="77777777" w:rsidR="0013665B" w:rsidRDefault="00000000">
      <w:r>
        <w:rPr>
          <w:b/>
          <w:sz w:val="19"/>
        </w:rPr>
        <w:t xml:space="preserve">Converted CNV BED: </w:t>
      </w:r>
      <w:r>
        <w:rPr>
          <w:i/>
          <w:color w:val="C0504D"/>
          <w:sz w:val="19"/>
        </w:rPr>
        <w:t>[PASTE GITHUB URL AFTER UPLOAD]</w:t>
      </w:r>
    </w:p>
    <w:p w14:paraId="3A3D3CD2" w14:textId="77777777" w:rsidR="0013665B" w:rsidRDefault="00000000">
      <w:pPr>
        <w:rPr>
          <w:i/>
          <w:color w:val="C0504D"/>
          <w:sz w:val="19"/>
        </w:rPr>
      </w:pPr>
      <w:r>
        <w:rPr>
          <w:b/>
          <w:sz w:val="19"/>
        </w:rPr>
        <w:t xml:space="preserve">Combined CNV summary: </w:t>
      </w:r>
      <w:r>
        <w:rPr>
          <w:i/>
          <w:color w:val="C0504D"/>
          <w:sz w:val="19"/>
        </w:rPr>
        <w:t>[PASTE GITHUB URL AFTER UPLOAD]</w:t>
      </w:r>
    </w:p>
    <w:p w14:paraId="433F789C" w14:textId="1ABC83FC" w:rsidR="000A24BB" w:rsidRDefault="000A24BB" w:rsidP="000A24BB">
      <w:pPr>
        <w:pStyle w:val="Heading1"/>
      </w:pPr>
      <w:r>
        <w:t xml:space="preserve">22. </w:t>
      </w:r>
      <w:proofErr w:type="spellStart"/>
      <w:r>
        <w:t>WinterVar</w:t>
      </w:r>
      <w:proofErr w:type="spellEnd"/>
      <w:r>
        <w:t xml:space="preserve"> Results:</w:t>
      </w:r>
    </w:p>
    <w:p w14:paraId="161D2DED" w14:textId="4D543D70" w:rsidR="000A24BB" w:rsidRPr="000A24BB" w:rsidRDefault="00B34492" w:rsidP="000A24BB">
      <w:r>
        <w:rPr>
          <w:noProof/>
        </w:rPr>
        <w:drawing>
          <wp:anchor distT="0" distB="0" distL="114300" distR="114300" simplePos="0" relativeHeight="251682816" behindDoc="1" locked="0" layoutInCell="1" allowOverlap="1" wp14:anchorId="67936D7F" wp14:editId="4C9BA2DD">
            <wp:simplePos x="0" y="0"/>
            <wp:positionH relativeFrom="column">
              <wp:posOffset>2540</wp:posOffset>
            </wp:positionH>
            <wp:positionV relativeFrom="paragraph">
              <wp:posOffset>2267585</wp:posOffset>
            </wp:positionV>
            <wp:extent cx="6400800" cy="1870710"/>
            <wp:effectExtent l="0" t="0" r="0" b="0"/>
            <wp:wrapTight wrapText="bothSides">
              <wp:wrapPolygon edited="0">
                <wp:start x="0" y="0"/>
                <wp:lineTo x="0" y="21336"/>
                <wp:lineTo x="21536" y="21336"/>
                <wp:lineTo x="21536" y="0"/>
                <wp:lineTo x="0" y="0"/>
              </wp:wrapPolygon>
            </wp:wrapTight>
            <wp:docPr id="10770356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00800" cy="1870710"/>
                    </a:xfrm>
                    <a:prstGeom prst="rect">
                      <a:avLst/>
                    </a:prstGeom>
                    <a:noFill/>
                    <a:ln>
                      <a:noFill/>
                    </a:ln>
                  </pic:spPr>
                </pic:pic>
              </a:graphicData>
            </a:graphic>
          </wp:anchor>
        </w:drawing>
      </w:r>
      <w:r w:rsidR="00177E4E">
        <w:rPr>
          <w:noProof/>
        </w:rPr>
        <w:drawing>
          <wp:anchor distT="0" distB="0" distL="114300" distR="114300" simplePos="0" relativeHeight="251676672" behindDoc="1" locked="0" layoutInCell="1" allowOverlap="1" wp14:anchorId="1C21F436" wp14:editId="5D470BEB">
            <wp:simplePos x="0" y="0"/>
            <wp:positionH relativeFrom="column">
              <wp:posOffset>-2540</wp:posOffset>
            </wp:positionH>
            <wp:positionV relativeFrom="paragraph">
              <wp:posOffset>197485</wp:posOffset>
            </wp:positionV>
            <wp:extent cx="6400800" cy="1900555"/>
            <wp:effectExtent l="0" t="0" r="0" b="4445"/>
            <wp:wrapTight wrapText="bothSides">
              <wp:wrapPolygon edited="0">
                <wp:start x="0" y="0"/>
                <wp:lineTo x="0" y="21434"/>
                <wp:lineTo x="21536" y="21434"/>
                <wp:lineTo x="21536" y="0"/>
                <wp:lineTo x="0" y="0"/>
              </wp:wrapPolygon>
            </wp:wrapTight>
            <wp:docPr id="58944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0800" cy="1900555"/>
                    </a:xfrm>
                    <a:prstGeom prst="rect">
                      <a:avLst/>
                    </a:prstGeom>
                    <a:noFill/>
                    <a:ln>
                      <a:noFill/>
                    </a:ln>
                  </pic:spPr>
                </pic:pic>
              </a:graphicData>
            </a:graphic>
          </wp:anchor>
        </w:drawing>
      </w:r>
      <w:r w:rsidR="000A24BB">
        <w:rPr>
          <w:b/>
          <w:color w:val="1F4E79"/>
          <w:sz w:val="21"/>
        </w:rPr>
        <w:t>Figure 14.</w:t>
      </w:r>
      <w:r w:rsidR="00177E4E">
        <w:rPr>
          <w:b/>
          <w:color w:val="1F4E79"/>
          <w:sz w:val="21"/>
        </w:rPr>
        <w:t xml:space="preserve"> Fabry</w:t>
      </w:r>
      <w:r w:rsidR="000A24BB">
        <w:rPr>
          <w:b/>
          <w:color w:val="1F4E79"/>
          <w:sz w:val="21"/>
        </w:rPr>
        <w:t xml:space="preserve">  </w:t>
      </w:r>
    </w:p>
    <w:p w14:paraId="63C396F6" w14:textId="41FD68DF" w:rsidR="000A24BB" w:rsidRPr="000A24BB" w:rsidRDefault="000A24BB" w:rsidP="000A24BB"/>
    <w:p w14:paraId="30353039" w14:textId="0653649D" w:rsidR="000A24BB" w:rsidRPr="000A24BB" w:rsidRDefault="000A24BB">
      <w:pPr>
        <w:rPr>
          <w:iCs/>
        </w:rPr>
      </w:pPr>
    </w:p>
    <w:p w14:paraId="0EE6FAA0" w14:textId="6EFC6EFF" w:rsidR="00177E4E" w:rsidRDefault="00177E4E">
      <w:pPr>
        <w:pStyle w:val="Heading1"/>
        <w:rPr>
          <w:b w:val="0"/>
          <w:sz w:val="21"/>
        </w:rPr>
      </w:pPr>
      <w:r>
        <w:rPr>
          <w:sz w:val="21"/>
        </w:rPr>
        <w:t>Figure 14.</w:t>
      </w:r>
      <w:r>
        <w:rPr>
          <w:b w:val="0"/>
          <w:sz w:val="21"/>
        </w:rPr>
        <w:t xml:space="preserve"> </w:t>
      </w:r>
      <w:r>
        <w:rPr>
          <w:b w:val="0"/>
          <w:sz w:val="21"/>
        </w:rPr>
        <w:t>Monilethrix</w:t>
      </w:r>
    </w:p>
    <w:p w14:paraId="163786EA" w14:textId="653B2977" w:rsidR="00177E4E" w:rsidRPr="00177E4E" w:rsidRDefault="00B34492" w:rsidP="00177E4E">
      <w:r>
        <w:rPr>
          <w:noProof/>
        </w:rPr>
        <w:drawing>
          <wp:anchor distT="0" distB="0" distL="114300" distR="114300" simplePos="0" relativeHeight="251680768" behindDoc="1" locked="0" layoutInCell="1" allowOverlap="1" wp14:anchorId="428B115A" wp14:editId="73A71452">
            <wp:simplePos x="0" y="0"/>
            <wp:positionH relativeFrom="column">
              <wp:posOffset>-1715</wp:posOffset>
            </wp:positionH>
            <wp:positionV relativeFrom="paragraph">
              <wp:posOffset>1824990</wp:posOffset>
            </wp:positionV>
            <wp:extent cx="6400800" cy="1428750"/>
            <wp:effectExtent l="0" t="0" r="0" b="0"/>
            <wp:wrapTight wrapText="bothSides">
              <wp:wrapPolygon edited="0">
                <wp:start x="0" y="0"/>
                <wp:lineTo x="0" y="21312"/>
                <wp:lineTo x="21536" y="21312"/>
                <wp:lineTo x="21536" y="0"/>
                <wp:lineTo x="0" y="0"/>
              </wp:wrapPolygon>
            </wp:wrapTight>
            <wp:docPr id="18064725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00800" cy="1428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7E4E">
        <w:rPr>
          <w:noProof/>
        </w:rPr>
        <w:drawing>
          <wp:inline distT="0" distB="0" distL="0" distR="0" wp14:anchorId="12B6D4D0" wp14:editId="3DBCBA80">
            <wp:extent cx="6400800" cy="1742440"/>
            <wp:effectExtent l="0" t="0" r="0" b="0"/>
            <wp:docPr id="4418220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00800" cy="1742440"/>
                    </a:xfrm>
                    <a:prstGeom prst="rect">
                      <a:avLst/>
                    </a:prstGeom>
                    <a:noFill/>
                    <a:ln>
                      <a:noFill/>
                    </a:ln>
                  </pic:spPr>
                </pic:pic>
              </a:graphicData>
            </a:graphic>
          </wp:inline>
        </w:drawing>
      </w:r>
      <w:r w:rsidR="00177E4E">
        <w:rPr>
          <w:noProof/>
        </w:rPr>
        <w:t xml:space="preserve"> </w:t>
      </w:r>
    </w:p>
    <w:p w14:paraId="32AF11BE" w14:textId="48D7A02C" w:rsidR="0013665B" w:rsidRDefault="0013665B">
      <w:pPr>
        <w:spacing w:after="0"/>
      </w:pPr>
    </w:p>
    <w:p w14:paraId="4826144F" w14:textId="19DA1647" w:rsidR="00B34492" w:rsidRPr="00B34492" w:rsidRDefault="00B34492" w:rsidP="00B34492">
      <w:pPr>
        <w:rPr>
          <w:color w:val="EE0000"/>
        </w:rPr>
      </w:pPr>
      <w:proofErr w:type="spellStart"/>
      <w:r w:rsidRPr="00177E4E">
        <w:rPr>
          <w:color w:val="EE0000"/>
        </w:rPr>
        <w:t>WinterVar</w:t>
      </w:r>
      <w:proofErr w:type="spellEnd"/>
      <w:r w:rsidRPr="00177E4E">
        <w:rPr>
          <w:color w:val="EE0000"/>
        </w:rPr>
        <w:t xml:space="preserve"> does not have the data of variants of AIS and NF1 related diseases selected in this pipeline.</w:t>
      </w:r>
    </w:p>
    <w:p w14:paraId="1060523A" w14:textId="33C5D917" w:rsidR="0013665B" w:rsidRDefault="00000000">
      <w:pPr>
        <w:pStyle w:val="Heading1"/>
      </w:pPr>
      <w:r>
        <w:t>24. Interpretation and Reporting Limitations</w:t>
      </w:r>
    </w:p>
    <w:p w14:paraId="5A3F2567" w14:textId="77777777" w:rsidR="0013665B" w:rsidRDefault="00000000">
      <w:pPr>
        <w:pStyle w:val="ListBullet"/>
      </w:pPr>
      <w:r>
        <w:t>All files are synthetic educational datasets and do not represent real patients.</w:t>
      </w:r>
    </w:p>
    <w:p w14:paraId="438AD24F" w14:textId="77777777" w:rsidR="0013665B" w:rsidRDefault="00000000">
      <w:pPr>
        <w:pStyle w:val="ListBullet"/>
      </w:pPr>
      <w:r>
        <w:t>The pipeline records computational and database annotations; it does not independently establish a clinical diagnosis.</w:t>
      </w:r>
    </w:p>
    <w:p w14:paraId="3FB2FE23" w14:textId="77777777" w:rsidR="0013665B" w:rsidRDefault="00000000">
      <w:pPr>
        <w:pStyle w:val="ListBullet"/>
      </w:pPr>
      <w:r>
        <w:t>Some background variants were removed because their REF bases did not match GRCh38 during bcftools norm -c x.</w:t>
      </w:r>
    </w:p>
    <w:p w14:paraId="50CC4B99" w14:textId="77777777" w:rsidR="0013665B" w:rsidRDefault="00000000">
      <w:pPr>
        <w:pStyle w:val="ListBullet"/>
      </w:pPr>
      <w:r>
        <w:t>A ClinVar match is useful supporting evidence, but classifications require date-stamped review in real clinical work.</w:t>
      </w:r>
    </w:p>
    <w:p w14:paraId="487CFFFA" w14:textId="77777777" w:rsidR="0013665B" w:rsidRDefault="00000000">
      <w:pPr>
        <w:pStyle w:val="ListBullet"/>
      </w:pPr>
      <w:r>
        <w:t>A low or zero SpliceAI score does not make a non-splicing variant benign.</w:t>
      </w:r>
    </w:p>
    <w:p w14:paraId="7E74FA06" w14:textId="77777777" w:rsidR="0013665B" w:rsidRDefault="00000000">
      <w:pPr>
        <w:pStyle w:val="ListBullet"/>
      </w:pPr>
      <w:r>
        <w:t>ISV probability is supporting computational evidence and should not override curated evidence.</w:t>
      </w:r>
    </w:p>
    <w:p w14:paraId="68A8C112" w14:textId="77777777" w:rsidR="0013665B" w:rsidRDefault="00000000">
      <w:pPr>
        <w:pStyle w:val="ListBullet"/>
      </w:pPr>
      <w:r>
        <w:t>CNV breakpoint accuracy, zygosity, phase, phenotype matching, segregation, and orthogonal confirmation were not available.</w:t>
      </w:r>
    </w:p>
    <w:p w14:paraId="2D03CA59" w14:textId="77777777" w:rsidR="0013665B" w:rsidRDefault="00000000">
      <w:pPr>
        <w:pStyle w:val="ListBullet"/>
      </w:pPr>
      <w:r>
        <w:t>The report should distinguish disease-focused synthetic targets from background variants and from real clinical conclusions.</w:t>
      </w:r>
    </w:p>
    <w:p w14:paraId="05768703" w14:textId="77777777" w:rsidR="0013665B" w:rsidRDefault="00000000">
      <w:pPr>
        <w:pStyle w:val="Heading1"/>
      </w:pPr>
      <w:r>
        <w:t>25. Conclusion</w:t>
      </w:r>
    </w:p>
    <w:p w14:paraId="19102188" w14:textId="5F8B959C" w:rsidR="0013665B" w:rsidRDefault="00000000" w:rsidP="00177E4E">
      <w:r>
        <w:t>The completed workflow demonstrates a reproducible GRCh38 annotation system with separate sequence-variant and CNV branches. The manual validation phase identified software-version, executable-path, dependency, input-format, and coordinate-consistency issues before automation. The final pipeline now accepts a disease base name, runs the confirmed tools, validates each stage, writes disease-specific outputs, and supports batch execution across Fabry disease, Monilethrix, AIS, and NF1. The GitHub repository should preserve the scripts, recipes, synthetic inputs, selected outputs, meaningful screenshots, and documentation while excluding large databases, container images, secrets, licensed resources, and real patient information.</w:t>
      </w:r>
      <w:r>
        <w:rPr>
          <w:sz w:val="17"/>
        </w:rPr>
        <w:t xml:space="preserve"> </w:t>
      </w:r>
    </w:p>
    <w:sectPr w:rsidR="0013665B" w:rsidSect="00B34492">
      <w:footerReference w:type="default" r:id="rId26"/>
      <w:pgSz w:w="12240" w:h="15840"/>
      <w:pgMar w:top="936" w:right="1080" w:bottom="936"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E8A9C" w14:textId="77777777" w:rsidR="00903373" w:rsidRDefault="00903373">
      <w:pPr>
        <w:spacing w:after="0" w:line="240" w:lineRule="auto"/>
      </w:pPr>
      <w:r>
        <w:separator/>
      </w:r>
    </w:p>
  </w:endnote>
  <w:endnote w:type="continuationSeparator" w:id="0">
    <w:p w14:paraId="3266516D" w14:textId="77777777" w:rsidR="00903373" w:rsidRDefault="00903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5AAA9" w14:textId="77777777" w:rsidR="0013665B" w:rsidRDefault="00000000">
    <w:pPr>
      <w:pStyle w:val="Footer"/>
      <w:jc w:val="right"/>
    </w:pPr>
    <w:r>
      <w:rPr>
        <w:color w:val="646464"/>
        <w:sz w:val="17"/>
      </w:rPr>
      <w:t xml:space="preserve">BIOMISA Rare-Disease Annotation Pipeline </w:t>
    </w:r>
    <w:proofErr w:type="gramStart"/>
    <w:r>
      <w:rPr>
        <w:color w:val="646464"/>
        <w:sz w:val="17"/>
      </w:rPr>
      <w:t>Documentation  |</w:t>
    </w:r>
    <w:proofErr w:type="gramEnd"/>
    <w:r>
      <w:rPr>
        <w:color w:val="646464"/>
        <w:sz w:val="17"/>
      </w:rPr>
      <w:t xml:space="preserve">  </w:t>
    </w:r>
    <w:r>
      <w:rPr>
        <w:color w:val="5A5A5A"/>
        <w:sz w:val="18"/>
      </w:rPr>
      <w:t xml:space="preserve">Page </w:t>
    </w:r>
    <w:r>
      <w:rPr>
        <w:color w:val="5A5A5A"/>
        <w:sz w:val="18"/>
      </w:rPr>
      <w:fldChar w:fldCharType="begin"/>
    </w:r>
    <w:r>
      <w:rPr>
        <w:color w:val="5A5A5A"/>
        <w:sz w:val="18"/>
      </w:rPr>
      <w:instrText>PAGE</w:instrText>
    </w:r>
    <w:r>
      <w:rPr>
        <w:color w:val="5A5A5A"/>
        <w:sz w:val="18"/>
      </w:rPr>
      <w:fldChar w:fldCharType="separate"/>
    </w:r>
    <w:r w:rsidR="005F1628">
      <w:rPr>
        <w:noProof/>
        <w:color w:val="5A5A5A"/>
        <w:sz w:val="18"/>
      </w:rPr>
      <w:t>1</w:t>
    </w:r>
    <w:r>
      <w:rPr>
        <w:color w:val="5A5A5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88723" w14:textId="77777777" w:rsidR="00903373" w:rsidRDefault="00903373">
      <w:pPr>
        <w:spacing w:after="0" w:line="240" w:lineRule="auto"/>
      </w:pPr>
      <w:r>
        <w:separator/>
      </w:r>
    </w:p>
  </w:footnote>
  <w:footnote w:type="continuationSeparator" w:id="0">
    <w:p w14:paraId="3196D975" w14:textId="77777777" w:rsidR="00903373" w:rsidRDefault="009033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5838110">
    <w:abstractNumId w:val="8"/>
  </w:num>
  <w:num w:numId="2" w16cid:durableId="1412509141">
    <w:abstractNumId w:val="6"/>
  </w:num>
  <w:num w:numId="3" w16cid:durableId="178395759">
    <w:abstractNumId w:val="5"/>
  </w:num>
  <w:num w:numId="4" w16cid:durableId="1102653216">
    <w:abstractNumId w:val="4"/>
  </w:num>
  <w:num w:numId="5" w16cid:durableId="691762665">
    <w:abstractNumId w:val="7"/>
  </w:num>
  <w:num w:numId="6" w16cid:durableId="1986466196">
    <w:abstractNumId w:val="3"/>
  </w:num>
  <w:num w:numId="7" w16cid:durableId="749154912">
    <w:abstractNumId w:val="2"/>
  </w:num>
  <w:num w:numId="8" w16cid:durableId="762261216">
    <w:abstractNumId w:val="1"/>
  </w:num>
  <w:num w:numId="9" w16cid:durableId="488787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4BB"/>
    <w:rsid w:val="0013665B"/>
    <w:rsid w:val="0015074B"/>
    <w:rsid w:val="00177E4E"/>
    <w:rsid w:val="00216140"/>
    <w:rsid w:val="00255B83"/>
    <w:rsid w:val="0029639D"/>
    <w:rsid w:val="00326F90"/>
    <w:rsid w:val="005F1628"/>
    <w:rsid w:val="006F2933"/>
    <w:rsid w:val="00791F6B"/>
    <w:rsid w:val="008B65DB"/>
    <w:rsid w:val="008F4B30"/>
    <w:rsid w:val="00903373"/>
    <w:rsid w:val="00904026"/>
    <w:rsid w:val="00AA1D8D"/>
    <w:rsid w:val="00B34492"/>
    <w:rsid w:val="00B47730"/>
    <w:rsid w:val="00B65B44"/>
    <w:rsid w:val="00C16574"/>
    <w:rsid w:val="00CB0664"/>
    <w:rsid w:val="00DF6F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78E011"/>
  <w14:defaultImageDpi w14:val="300"/>
  <w15:docId w15:val="{7E3AA8D2-FC9C-44A1-B808-6303C9F47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13</Pages>
  <Words>3389</Words>
  <Characters>19321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BIOMISA Complete Rare-Disease Annotation Pipeline Documentation</vt:lpstr>
    </vt:vector>
  </TitlesOfParts>
  <Manager/>
  <Company/>
  <LinksUpToDate>false</LinksUpToDate>
  <CharactersWithSpaces>22665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BIOMISA Complete Rare-Disease Annotation Pipeline Documentation</dc:title>
  <dc:subject>GRCh38 SNV and CNV pipeline documentation with screenshot and GitHub placeholders</dc:subject>
  <dc:creator>OpenAI</dc:creator>
  <cp:keywords>BIOMISA, VEP, SnpEff, ClinVar, SpliceAI, AnnotSV, ClassifyCNV, ISV-CNV, GRCh38</cp:keywords>
  <dc:description>generated by python-docx</dc:description>
  <cp:lastModifiedBy>Abd Ur  Rehman</cp:lastModifiedBy>
  <cp:revision>4</cp:revision>
  <dcterms:created xsi:type="dcterms:W3CDTF">2013-12-23T23:15:00Z</dcterms:created>
  <dcterms:modified xsi:type="dcterms:W3CDTF">2026-07-16T07:39:00Z</dcterms:modified>
  <cp:category/>
</cp:coreProperties>
</file>