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SECTION 23 05 00</w:t>
      </w:r>
    </w:p>
    <w:p>
      <w:pPr>
        <w:pStyle w:val="Heading1"/>
      </w:pPr>
      <w:r>
        <w:t>COMMON WORK RESULTS FOR HVAC</w:t>
      </w:r>
    </w:p>
    <w:p>
      <w:pPr>
        <w:pStyle w:val="Heading2"/>
      </w:pPr>
      <w:r>
        <w:t>PART 1 - GENERAL</w:t>
      </w:r>
    </w:p>
    <w:p>
      <w:r>
        <w:t>[Note to specifier: Verify project requirements before using this section.]</w:t>
      </w:r>
    </w:p>
    <w:p>
      <w:pPr>
        <w:pStyle w:val="Heading3"/>
      </w:pPr>
      <w:r>
        <w:t>1.1 RELATED DOCUMENTS</w:t>
      </w:r>
    </w:p>
    <w:p>
      <w:r>
        <w:t>A. Drawings and general provisions of the Contract apply to this Section.</w:t>
      </w:r>
    </w:p>
    <w:p>
      <w:r>
        <w:t>B. Related Sections:</w:t>
      </w:r>
    </w:p>
    <w:p>
      <w:r>
        <w:t xml:space="preserve">    1. Section 23 21 13 - Hydronic Piping</w:t>
      </w:r>
    </w:p>
    <w:p>
      <w:r>
        <w:t xml:space="preserve">    2. Section 23 31 13 - Metal Ducts</w:t>
      </w:r>
    </w:p>
    <w:p>
      <w:pPr>
        <w:pStyle w:val="Heading3"/>
      </w:pPr>
      <w:r>
        <w:t>1.2 SUMMARY</w:t>
      </w:r>
    </w:p>
    <w:p>
      <w:r>
        <w:t>A. Section includes general requirements for HVAC systems.</w:t>
      </w:r>
    </w:p>
    <w:p>
      <w:r>
        <w:t>B. LEED Requirements: Comply with LEED EQ Credit 4.1 for indoor air quality.</w:t>
      </w:r>
    </w:p>
    <w:p>
      <w:pPr>
        <w:pStyle w:val="Heading3"/>
      </w:pPr>
      <w:r>
        <w:t>1.3 REFERENCES</w:t>
      </w:r>
    </w:p>
    <w:p>
      <w:r>
        <w:t>A. ASHRAE 90.1-2019 - Energy Standard for Buildings</w:t>
      </w:r>
    </w:p>
    <w:p>
      <w:r>
        <w:t>B. SMACNA - HVAC Duct Construction Standards</w:t>
      </w:r>
    </w:p>
    <w:p>
      <w:r>
        <w:t>C. California Mechanical Code 2019</w:t>
      </w:r>
    </w:p>
    <w:p>
      <w:r>
        <w:t>D. ASCE 7-16 - Minimum Design Loads</w:t>
      </w:r>
    </w:p>
    <w:p>
      <w:r>
        <w:t>[INSERT project-specific requirements here]</w:t>
      </w:r>
    </w:p>
    <w:p>
      <w:pPr>
        <w:pStyle w:val="Heading3"/>
      </w:pPr>
      <w:r>
        <w:t>1.4 SUBMITTALS</w:t>
      </w:r>
    </w:p>
    <w:p>
      <w:r>
        <w:t>A. Product Data: Submit manufacturer data for all equipment.</w:t>
      </w:r>
    </w:p>
    <w:p>
      <w:r>
        <w:t>B. Shop Drawings: Submit for [SPECIFY systems].</w:t>
      </w:r>
    </w:p>
    <w:p>
      <w:r>
        <w:t>Copyright © 2020 ARCOM MasterSpec. All rights reserved.</w:t>
      </w:r>
    </w:p>
    <w:p>
      <w:pPr>
        <w:pStyle w:val="Heading2"/>
      </w:pPr>
      <w:r>
        <w:t>PART 2 - PRODUCTS</w:t>
      </w:r>
    </w:p>
    <w:p>
      <w:pPr>
        <w:pStyle w:val="Heading3"/>
      </w:pPr>
      <w:r>
        <w:t>2.1 EQUIPMENT</w:t>
      </w:r>
    </w:p>
    <w:p>
      <w:r>
        <w:t>A. Provide equipment rated for seismic zone per ASCE 7-16.</w:t>
      </w:r>
    </w:p>
    <w:p>
      <w:r>
        <w:t>B. Manufacturer: Trane Model XYZ-123 or approved equal.</w:t>
      </w:r>
    </w:p>
    <w:p>
      <w:pPr>
        <w:pStyle w:val="Heading2"/>
      </w:pPr>
      <w:r>
        <w:t>PART 3 - EXECUTION</w:t>
      </w:r>
    </w:p>
    <w:p>
      <w:pPr>
        <w:pStyle w:val="Heading3"/>
      </w:pPr>
      <w:r>
        <w:t>3.1 INSTALLATION</w:t>
      </w:r>
    </w:p>
    <w:p>
      <w:r>
        <w:t>A. Install per manufacturer requirements.</w:t>
      </w:r>
    </w:p>
    <w:p>
      <w:r>
        <w:t>B. Coordinate with other trades.</w:t>
      </w:r>
    </w:p>
    <w:p>
      <w:r>
        <w:t>C. Provide ___ inches clearance around equipment.</w:t>
      </w:r>
    </w:p>
    <w:p>
      <w:r>
        <w:t>END OF SECTION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