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SectionTitle"/>
      </w:pPr>
      <w:r>
        <w:t xml:space="preserve">SECTION 07 92 00</w:t>
      </w:r>
    </w:p>
    <w:p>
      <w:pPr>
        <w:pStyle w:val="SectionTitle"/>
      </w:pPr>
      <w:r>
        <w:t xml:space="preserve">JOINT SEALANTS</w:t>
      </w:r>
    </w:p>
    <w:p>
      <w:pPr>
        <w:pStyle w:val="PartTitle"/>
      </w:pPr>
      <w:r>
        <w:t xml:space="preserve">PART 1 - GENERAL</w:t>
      </w:r>
    </w:p>
    <w:p>
      <w:pPr>
        <w:pStyle w:val="ArticleTitle"/>
        <w:numPr>
          <w:ilvl w:val="0"/>
          <w:numId w:val="2"/>
        </w:numPr>
      </w:pPr>
      <w:r>
        <w:t xml:space="preserve">	SUMMARY</w:t>
      </w:r>
    </w:p>
    <w:p>
      <w:pPr>
        <w:pStyle w:val="ListParagraph"/>
        <w:numPr>
          <w:ilvl w:val="0"/>
          <w:numId w:val="3"/>
        </w:numPr>
      </w:pPr>
      <w:r>
        <w:t xml:space="preserve">Section Includes:</w:t>
      </w:r>
    </w:p>
    <w:p>
      <w:pPr>
        <w:pStyle w:val="ListParagraph"/>
        <w:numPr>
          <w:ilvl w:val="0"/>
          <w:numId w:val="4"/>
        </w:numPr>
      </w:pPr>
      <w:r>
        <w:t xml:space="preserve">Joint sealants for interior and exterior applications.</w:t>
      </w:r>
    </w:p>
    <w:p>
      <w:pPr>
        <w:pStyle w:val="ListParagraph"/>
        <w:numPr>
          <w:ilvl w:val="0"/>
          <w:numId w:val="4"/>
        </w:numPr>
      </w:pPr>
      <w:r>
        <w:t xml:space="preserve">Joint fillers and backing materials.</w:t>
      </w:r>
    </w:p>
    <w:p>
      <w:pPr>
        <w:pStyle w:val="ListParagraph"/>
        <w:numPr>
          <w:ilvl w:val="0"/>
          <w:numId w:val="4"/>
        </w:numPr>
      </w:pPr>
      <w:r>
        <w:t xml:space="preserve">Surface preparation and priming.</w:t>
      </w:r>
    </w:p>
    <w:p>
      <w:pPr>
        <w:pStyle w:val="ListParagraph"/>
        <w:numPr>
          <w:ilvl w:val="0"/>
          <w:numId w:val="3"/>
        </w:numPr>
      </w:pPr>
      <w:r>
        <w:t xml:space="preserve">Related Sections:</w:t>
      </w:r>
    </w:p>
    <w:p>
      <w:pPr>
        <w:pStyle w:val="ListParagraph"/>
        <w:numPr>
          <w:ilvl w:val="0"/>
          <w:numId w:val="4"/>
        </w:numPr>
      </w:pPr>
      <w:r>
        <w:t xml:space="preserve">Section 07 84 00 - Firestopping.</w:t>
      </w:r>
    </w:p>
    <w:p>
      <w:pPr>
        <w:pStyle w:val="ListParagraph"/>
        <w:numPr>
          <w:ilvl w:val="0"/>
          <w:numId w:val="4"/>
        </w:numPr>
      </w:pPr>
      <w:r>
        <w:t xml:space="preserve">Section 08 80 00 - Glazing.</w:t>
      </w:r>
    </w:p>
    <w:p>
      <w:pPr>
        <w:pStyle w:val="ArticleTitle"/>
        <w:numPr>
          <w:ilvl w:val="0"/>
          <w:numId w:val="2"/>
        </w:numPr>
      </w:pPr>
      <w:r>
        <w:t xml:space="preserve">	REFERENCES</w:t>
      </w:r>
    </w:p>
    <w:p>
      <w:pPr>
        <w:pStyle w:val="ListParagraph"/>
        <w:numPr>
          <w:ilvl w:val="0"/>
          <w:numId w:val="5"/>
        </w:numPr>
      </w:pPr>
      <w:r>
        <w:t xml:space="preserve">Reference Standards:</w:t>
      </w:r>
    </w:p>
    <w:p>
      <w:pPr>
        <w:pStyle w:val="ListParagraph"/>
        <w:numPr>
          <w:ilvl w:val="0"/>
          <w:numId w:val="6"/>
        </w:numPr>
      </w:pPr>
      <w:r>
        <w:t xml:space="preserve">ASTM C920 - Standard Specification for Elastomeric Joint Sealants.</w:t>
      </w:r>
    </w:p>
    <w:p>
      <w:pPr>
        <w:pStyle w:val="ListParagraph"/>
        <w:numPr>
          <w:ilvl w:val="0"/>
          <w:numId w:val="6"/>
        </w:numPr>
      </w:pPr>
      <w:r>
        <w:t xml:space="preserve">ASTM C1193 - Standard Guide for Use of Joint Sealants.</w:t>
      </w:r>
    </w:p>
    <w:p>
      <w:pPr>
        <w:pStyle w:val="ListParagraph"/>
        <w:numPr>
          <w:ilvl w:val="0"/>
          <w:numId w:val="6"/>
        </w:numPr>
      </w:pPr>
      <w:r>
        <w:t xml:space="preserve">ASTM C1248 - Standard Test Method for Staining of Porous Substrate by Joint Sealants.</w:t>
      </w:r>
    </w:p>
    <w:p>
      <w:pPr>
        <w:pStyle w:val="ArticleTitle"/>
        <w:numPr>
          <w:ilvl w:val="0"/>
          <w:numId w:val="2"/>
        </w:numPr>
      </w:pPr>
      <w:r>
        <w:t xml:space="preserve">	SUBMITTALS</w:t>
      </w:r>
    </w:p>
    <w:p>
      <w:pPr>
        <w:pStyle w:val="ListParagraph"/>
        <w:numPr>
          <w:ilvl w:val="0"/>
          <w:numId w:val="7"/>
        </w:numPr>
      </w:pPr>
      <w:r>
        <w:t xml:space="preserve">Product Data: Submit manufacturer's technical data for each sealant product.</w:t>
      </w:r>
    </w:p>
    <w:p>
      <w:pPr>
        <w:pStyle w:val="ListParagraph"/>
        <w:numPr>
          <w:ilvl w:val="0"/>
          <w:numId w:val="8"/>
        </w:numPr>
      </w:pPr>
      <w:r>
        <w:t xml:space="preserve">Include product characteristics, performance criteria, and limitations.</w:t>
      </w:r>
    </w:p>
    <w:p>
      <w:pPr>
        <w:pStyle w:val="ListParagraph"/>
        <w:numPr>
          <w:ilvl w:val="0"/>
          <w:numId w:val="8"/>
        </w:numPr>
      </w:pPr>
      <w:r>
        <w:t xml:space="preserve">Include color charts for selection.</w:t>
      </w:r>
    </w:p>
    <w:p>
      <w:pPr>
        <w:pStyle w:val="ListParagraph"/>
        <w:numPr>
          <w:ilvl w:val="0"/>
          <w:numId w:val="7"/>
        </w:numPr>
      </w:pPr>
      <w:r>
        <w:t xml:space="preserve">Samples: Submit two samples of each sealant color specified.</w:t>
      </w:r>
    </w:p>
    <w:p>
      <w:pPr>
        <w:pStyle w:val="ArticleTitle"/>
        <w:numPr>
          <w:ilvl w:val="0"/>
          <w:numId w:val="2"/>
        </w:numPr>
      </w:pPr>
      <w:r>
        <w:t xml:space="preserve">	QUALITY ASSURANCE</w:t>
      </w:r>
    </w:p>
    <w:p>
      <w:pPr>
        <w:pStyle w:val="ListParagraph"/>
        <w:numPr>
          <w:ilvl w:val="0"/>
          <w:numId w:val="9"/>
        </w:numPr>
      </w:pPr>
      <w:r>
        <w:t xml:space="preserve">Installer Qualifications: Minimum 3 years documented experience.</w:t>
      </w:r>
    </w:p>
    <w:p>
      <w:pPr>
        <w:pStyle w:val="ListParagraph"/>
        <w:numPr>
          <w:ilvl w:val="0"/>
          <w:numId w:val="9"/>
        </w:numPr>
      </w:pPr>
      <w:r>
        <w:t xml:space="preserve">Single Source Responsibility: Obtain each type of sealant from single manufacturer.</w:t>
      </w:r>
    </w:p>
    <w:p>
      <w:pPr>
        <w:pStyle w:val="PartTitle"/>
      </w:pPr>
      <w:r>
        <w:t xml:space="preserve">PART 2 - PRODUCTS</w:t>
      </w:r>
    </w:p>
    <w:p>
      <w:pPr>
        <w:pStyle w:val="ArticleTitle"/>
        <w:numPr>
          <w:ilvl w:val="0"/>
          <w:numId w:val="10"/>
        </w:numPr>
      </w:pPr>
      <w:r>
        <w:t xml:space="preserve">	MANUFACTURERS</w:t>
      </w:r>
    </w:p>
    <w:p>
      <w:pPr>
        <w:pStyle w:val="ListParagraph"/>
        <w:numPr>
          <w:ilvl w:val="0"/>
          <w:numId w:val="11"/>
        </w:numPr>
      </w:pPr>
      <w:r>
        <w:t xml:space="preserve">Acceptable Manufacturers:</w:t>
      </w:r>
    </w:p>
    <w:p>
      <w:pPr>
        <w:pStyle w:val="ListParagraph"/>
        <w:numPr>
          <w:ilvl w:val="0"/>
          <w:numId w:val="12"/>
        </w:numPr>
      </w:pPr>
      <w:r>
        <w:t xml:space="preserve">Dow Corning Corporation.</w:t>
      </w:r>
    </w:p>
    <w:p>
      <w:pPr>
        <w:pStyle w:val="ListParagraph"/>
        <w:numPr>
          <w:ilvl w:val="0"/>
          <w:numId w:val="12"/>
        </w:numPr>
      </w:pPr>
      <w:r>
        <w:t xml:space="preserve">Pecora Corporation.</w:t>
      </w:r>
    </w:p>
    <w:p>
      <w:pPr>
        <w:pStyle w:val="ListParagraph"/>
        <w:numPr>
          <w:ilvl w:val="0"/>
          <w:numId w:val="12"/>
        </w:numPr>
      </w:pPr>
      <w:r>
        <w:t xml:space="preserve">Tremco Incorporated.</w:t>
      </w:r>
    </w:p>
    <w:p>
      <w:pPr>
        <w:pStyle w:val="ListParagraph"/>
        <w:numPr>
          <w:ilvl w:val="0"/>
          <w:numId w:val="11"/>
        </w:numPr>
      </w:pPr>
      <w:r>
        <w:t xml:space="preserve">Substitutions: In accordance with Section 01 60 00.</w:t>
      </w:r>
    </w:p>
    <w:p>
      <w:pPr>
        <w:pStyle w:val="ArticleTitle"/>
        <w:numPr>
          <w:ilvl w:val="0"/>
          <w:numId w:val="10"/>
        </w:numPr>
      </w:pPr>
      <w:r>
        <w:t xml:space="preserve">	MATERIALS</w:t>
      </w:r>
    </w:p>
    <w:p>
      <w:pPr>
        <w:pStyle w:val="ListParagraph"/>
        <w:numPr>
          <w:ilvl w:val="0"/>
          <w:numId w:val="13"/>
        </w:numPr>
      </w:pPr>
      <w:r>
        <w:t xml:space="preserve">Silicone Sealant (Type S-1): Single component, neutral cure silicone.</w:t>
      </w:r>
    </w:p>
    <w:p>
      <w:pPr>
        <w:pStyle w:val="ListParagraph"/>
        <w:numPr>
          <w:ilvl w:val="0"/>
          <w:numId w:val="14"/>
        </w:numPr>
      </w:pPr>
      <w:r>
        <w:t xml:space="preserve">Compliance: ASTM C920, Type S, Grade NS, Class 50, Use NT, M, G, A, O.</w:t>
      </w:r>
    </w:p>
    <w:p>
      <w:pPr>
        <w:pStyle w:val="ListParagraph"/>
        <w:numPr>
          <w:ilvl w:val="0"/>
          <w:numId w:val="14"/>
        </w:numPr>
      </w:pPr>
      <w:r>
        <w:t xml:space="preserve">Movement Capability: Plus or minus 50 percent.</w:t>
      </w:r>
    </w:p>
    <w:p>
      <w:pPr>
        <w:pStyle w:val="ListParagraph"/>
        <w:numPr>
          <w:ilvl w:val="0"/>
          <w:numId w:val="14"/>
        </w:numPr>
      </w:pPr>
      <w:r>
        <w:t xml:space="preserve">Color: As selected by Architect from manufacturer's standard colors.</w:t>
      </w:r>
    </w:p>
    <w:p>
      <w:pPr>
        <w:pStyle w:val="ListParagraph"/>
        <w:numPr>
          <w:ilvl w:val="0"/>
          <w:numId w:val="13"/>
        </w:numPr>
      </w:pPr>
      <w:r>
        <w:t xml:space="preserve">Polyurethane Sealant (Type P-1): Single component, moisture curing polyurethane.</w:t>
      </w:r>
    </w:p>
    <w:p>
      <w:pPr>
        <w:pStyle w:val="ListParagraph"/>
        <w:numPr>
          <w:ilvl w:val="0"/>
          <w:numId w:val="15"/>
        </w:numPr>
      </w:pPr>
      <w:r>
        <w:t xml:space="preserve">Compliance: ASTM C920, Type S, Grade NS, Class 25, Use T, M, A, O.</w:t>
      </w:r>
    </w:p>
    <w:p>
      <w:pPr>
        <w:pStyle w:val="ListParagraph"/>
        <w:numPr>
          <w:ilvl w:val="0"/>
          <w:numId w:val="15"/>
        </w:numPr>
      </w:pPr>
      <w:r>
        <w:t xml:space="preserve">Movement Capability: Plus or minus 25 percent.</w:t>
      </w:r>
    </w:p>
    <w:p>
      <w:pPr>
        <w:pStyle w:val="ListParagraph"/>
        <w:numPr>
          <w:ilvl w:val="0"/>
          <w:numId w:val="16"/>
        </w:numPr>
      </w:pPr>
      <w:r>
        <w:t xml:space="preserve">Interior applications only.</w:t>
      </w:r>
    </w:p>
    <w:p>
      <w:pPr>
        <w:pStyle w:val="ListParagraph"/>
        <w:numPr>
          <w:ilvl w:val="0"/>
          <w:numId w:val="16"/>
        </w:numPr>
      </w:pPr>
      <w:r>
        <w:t xml:space="preserve">Not for use in wet locations.</w:t>
      </w:r>
    </w:p>
    <w:p>
      <w:pPr>
        <w:pStyle w:val="ListParagraph"/>
        <w:numPr>
          <w:ilvl w:val="0"/>
          <w:numId w:val="13"/>
        </w:numPr>
      </w:pPr>
      <w:r>
        <w:t xml:space="preserve">Backer Rod: Closed-cell polyethylene foam, oversized 25 to 50 percent.</w:t>
      </w:r>
    </w:p>
    <w:p>
      <w:pPr>
        <w:pStyle w:val="PartTitle"/>
      </w:pPr>
      <w:r>
        <w:t xml:space="preserve">PART 3 - EXECUTION</w:t>
      </w:r>
    </w:p>
    <w:p>
      <w:pPr>
        <w:pStyle w:val="ArticleTitle"/>
        <w:numPr>
          <w:ilvl w:val="0"/>
          <w:numId w:val="17"/>
        </w:numPr>
      </w:pPr>
      <w:r>
        <w:t xml:space="preserve">	EXAMINATION</w:t>
      </w:r>
    </w:p>
    <w:p>
      <w:pPr>
        <w:pStyle w:val="ListParagraph"/>
        <w:numPr>
          <w:ilvl w:val="0"/>
          <w:numId w:val="18"/>
        </w:numPr>
      </w:pPr>
      <w:r>
        <w:t xml:space="preserve">Verify joint openings are ready to receive sealants.</w:t>
      </w:r>
    </w:p>
    <w:p>
      <w:pPr>
        <w:pStyle w:val="ListParagraph"/>
        <w:numPr>
          <w:ilvl w:val="0"/>
          <w:numId w:val="19"/>
        </w:numPr>
      </w:pPr>
      <w:r>
        <w:t xml:space="preserve">Joint widths and depths within tolerances specified.</w:t>
      </w:r>
    </w:p>
    <w:p>
      <w:pPr>
        <w:pStyle w:val="ListParagraph"/>
        <w:numPr>
          <w:ilvl w:val="0"/>
          <w:numId w:val="19"/>
        </w:numPr>
      </w:pPr>
      <w:r>
        <w:t xml:space="preserve">Joint surfaces are clean, dry, and free of contaminants.</w:t>
      </w:r>
    </w:p>
    <w:p>
      <w:pPr>
        <w:pStyle w:val="ListParagraph"/>
        <w:numPr>
          <w:ilvl w:val="0"/>
          <w:numId w:val="18"/>
        </w:numPr>
      </w:pPr>
      <w:r>
        <w:t xml:space="preserve">Do not proceed until unsatisfactory conditions are corrected.</w:t>
      </w:r>
    </w:p>
    <w:p>
      <w:pPr>
        <w:pStyle w:val="ArticleTitle"/>
        <w:numPr>
          <w:ilvl w:val="0"/>
          <w:numId w:val="17"/>
        </w:numPr>
      </w:pPr>
      <w:r>
        <w:t xml:space="preserve">	PREPARATION</w:t>
      </w:r>
    </w:p>
    <w:p>
      <w:pPr>
        <w:pStyle w:val="ListParagraph"/>
        <w:numPr>
          <w:ilvl w:val="0"/>
          <w:numId w:val="20"/>
        </w:numPr>
      </w:pPr>
      <w:r>
        <w:t xml:space="preserve">Surface Preparation:</w:t>
      </w:r>
    </w:p>
    <w:p>
      <w:pPr>
        <w:pStyle w:val="ListParagraph"/>
        <w:numPr>
          <w:ilvl w:val="0"/>
          <w:numId w:val="21"/>
        </w:numPr>
      </w:pPr>
      <w:r>
        <w:t xml:space="preserve">Clean joint surfaces of dust, dirt, oil, grease, and other contaminants.</w:t>
      </w:r>
    </w:p>
    <w:p>
      <w:pPr>
        <w:pStyle w:val="ListParagraph"/>
        <w:numPr>
          <w:ilvl w:val="0"/>
          <w:numId w:val="22"/>
        </w:numPr>
      </w:pPr>
      <w:r>
        <w:t xml:space="preserve">Use methods recommended by sealant manufacturer.</w:t>
      </w:r>
    </w:p>
    <w:p>
      <w:pPr>
        <w:pStyle w:val="ListParagraph"/>
        <w:numPr>
          <w:ilvl w:val="0"/>
          <w:numId w:val="22"/>
        </w:numPr>
      </w:pPr>
      <w:r>
        <w:t xml:space="preserve">Allow surfaces to dry completely before applying primer or sealant.</w:t>
      </w:r>
    </w:p>
    <w:p>
      <w:pPr>
        <w:pStyle w:val="ListParagraph"/>
        <w:numPr>
          <w:ilvl w:val="0"/>
          <w:numId w:val="21"/>
        </w:numPr>
      </w:pPr>
      <w:r>
        <w:t xml:space="preserve">Apply primer where required by sealant manufacturer.</w:t>
      </w:r>
    </w:p>
    <w:p>
      <w:pPr>
        <w:pStyle w:val="ListParagraph"/>
        <w:numPr>
          <w:ilvl w:val="0"/>
          <w:numId w:val="20"/>
        </w:numPr>
      </w:pPr>
      <w:r>
        <w:t xml:space="preserve">Install backer rod to achieve proper sealant depth-to-width ratio.</w:t>
      </w:r>
    </w:p>
    <w:p>
      <w:pPr>
        <w:pStyle w:val="ArticleTitle"/>
        <w:numPr>
          <w:ilvl w:val="0"/>
          <w:numId w:val="17"/>
        </w:numPr>
      </w:pPr>
      <w:r>
        <w:t xml:space="preserve">	APPLICATION</w:t>
      </w:r>
    </w:p>
    <w:p>
      <w:pPr>
        <w:pStyle w:val="ListParagraph"/>
        <w:numPr>
          <w:ilvl w:val="0"/>
          <w:numId w:val="23"/>
        </w:numPr>
      </w:pPr>
      <w:r>
        <w:t xml:space="preserve">Apply sealant in accordance with manufacturer's recommendations.</w:t>
      </w:r>
    </w:p>
    <w:p>
      <w:pPr>
        <w:pStyle w:val="ListParagraph"/>
        <w:numPr>
          <w:ilvl w:val="0"/>
          <w:numId w:val="24"/>
        </w:numPr>
      </w:pPr>
      <w:r>
        <w:t xml:space="preserve">Tool joints immediately after application for proper contact and appearance.</w:t>
      </w:r>
    </w:p>
    <w:p>
      <w:pPr>
        <w:pStyle w:val="ListParagraph"/>
        <w:numPr>
          <w:ilvl w:val="0"/>
          <w:numId w:val="24"/>
        </w:numPr>
      </w:pPr>
      <w:r>
        <w:t xml:space="preserve">Remove excess sealant and masking tape immediately after tooling.</w:t>
      </w:r>
    </w:p>
    <w:p>
      <w:pPr>
        <w:pStyle w:val="ListParagraph"/>
        <w:numPr>
          <w:ilvl w:val="0"/>
          <w:numId w:val="23"/>
        </w:numPr>
      </w:pPr>
      <w:r>
        <w:t xml:space="preserve">Protect installed sealants from damage until fully cured.</w:t>
      </w:r>
    </w:p>
    <w:p>
      <w:pPr>
        <w:spacing w:before="480"/>
        <w:jc w:val="center"/>
      </w:pPr>
      <w:r>
        <w:rPr>
          <w:b/>
          <w:bCs/>
        </w:rPr>
        <w:t xml:space="preserve">END OF SECTION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sz w:val="18"/>
        <w:szCs w:val="18"/>
      </w:rPr>
      <w:t xml:space="preserve">[Project Name]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Arial" w:cs="Arial" w:eastAsia="Arial" w:hAnsi="Arial"/>
        <w:sz w:val="20"/>
        <w:szCs w:val="20"/>
      </w:rPr>
      <w:t xml:space="preserve">JOINT SEALANTS</w:t>
    </w:r>
    <w:r>
      <w:rPr>
        <w:rFonts w:ascii="Arial" w:cs="Arial" w:eastAsia="Arial" w:hAnsi="Arial"/>
        <w:sz w:val="20"/>
        <w:szCs w:val="20"/>
      </w:rPr>
      <w:t xml:space="preserve">	07 92 00 -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1.0%1"/>
      <w:lvlJc w:val="left"/>
      <w:pPr>
        <w:ind w:left="0" w:hanging="7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2.0%1"/>
      <w:lvlJc w:val="left"/>
      <w:pPr>
        <w:ind w:left="0" w:hanging="7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3.0%1"/>
      <w:lvlJc w:val="left"/>
      <w:pPr>
        <w:ind w:left="0" w:hanging="720"/>
      </w:pPr>
    </w:lvl>
  </w:abstractNum>
  <w:abstractNum w:abstractNumId="5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216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216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14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15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16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17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9"/>
    <w:lvlOverride w:ilvl="0">
      <w:startOverride w:val="1"/>
    </w:lvlOverride>
  </w:num>
  <w:num w:numId="15">
    <w:abstractNumId w:val="18"/>
    <w:lvlOverride w:ilvl="0">
      <w:startOverride w:val="1"/>
    </w:lvlOverride>
  </w:num>
  <w:num w:numId="16">
    <w:abstractNumId w:val="2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11"/>
    <w:lvlOverride w:ilvl="0">
      <w:startOverride w:val="1"/>
    </w:lvlOverride>
  </w:num>
  <w:num w:numId="19">
    <w:abstractNumId w:val="20"/>
    <w:lvlOverride w:ilvl="0">
      <w:startOverride w:val="1"/>
    </w:lvlOverride>
  </w:num>
  <w:num w:numId="20">
    <w:abstractNumId w:val="12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5"/>
    <w:lvlOverride w:ilvl="0">
      <w:startOverride w:val="1"/>
    </w:lvlOverride>
  </w:num>
  <w:num w:numId="23">
    <w:abstractNumId w:val="13"/>
    <w:lvlOverride w:ilvl="0">
      <w:startOverride w:val="1"/>
    </w:lvlOverride>
  </w:num>
  <w:num w:numId="24">
    <w:abstractNumId w:val="2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SectionTitle">
    <w:name w:val="Section Title"/>
    <w:basedOn w:val="Normal"/>
    <w:next w:val="Normal"/>
    <w:qFormat/>
    <w:pPr>
      <w:spacing w:before="0" w:after="240"/>
      <w:jc w:val="center"/>
    </w:pPr>
    <w:rPr>
      <w:rFonts w:ascii="Arial" w:cs="Arial" w:eastAsia="Arial" w:hAnsi="Arial"/>
      <w:b/>
      <w:bCs/>
      <w:sz w:val="22"/>
      <w:szCs w:val="22"/>
    </w:rPr>
  </w:style>
  <w:style w:type="paragraph" w:styleId="PartTitle">
    <w:name w:val="Part Title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sz w:val="22"/>
      <w:szCs w:val="22"/>
    </w:rPr>
  </w:style>
  <w:style w:type="paragraph" w:styleId="ArticleTitle">
    <w:name w:val="Article Title"/>
    <w:basedOn w:val="Normal"/>
    <w:next w:val="Normal"/>
    <w:qFormat/>
    <w:pPr>
      <w:spacing w:before="240" w:after="120"/>
      <w:ind w:left="0"/>
    </w:pPr>
    <w:rPr>
      <w:rFonts w:ascii="Arial" w:cs="Arial" w:eastAsia="Arial" w:hAnsi="Arial"/>
      <w:b/>
      <w:bCs/>
      <w:sz w:val="22"/>
      <w:szCs w:val="22"/>
    </w:rPr>
  </w:style>
  <w:style w:type="paragraph" w:styleId="ParagraphLevel">
    <w:name w:val="Paragraph Level"/>
    <w:basedOn w:val="Normal"/>
    <w:next w:val="Normal"/>
    <w:qFormat/>
    <w:pPr>
      <w:spacing w:before="120" w:after="60"/>
      <w:ind w:left="720"/>
    </w:pPr>
    <w:rPr>
      <w:rFonts w:ascii="Arial" w:cs="Arial" w:eastAsia="Arial" w:hAnsi="Arial"/>
      <w:sz w:val="22"/>
      <w:szCs w:val="22"/>
    </w:rPr>
  </w:style>
  <w:style w:type="paragraph" w:styleId="SubparagraphLevel">
    <w:name w:val="Subparagraph Level"/>
    <w:basedOn w:val="Normal"/>
    <w:next w:val="Normal"/>
    <w:qFormat/>
    <w:pPr>
      <w:spacing w:before="60" w:after="60"/>
      <w:ind w:left="1440"/>
    </w:pPr>
    <w:rPr>
      <w:rFonts w:ascii="Arial" w:cs="Arial" w:eastAsia="Arial" w:hAnsi="Arial"/>
      <w:sz w:val="22"/>
      <w:szCs w:val="22"/>
    </w:rPr>
  </w:style>
  <w:style w:type="paragraph" w:styleId="SubSubparagraphLevel">
    <w:name w:val="Sub-Subparagraph Level"/>
    <w:basedOn w:val="Normal"/>
    <w:next w:val="Normal"/>
    <w:qFormat/>
    <w:pPr>
      <w:spacing w:before="60" w:after="60"/>
      <w:ind w:left="2160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2025-12-14T17:00:20.390Z</dcterms:created>
  <dcterms:modified xsi:type="dcterms:W3CDTF">2025-12-14T17:00:20.391Z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