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SectionTitle"/>
      </w:pPr>
      <w:r>
        <w:t xml:space="preserve">SECTION 08 11 13 - HOLLOW METAL DOORS AND FRAMES</w:t>
      </w:r>
    </w:p>
    <w:p>
      <w:pPr>
        <w:pStyle w:val="PartTitle"/>
      </w:pPr>
      <w:r>
        <w:t xml:space="preserve">PART 1 - GENERAL</w:t>
      </w:r>
    </w:p>
    <w:p>
      <w:pPr>
        <w:pStyle w:val="ArticleTitle"/>
        <w:numPr>
          <w:ilvl w:val="0"/>
          <w:numId w:val="2"/>
        </w:numPr>
      </w:pPr>
      <w:r>
        <w:t xml:space="preserve">SUMMARY</w:t>
      </w:r>
    </w:p>
    <w:p>
      <w:pPr>
        <w:pStyle w:val="ParagraphLevel"/>
        <w:numPr>
          <w:ilvl w:val="0"/>
          <w:numId w:val="3"/>
        </w:numPr>
      </w:pPr>
      <w:r>
        <w:t xml:space="preserve">Section Includes:</w:t>
      </w:r>
    </w:p>
    <w:p>
      <w:pPr>
        <w:pStyle w:val="SubparagraphLevel"/>
        <w:numPr>
          <w:ilvl w:val="0"/>
          <w:numId w:val="4"/>
        </w:numPr>
      </w:pPr>
      <w:r>
        <w:t xml:space="preserve">Steel doors and frames for interior applications.</w:t>
      </w:r>
    </w:p>
    <w:p>
      <w:pPr>
        <w:pStyle w:val="ListParagraph"/>
        <w:numPr>
          <w:ilvl w:val="0"/>
          <w:numId w:val="4"/>
        </w:numPr>
      </w:pPr>
      <w:r>
        <w:rPr>
          <w:rFonts w:ascii="Comic Sans MS" w:cs="Comic Sans MS" w:eastAsia="Comic Sans MS" w:hAnsi="Comic Sans MS"/>
          <w:sz w:val="20"/>
          <w:szCs w:val="20"/>
        </w:rPr>
        <w:t xml:space="preserve">Galvanized steel doors and frames for exterior applications.</w:t>
      </w:r>
    </w:p>
    <w:p>
      <w:pPr>
        <w:pStyle w:val="SubparagraphLevel"/>
        <w:numPr>
          <w:ilvl w:val="0"/>
          <w:numId w:val="4"/>
        </w:numPr>
      </w:pPr>
      <w:r>
        <w:t xml:space="preserve">Door hardware preparation and reinforcement.</w:t>
      </w:r>
    </w:p>
    <w:p>
      <w:pPr>
        <w:pStyle w:val="ListParagraph"/>
        <w:numPr>
          <w:ilvl w:val="0"/>
          <w:numId w:val="3"/>
        </w:numPr>
      </w:pPr>
      <w:r>
        <w:rPr>
          <w:rFonts w:ascii="Impact" w:cs="Impact" w:eastAsia="Impact" w:hAnsi="Impact"/>
          <w:sz w:val="22"/>
          <w:szCs w:val="22"/>
        </w:rPr>
        <w:t xml:space="preserve">Related Sections:</w:t>
      </w:r>
    </w:p>
    <w:p>
      <w:pPr>
        <w:pStyle w:val="SubparagraphLevel"/>
        <w:numPr>
          <w:ilvl w:val="0"/>
          <w:numId w:val="4"/>
        </w:numPr>
      </w:pPr>
      <w:r>
        <w:rPr>
          <w:b/>
          <w:bCs/>
        </w:rPr>
        <w:t xml:space="preserve">Section 08 71 00 - Door Hardware.</w:t>
      </w:r>
    </w:p>
    <w:p>
      <w:pPr>
        <w:pStyle w:val="ListParagraph"/>
        <w:numPr>
          <w:ilvl w:val="0"/>
          <w:numId w:val="4"/>
        </w:numPr>
      </w:pPr>
      <w:r>
        <w:rPr>
          <w:rFonts w:ascii="Lucida Console" w:cs="Lucida Console" w:eastAsia="Lucida Console" w:hAnsi="Lucida Console"/>
          <w:sz w:val="20"/>
          <w:szCs w:val="20"/>
        </w:rPr>
        <w:t xml:space="preserve">Section 09 91 00 - Painting.</w:t>
      </w:r>
    </w:p>
    <w:p>
      <w:pPr>
        <w:pStyle w:val="ListParagraph"/>
        <w:numPr>
          <w:ilvl w:val="0"/>
          <w:numId w:val="2"/>
        </w:numPr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REFERENCES</w:t>
      </w:r>
    </w:p>
    <w:p>
      <w:pPr>
        <w:pStyle w:val="ParagraphLevel"/>
        <w:numPr>
          <w:ilvl w:val="0"/>
          <w:numId w:val="5"/>
        </w:numPr>
      </w:pPr>
      <w:r>
        <w:t xml:space="preserve">Reference Standards:</w:t>
      </w:r>
    </w:p>
    <w:p>
      <w:pPr>
        <w:pStyle w:val="ListParagraph"/>
        <w:numPr>
          <w:ilvl w:val="0"/>
          <w:numId w:val="6"/>
        </w:numPr>
      </w:pPr>
      <w:r>
        <w:rPr>
          <w:rFonts w:ascii="Arial Narrow" w:cs="Arial Narrow" w:eastAsia="Arial Narrow" w:hAnsi="Arial Narrow"/>
          <w:sz w:val="20"/>
          <w:szCs w:val="20"/>
        </w:rPr>
        <w:t xml:space="preserve">ANSI/SDI A250.8 - Specifications for Standard Steel Doors and Frames.</w:t>
      </w:r>
    </w:p>
    <w:p>
      <w:pPr>
        <w:pStyle w:val="SubparagraphLevel"/>
        <w:numPr>
          <w:ilvl w:val="0"/>
          <w:numId w:val="6"/>
        </w:numPr>
      </w:pPr>
      <w:r>
        <w:t xml:space="preserve">ANSI/SDI A250.4 - Test Procedure and Acceptance Criteria for Physical Endurance for Steel Doors.</w:t>
      </w:r>
    </w:p>
    <w:p>
      <w:pPr>
        <w:pStyle w:val="SubparagraphLevel"/>
        <w:numPr>
          <w:ilvl w:val="0"/>
          <w:numId w:val="6"/>
        </w:numPr>
      </w:pPr>
      <w:r>
        <w:rPr>
          <w:rFonts w:ascii="Garamond" w:cs="Garamond" w:eastAsia="Garamond" w:hAnsi="Garamond"/>
          <w:sz w:val="20"/>
          <w:szCs w:val="20"/>
        </w:rPr>
        <w:t xml:space="preserve">ASTM A653 - Standard Specification for Steel Sheet, Zinc-Coated.</w:t>
      </w:r>
    </w:p>
    <w:p>
      <w:pPr>
        <w:pStyle w:val="ListParagraph"/>
        <w:numPr>
          <w:ilvl w:val="0"/>
          <w:numId w:val="6"/>
        </w:numPr>
      </w:pPr>
      <w:r>
        <w:rPr>
          <w:rFonts w:ascii="Book Antiqua" w:cs="Book Antiqua" w:eastAsia="Book Antiqua" w:hAnsi="Book Antiqua"/>
          <w:sz w:val="20"/>
          <w:szCs w:val="20"/>
        </w:rPr>
        <w:t xml:space="preserve">NFPA 80 - Standard for Fire Doors and Other Opening Protectives.</w:t>
      </w:r>
    </w:p>
    <w:p>
      <w:pPr>
        <w:pStyle w:val="ArticleTitle"/>
        <w:numPr>
          <w:ilvl w:val="0"/>
          <w:numId w:val="2"/>
        </w:numPr>
      </w:pPr>
      <w:r>
        <w:t xml:space="preserve">SUBMITTALS</w:t>
      </w:r>
    </w:p>
    <w:p>
      <w:pPr>
        <w:pStyle w:val="ListParagraph"/>
        <w:numPr>
          <w:ilvl w:val="0"/>
          <w:numId w:val="7"/>
        </w:numPr>
      </w:pPr>
      <w:r>
        <w:rPr>
          <w:rFonts w:ascii="Century Gothic" w:cs="Century Gothic" w:eastAsia="Century Gothic" w:hAnsi="Century Gothic"/>
          <w:sz w:val="22"/>
          <w:szCs w:val="22"/>
        </w:rPr>
        <w:t xml:space="preserve">Product Data: Submit manufacturer's technical data for each door and frame type.</w:t>
      </w:r>
    </w:p>
    <w:p>
      <w:pPr>
        <w:pStyle w:val="SubparagraphLevel"/>
        <w:numPr>
          <w:ilvl w:val="0"/>
          <w:numId w:val="8"/>
        </w:numPr>
      </w:pPr>
      <w:r>
        <w:t xml:space="preserve">Include construction details, material gauges, and finishes.</w:t>
      </w:r>
    </w:p>
    <w:p>
      <w:pPr>
        <w:pStyle w:val="ListParagraph"/>
        <w:numPr>
          <w:ilvl w:val="0"/>
          <w:numId w:val="8"/>
        </w:numPr>
      </w:pPr>
      <w:r>
        <w:rPr>
          <w:rFonts w:ascii="Rockwell" w:cs="Rockwell" w:eastAsia="Rockwell" w:hAnsi="Rockwell"/>
          <w:sz w:val="20"/>
          <w:szCs w:val="20"/>
        </w:rPr>
        <w:t xml:space="preserve">Include fire rating labels and certifications.</w:t>
      </w:r>
    </w:p>
    <w:p>
      <w:pPr>
        <w:pStyle w:val="ParagraphLevel"/>
        <w:numPr>
          <w:ilvl w:val="0"/>
          <w:numId w:val="7"/>
        </w:numPr>
      </w:pPr>
      <w:r>
        <w:t xml:space="preserve">Shop Drawings: Submit fabrication drawings for each door and frame assembly.</w:t>
      </w:r>
    </w:p>
    <w:p>
      <w:pPr>
        <w:pStyle w:val="ParagraphLevel"/>
        <w:numPr>
          <w:ilvl w:val="0"/>
          <w:numId w:val="7"/>
        </w:numPr>
      </w:pPr>
      <w:r>
        <w:rPr>
          <w:sz w:val="18"/>
          <w:szCs w:val="18"/>
        </w:rPr>
        <w:t xml:space="preserve">Certifications: Submit fire rating certifications from testing laboratory.</w:t>
      </w:r>
    </w:p>
    <w:p>
      <w:pPr>
        <w:pStyle w:val="ListParagraph"/>
        <w:numPr>
          <w:ilvl w:val="0"/>
          <w:numId w:val="2"/>
        </w:numPr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QUALITY ASSURANCE</w:t>
      </w:r>
    </w:p>
    <w:p>
      <w:pPr>
        <w:pStyle w:val="ParagraphLevel"/>
        <w:numPr>
          <w:ilvl w:val="0"/>
          <w:numId w:val="9"/>
        </w:numPr>
      </w:pPr>
      <w:r>
        <w:t xml:space="preserve">Fire-Rated Assemblies: Provide doors, frames, and hardware listed by UL or WHI.</w:t>
      </w:r>
    </w:p>
    <w:p>
      <w:pPr>
        <w:pStyle w:val="ListParagraph"/>
        <w:numPr>
          <w:ilvl w:val="0"/>
          <w:numId w:val="9"/>
        </w:numPr>
      </w:pPr>
      <w:r>
        <w:rPr>
          <w:rFonts w:ascii="Franklin Gothic Medium" w:cs="Franklin Gothic Medium" w:eastAsia="Franklin Gothic Medium" w:hAnsi="Franklin Gothic Medium"/>
          <w:sz w:val="22"/>
          <w:szCs w:val="22"/>
        </w:rPr>
        <w:t xml:space="preserve">Manufacturer Qualifications: Minimum 10 years experience producing hollow metal products.</w:t>
      </w:r>
    </w:p>
    <w:p>
      <w:pPr>
        <w:spacing w:before="240" w:after="12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PART 2 - PRODUCTS</w:t>
      </w:r>
    </w:p>
    <w:p>
      <w:pPr>
        <w:pStyle w:val="ArticleTitle"/>
        <w:numPr>
          <w:ilvl w:val="0"/>
          <w:numId w:val="10"/>
        </w:numPr>
      </w:pPr>
      <w:r>
        <w:t xml:space="preserve">MANUFACTURERS</w:t>
      </w:r>
    </w:p>
    <w:p>
      <w:pPr>
        <w:pStyle w:val="ListParagraph"/>
        <w:numPr>
          <w:ilvl w:val="0"/>
          <w:numId w:val="11"/>
        </w:numPr>
      </w:pPr>
      <w:r>
        <w:rPr>
          <w:rFonts w:ascii="Candara" w:cs="Candara" w:eastAsia="Candara" w:hAnsi="Candara"/>
          <w:sz w:val="22"/>
          <w:szCs w:val="22"/>
        </w:rPr>
        <w:t xml:space="preserve">Acceptable Manufacturers:</w:t>
      </w:r>
    </w:p>
    <w:p>
      <w:pPr>
        <w:pStyle w:val="SubparagraphLevel"/>
        <w:numPr>
          <w:ilvl w:val="0"/>
          <w:numId w:val="12"/>
        </w:numPr>
      </w:pPr>
      <w:r>
        <w:t xml:space="preserve">Ceco Door Products.</w:t>
      </w:r>
    </w:p>
    <w:p>
      <w:pPr>
        <w:pStyle w:val="ListParagraph"/>
        <w:numPr>
          <w:ilvl w:val="0"/>
          <w:numId w:val="12"/>
        </w:numPr>
      </w:pPr>
      <w:r>
        <w:rPr>
          <w:rFonts w:ascii="Segoe UI" w:cs="Segoe UI" w:eastAsia="Segoe UI" w:hAnsi="Segoe UI"/>
          <w:sz w:val="20"/>
          <w:szCs w:val="20"/>
        </w:rPr>
        <w:t xml:space="preserve">Curries Company.</w:t>
      </w:r>
    </w:p>
    <w:p>
      <w:pPr>
        <w:pStyle w:val="SubparagraphLevel"/>
        <w:numPr>
          <w:ilvl w:val="0"/>
          <w:numId w:val="12"/>
        </w:numPr>
      </w:pPr>
      <w:r>
        <w:t xml:space="preserve">Steelcraft.</w:t>
      </w:r>
    </w:p>
    <w:p>
      <w:pPr>
        <w:pStyle w:val="SubparagraphLevel"/>
        <w:numPr>
          <w:ilvl w:val="0"/>
          <w:numId w:val="12"/>
        </w:numPr>
      </w:pPr>
      <w:r>
        <w:rPr>
          <w:i/>
          <w:iCs/>
        </w:rPr>
        <w:t xml:space="preserve">Republic Doors and Frames.</w:t>
      </w:r>
    </w:p>
    <w:p>
      <w:pPr>
        <w:pStyle w:val="ParagraphLevel"/>
        <w:numPr>
          <w:ilvl w:val="0"/>
          <w:numId w:val="11"/>
        </w:numPr>
      </w:pPr>
      <w:r>
        <w:t xml:space="preserve">Substitutions: In accordance with Section 01 60 00.</w:t>
      </w:r>
    </w:p>
    <w:p>
      <w:pPr>
        <w:pStyle w:val="ArticleTitle"/>
        <w:numPr>
          <w:ilvl w:val="0"/>
          <w:numId w:val="10"/>
        </w:numPr>
      </w:pPr>
      <w:r>
        <w:rPr>
          <w:color w:val="333399"/>
        </w:rPr>
        <w:t xml:space="preserve">STEEL DOORS</w:t>
      </w:r>
    </w:p>
    <w:p>
      <w:pPr>
        <w:pStyle w:val="ParagraphLevel"/>
        <w:numPr>
          <w:ilvl w:val="0"/>
          <w:numId w:val="13"/>
        </w:numPr>
      </w:pPr>
      <w:r>
        <w:t xml:space="preserve">Interior Doors (Type A):</w:t>
      </w:r>
    </w:p>
    <w:p>
      <w:pPr>
        <w:pStyle w:val="ListParagraph"/>
        <w:numPr>
          <w:ilvl w:val="0"/>
          <w:numId w:val="14"/>
        </w:numPr>
      </w:pPr>
      <w:r>
        <w:rPr>
          <w:rFonts w:ascii="Constantia" w:cs="Constantia" w:eastAsia="Constantia" w:hAnsi="Constantia"/>
          <w:sz w:val="20"/>
          <w:szCs w:val="20"/>
        </w:rPr>
        <w:t xml:space="preserve">Construction: Full flush, seamless.</w:t>
      </w:r>
    </w:p>
    <w:p>
      <w:pPr>
        <w:pStyle w:val="SubparagraphLevel"/>
        <w:numPr>
          <w:ilvl w:val="0"/>
          <w:numId w:val="14"/>
        </w:numPr>
      </w:pPr>
      <w:r>
        <w:t xml:space="preserve">Face Sheets: 16 gauge cold-rolled steel.</w:t>
      </w:r>
    </w:p>
    <w:p>
      <w:pPr>
        <w:pStyle w:val="ListParagraph"/>
        <w:numPr>
          <w:ilvl w:val="0"/>
          <w:numId w:val="14"/>
        </w:numPr>
      </w:pPr>
      <w:r>
        <w:rPr>
          <w:rFonts w:ascii="Corbel" w:cs="Corbel" w:eastAsia="Corbel" w:hAnsi="Corbel"/>
          <w:sz w:val="20"/>
          <w:szCs w:val="20"/>
        </w:rPr>
        <w:t xml:space="preserve">Core: Honeycomb, polyurethane, or polystyrene.</w:t>
      </w:r>
    </w:p>
    <w:p>
      <w:pPr>
        <w:pStyle w:val="SubSubparagraphLevel"/>
        <w:numPr>
          <w:ilvl w:val="0"/>
          <w:numId w:val="15"/>
        </w:numPr>
      </w:pPr>
      <w:r>
        <w:t xml:space="preserve">Level 3: Standard duty per ANSI/SDI A250.4.</w:t>
      </w:r>
    </w:p>
    <w:p>
      <w:pPr>
        <w:pStyle w:val="ListParagraph"/>
        <w:numPr>
          <w:ilvl w:val="0"/>
          <w:numId w:val="15"/>
        </w:numPr>
      </w:pPr>
      <w:r>
        <w:rPr>
          <w:rFonts w:ascii="Cambria" w:cs="Cambria" w:eastAsia="Cambria" w:hAnsi="Cambria"/>
          <w:sz w:val="20"/>
          <w:szCs w:val="20"/>
        </w:rPr>
        <w:t xml:space="preserve">Physical performance: 250,000 cycles minimum.</w:t>
      </w:r>
    </w:p>
    <w:p>
      <w:pPr>
        <w:pStyle w:val="ListParagraph"/>
        <w:numPr>
          <w:ilvl w:val="0"/>
          <w:numId w:val="13"/>
        </w:numPr>
      </w:pPr>
      <w:r>
        <w:rPr>
          <w:rFonts w:ascii="Arial Black" w:cs="Arial Black" w:eastAsia="Arial Black" w:hAnsi="Arial Black"/>
          <w:sz w:val="22"/>
          <w:szCs w:val="22"/>
        </w:rPr>
        <w:t xml:space="preserve">Fire-Rated Doors (Type B):</w:t>
      </w:r>
    </w:p>
    <w:p>
      <w:pPr>
        <w:pStyle w:val="SubparagraphLevel"/>
        <w:numPr>
          <w:ilvl w:val="0"/>
          <w:numId w:val="14"/>
        </w:numPr>
      </w:pPr>
      <w:r>
        <w:t xml:space="preserve">Rating: As indicated on Drawings, 20 minutes to 3 hours.</w:t>
      </w:r>
    </w:p>
    <w:p>
      <w:pPr>
        <w:pStyle w:val="SubparagraphLevel"/>
        <w:numPr>
          <w:ilvl w:val="0"/>
          <w:numId w:val="14"/>
        </w:numPr>
      </w:pPr>
      <w:r>
        <w:rPr>
          <w:rFonts w:ascii="Bookman Old Style" w:cs="Bookman Old Style" w:eastAsia="Bookman Old Style" w:hAnsi="Bookman Old Style"/>
          <w:sz w:val="20"/>
          <w:szCs w:val="20"/>
        </w:rPr>
        <w:t xml:space="preserve">Construction: Comply with NFPA 80 requirements.</w:t>
      </w:r>
    </w:p>
    <w:p>
      <w:pPr>
        <w:pStyle w:val="ListParagraph"/>
        <w:numPr>
          <w:ilvl w:val="0"/>
          <w:numId w:val="16"/>
        </w:numPr>
      </w:pPr>
      <w:r>
        <w:rPr>
          <w:rFonts w:ascii="MS Reference Sans Serif" w:cs="MS Reference Sans Serif" w:eastAsia="MS Reference Sans Serif" w:hAnsi="MS Reference Sans Serif"/>
          <w:sz w:val="20"/>
          <w:szCs w:val="20"/>
        </w:rPr>
        <w:t xml:space="preserve">Label: UL or WHI classification marking on door edge.</w:t>
      </w:r>
    </w:p>
    <w:p>
      <w:pPr>
        <w:pStyle w:val="SubSubparagraphLevel"/>
        <w:numPr>
          <w:ilvl w:val="0"/>
          <w:numId w:val="16"/>
        </w:numPr>
      </w:pPr>
      <w:r>
        <w:t xml:space="preserve">Smoke seal: Intumescent seal at rated openings.</w:t>
      </w:r>
    </w:p>
    <w:p>
      <w:pPr>
        <w:pStyle w:val="ArticleTitle"/>
        <w:numPr>
          <w:ilvl w:val="0"/>
          <w:numId w:val="10"/>
        </w:numPr>
      </w:pPr>
      <w:r>
        <w:t xml:space="preserve">STEEL FRAMES</w:t>
      </w:r>
    </w:p>
    <w:p>
      <w:pPr>
        <w:pStyle w:val="ParagraphLevel"/>
        <w:numPr>
          <w:ilvl w:val="0"/>
          <w:numId w:val="17"/>
        </w:numPr>
      </w:pPr>
      <w:r>
        <w:rPr>
          <w:u w:val="single"/>
        </w:rPr>
        <w:t xml:space="preserve">General: Full profile welded frames unless otherwise indicated.</w:t>
      </w:r>
    </w:p>
    <w:p>
      <w:pPr>
        <w:pStyle w:val="ListParagraph"/>
        <w:numPr>
          <w:ilvl w:val="0"/>
          <w:numId w:val="18"/>
        </w:numPr>
      </w:pPr>
      <w:r>
        <w:rPr>
          <w:rFonts w:ascii="Tw Cen MT" w:cs="Tw Cen MT" w:eastAsia="Tw Cen MT" w:hAnsi="Tw Cen MT"/>
          <w:sz w:val="20"/>
          <w:szCs w:val="20"/>
        </w:rPr>
        <w:t xml:space="preserve">Material: 16 gauge steel minimum for door frames.</w:t>
      </w:r>
    </w:p>
    <w:p>
      <w:pPr>
        <w:pStyle w:val="SubparagraphLevel"/>
        <w:numPr>
          <w:ilvl w:val="0"/>
          <w:numId w:val="18"/>
        </w:numPr>
      </w:pPr>
      <w:r>
        <w:t xml:space="preserve">Reinforcement: 7 gauge at hardware locations.</w:t>
      </w:r>
    </w:p>
    <w:p>
      <w:pPr>
        <w:pStyle w:val="ParagraphLevel"/>
        <w:numPr>
          <w:ilvl w:val="0"/>
          <w:numId w:val="17"/>
        </w:numPr>
      </w:pPr>
      <w:r>
        <w:t xml:space="preserve">Anchors: Provide anchors suitable for wall construction type.</w:t>
      </w:r>
    </w:p>
    <w:p>
      <w:pPr>
        <w:pStyle w:val="PartTitle"/>
      </w:pPr>
      <w:r>
        <w:t xml:space="preserve">PART 3 - EXECUTION</w:t>
      </w:r>
    </w:p>
    <w:p>
      <w:pPr>
        <w:pStyle w:val="ListParagraph"/>
        <w:numPr>
          <w:ilvl w:val="0"/>
          <w:numId w:val="19"/>
        </w:numPr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EXAMINATION</w:t>
      </w:r>
    </w:p>
    <w:p>
      <w:pPr>
        <w:pStyle w:val="ParagraphLevel"/>
        <w:numPr>
          <w:ilvl w:val="0"/>
          <w:numId w:val="20"/>
        </w:numPr>
      </w:pPr>
      <w:r>
        <w:t xml:space="preserve">Verify wall openings are correct size and properly prepared.</w:t>
      </w:r>
    </w:p>
    <w:p>
      <w:pPr>
        <w:pStyle w:val="ListParagraph"/>
        <w:numPr>
          <w:ilvl w:val="0"/>
          <w:numId w:val="20"/>
        </w:numPr>
      </w:pPr>
      <w:r>
        <w:rPr>
          <w:rFonts w:ascii="Sylfaen" w:cs="Sylfaen" w:eastAsia="Sylfaen" w:hAnsi="Sylfaen"/>
          <w:sz w:val="22"/>
          <w:szCs w:val="22"/>
        </w:rPr>
        <w:t xml:space="preserve">Verify wall construction is ready to receive frames.</w:t>
      </w:r>
    </w:p>
    <w:p>
      <w:pPr>
        <w:pStyle w:val="ArticleTitle"/>
        <w:numPr>
          <w:ilvl w:val="0"/>
          <w:numId w:val="19"/>
        </w:numPr>
      </w:pPr>
      <w:r>
        <w:rPr>
          <w:rFonts w:ascii="Berlin Sans FB" w:cs="Berlin Sans FB" w:eastAsia="Berlin Sans FB" w:hAnsi="Berlin Sans FB"/>
          <w:sz w:val="22"/>
          <w:szCs w:val="22"/>
        </w:rPr>
        <w:t xml:space="preserve">INSTALLATION</w:t>
      </w:r>
    </w:p>
    <w:p>
      <w:pPr>
        <w:pStyle w:val="ParagraphLevel"/>
        <w:numPr>
          <w:ilvl w:val="0"/>
          <w:numId w:val="21"/>
        </w:numPr>
      </w:pPr>
      <w:r>
        <w:t xml:space="preserve">Install doors and frames per SDI-117 and manufacturer's instructions.</w:t>
      </w:r>
    </w:p>
    <w:p>
      <w:pPr>
        <w:pStyle w:val="ListParagraph"/>
        <w:numPr>
          <w:ilvl w:val="0"/>
          <w:numId w:val="22"/>
        </w:numPr>
      </w:pPr>
      <w:r>
        <w:rPr>
          <w:rFonts w:ascii="Eras Medium ITC" w:cs="Eras Medium ITC" w:eastAsia="Eras Medium ITC" w:hAnsi="Eras Medium ITC"/>
          <w:sz w:val="20"/>
          <w:szCs w:val="20"/>
        </w:rPr>
        <w:t xml:space="preserve">Set frames plumb, level, and square within 1/16 inch.</w:t>
      </w:r>
    </w:p>
    <w:p>
      <w:pPr>
        <w:pStyle w:val="SubparagraphLevel"/>
        <w:numPr>
          <w:ilvl w:val="0"/>
          <w:numId w:val="22"/>
        </w:numPr>
      </w:pPr>
      <w:r>
        <w:t xml:space="preserve">Anchor frames securely to wall construction.</w:t>
      </w:r>
    </w:p>
    <w:p>
      <w:pPr>
        <w:pStyle w:val="ListParagraph"/>
        <w:numPr>
          <w:ilvl w:val="0"/>
          <w:numId w:val="23"/>
        </w:numPr>
      </w:pPr>
      <w:r>
        <w:rPr>
          <w:rFonts w:ascii="Gill Sans MT" w:cs="Gill Sans MT" w:eastAsia="Gill Sans MT" w:hAnsi="Gill Sans MT"/>
          <w:sz w:val="20"/>
          <w:szCs w:val="20"/>
        </w:rPr>
        <w:t xml:space="preserve">Grouted frames: Fill completely with mortar.</w:t>
      </w:r>
    </w:p>
    <w:p>
      <w:pPr>
        <w:pStyle w:val="SubSubparagraphLevel"/>
        <w:numPr>
          <w:ilvl w:val="0"/>
          <w:numId w:val="23"/>
        </w:numPr>
      </w:pPr>
      <w:r>
        <w:t xml:space="preserve">Drywall frames: Secure with appropriate anchors at 24 inches on center.</w:t>
      </w:r>
    </w:p>
    <w:p>
      <w:pPr>
        <w:pStyle w:val="ParagraphLevel"/>
        <w:numPr>
          <w:ilvl w:val="0"/>
          <w:numId w:val="21"/>
        </w:numPr>
      </w:pPr>
      <w:r>
        <w:t xml:space="preserve">Fire-rated assemblies: Install per listing requirements.</w:t>
      </w:r>
    </w:p>
    <w:p>
      <w:pPr>
        <w:pStyle w:val="ArticleTitle"/>
        <w:numPr>
          <w:ilvl w:val="0"/>
          <w:numId w:val="19"/>
        </w:numPr>
      </w:pPr>
      <w:r>
        <w:t xml:space="preserve">ADJUSTING AND CLEANING</w:t>
      </w:r>
    </w:p>
    <w:p>
      <w:pPr>
        <w:pStyle w:val="ListParagraph"/>
        <w:numPr>
          <w:ilvl w:val="0"/>
          <w:numId w:val="24"/>
        </w:numPr>
      </w:pPr>
      <w:r>
        <w:rPr>
          <w:rFonts w:ascii="Leelawadee UI" w:cs="Leelawadee UI" w:eastAsia="Leelawadee UI" w:hAnsi="Leelawadee UI"/>
          <w:sz w:val="22"/>
          <w:szCs w:val="22"/>
        </w:rPr>
        <w:t xml:space="preserve">Adjust hardware for proper operation.</w:t>
      </w:r>
    </w:p>
    <w:p>
      <w:pPr>
        <w:pStyle w:val="ParagraphLevel"/>
        <w:numPr>
          <w:ilvl w:val="0"/>
          <w:numId w:val="24"/>
        </w:numPr>
      </w:pPr>
      <w:r>
        <w:t xml:space="preserve">Clean surfaces and touch up damaged finishes.</w:t>
      </w:r>
    </w:p>
    <w:p>
      <w:pPr>
        <w:pStyle w:val="ParagraphLevel"/>
        <w:numPr>
          <w:ilvl w:val="0"/>
          <w:numId w:val="24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Remove and replace defective work.</w:t>
      </w:r>
    </w:p>
    <w:p>
      <w:pPr>
        <w:spacing w:before="360"/>
      </w:pPr>
      <w:r>
        <w:rPr>
          <w:rFonts w:ascii="Copperplate Gothic Bold" w:cs="Copperplate Gothic Bold" w:eastAsia="Copperplate Gothic Bold" w:hAnsi="Copperplate Gothic Bold"/>
          <w:sz w:val="22"/>
          <w:szCs w:val="22"/>
        </w:rPr>
        <w:t xml:space="preserve">END OF SECTION</w:t>
      </w:r>
    </w:p>
    <w:sectPr>
      <w:headerReference w:type="default" r:id="rId6"/>
      <w:footerReference w:type="default" r:id="rId7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sz w:val="18"/>
        <w:szCs w:val="18"/>
      </w:rPr>
      <w:t xml:space="preserve">[Project Name]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640"/>
      </w:tabs>
    </w:pPr>
    <w:r>
      <w:rPr>
        <w:rFonts w:ascii="Arial" w:cs="Arial" w:eastAsia="Arial" w:hAnsi="Arial"/>
        <w:sz w:val="20"/>
        <w:szCs w:val="20"/>
      </w:rPr>
      <w:t xml:space="preserve">HOLLOW METAL DOORS AND FRAMES</w:t>
    </w:r>
    <w:r>
      <w:rPr>
        <w:rFonts w:ascii="Arial" w:cs="Arial" w:eastAsia="Arial" w:hAnsi="Arial"/>
        <w:sz w:val="20"/>
        <w:szCs w:val="20"/>
      </w:rPr>
      <w:t xml:space="preserve">	08 11 13 -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1.0%1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2.0%1"/>
      <w:lvlJc w:val="left"/>
      <w:pPr>
        <w:ind w:left="0" w:hanging="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3.0%1"/>
      <w:lvlJc w:val="left"/>
      <w:pPr>
        <w:ind w:left="0" w:hanging="0"/>
      </w:pPr>
    </w:lvl>
  </w:abstractNum>
  <w:abstractNum w:abstractNumId="5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0" w:hanging="0"/>
      </w:pPr>
    </w:lvl>
  </w:abstractNum>
  <w:abstractNum w:abstractNumId="6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0" w:hanging="0"/>
      </w:pPr>
    </w:lvl>
  </w:abstractNum>
  <w:abstractNum w:abstractNumId="7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0" w:hanging="0"/>
      </w:pPr>
    </w:lvl>
  </w:abstractNum>
  <w:abstractNum w:abstractNumId="8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0" w:hanging="0"/>
      </w:pPr>
    </w:lvl>
  </w:abstractNum>
  <w:abstractNum w:abstractNumId="9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0" w:hanging="0"/>
      </w:pPr>
    </w:lvl>
  </w:abstractNum>
  <w:abstractNum w:abstractNumId="10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0" w:hanging="0"/>
      </w:pPr>
    </w:lvl>
  </w:abstractNum>
  <w:abstractNum w:abstractNumId="11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0" w:hanging="0"/>
      </w:pPr>
    </w:lvl>
  </w:abstractNum>
  <w:abstractNum w:abstractNumId="12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0" w:hanging="0"/>
      </w:pPr>
    </w:lvl>
  </w:abstractNum>
  <w:abstractNum w:abstractNumId="13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0" w:hanging="0"/>
      </w:pPr>
    </w:lvl>
  </w:abstractNum>
  <w:abstractNum w:abstractNumId="14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0" w:hanging="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2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0" w:hanging="0"/>
      </w:pPr>
    </w:lvl>
  </w:abstractNum>
  <w:abstractNum w:abstractNumId="25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0" w:hanging="0"/>
      </w:pPr>
    </w:lvl>
  </w:abstractNum>
  <w:abstractNum w:abstractNumId="26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1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1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1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8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9"/>
    <w:lvlOverride w:ilvl="0">
      <w:startOverride w:val="1"/>
    </w:lvlOverride>
  </w:num>
  <w:num w:numId="15">
    <w:abstractNumId w:val="24"/>
    <w:lvlOverride w:ilvl="0">
      <w:startOverride w:val="1"/>
    </w:lvlOverride>
  </w:num>
  <w:num w:numId="16">
    <w:abstractNumId w:val="25"/>
    <w:lvlOverride w:ilvl="0">
      <w:startOverride w:val="1"/>
    </w:lvlOverride>
  </w:num>
  <w:num w:numId="17">
    <w:abstractNumId w:val="11"/>
    <w:lvlOverride w:ilvl="0">
      <w:startOverride w:val="1"/>
    </w:lvlOverride>
  </w:num>
  <w:num w:numId="18">
    <w:abstractNumId w:val="20"/>
    <w:lvlOverride w:ilvl="0">
      <w:startOverride w:val="1"/>
    </w:lvlOverride>
  </w:num>
  <w:num w:numId="19">
    <w:abstractNumId w:val="4"/>
    <w:lvlOverride w:ilvl="0">
      <w:startOverride w:val="1"/>
    </w:lvlOverride>
  </w:num>
  <w:num w:numId="20">
    <w:abstractNumId w:val="12"/>
    <w:lvlOverride w:ilvl="0">
      <w:startOverride w:val="1"/>
    </w:lvlOverride>
  </w:num>
  <w:num w:numId="21">
    <w:abstractNumId w:val="13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6"/>
    <w:lvlOverride w:ilvl="0">
      <w:startOverride w:val="1"/>
    </w:lvlOverride>
  </w:num>
  <w:num w:numId="2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SectionTitle">
    <w:name w:val="Section Title"/>
    <w:basedOn w:val="Normal"/>
    <w:pPr>
      <w:spacing w:after="240"/>
      <w:jc w:val="center"/>
    </w:pPr>
    <w:rPr>
      <w:rFonts w:ascii="Courier New" w:cs="Courier New" w:eastAsia="Courier New" w:hAnsi="Courier New"/>
      <w:b/>
      <w:bCs/>
      <w:sz w:val="28"/>
      <w:szCs w:val="28"/>
    </w:rPr>
  </w:style>
  <w:style w:type="paragraph" w:styleId="PartTitle">
    <w:name w:val="Part Title"/>
    <w:basedOn w:val="Normal"/>
    <w:pPr>
      <w:spacing w:before="240" w:after="120"/>
    </w:pPr>
    <w:rPr>
      <w:rFonts w:ascii="Georgia" w:cs="Georgia" w:eastAsia="Georgia" w:hAnsi="Georgia"/>
      <w:b/>
      <w:bCs/>
      <w:sz w:val="26"/>
      <w:szCs w:val="26"/>
    </w:rPr>
  </w:style>
  <w:style w:type="paragraph" w:styleId="ArticleTitle">
    <w:name w:val="Article Title"/>
    <w:basedOn w:val="Normal"/>
    <w:pPr>
      <w:spacing w:before="200" w:after="100"/>
    </w:pPr>
    <w:rPr>
      <w:rFonts w:ascii="Verdana" w:cs="Verdana" w:eastAsia="Verdana" w:hAnsi="Verdana"/>
      <w:b/>
      <w:bCs/>
      <w:sz w:val="22"/>
      <w:szCs w:val="22"/>
    </w:rPr>
  </w:style>
  <w:style w:type="paragraph" w:styleId="ParagraphLevel">
    <w:name w:val="Paragraph Level"/>
    <w:basedOn w:val="Normal"/>
    <w:pPr>
      <w:spacing w:before="80" w:after="60"/>
    </w:pPr>
    <w:rPr>
      <w:rFonts w:ascii="Trebuchet MS" w:cs="Trebuchet MS" w:eastAsia="Trebuchet MS" w:hAnsi="Trebuchet MS"/>
      <w:sz w:val="22"/>
      <w:szCs w:val="22"/>
    </w:rPr>
  </w:style>
  <w:style w:type="paragraph" w:styleId="SubparagraphLevel">
    <w:name w:val="Subparagraph Level"/>
    <w:basedOn w:val="Normal"/>
    <w:pPr>
      <w:spacing w:before="60" w:after="40"/>
    </w:pPr>
    <w:rPr>
      <w:rFonts w:ascii="Tahoma" w:cs="Tahoma" w:eastAsia="Tahoma" w:hAnsi="Tahoma"/>
      <w:sz w:val="20"/>
      <w:szCs w:val="20"/>
    </w:rPr>
  </w:style>
  <w:style w:type="paragraph" w:styleId="SubSubparagraphLevel">
    <w:name w:val="Sub-Subparagraph Level"/>
    <w:basedOn w:val="Normal"/>
    <w:pPr>
      <w:spacing w:before="40" w:after="40"/>
    </w:pPr>
    <w:rPr>
      <w:rFonts w:ascii="Calibri" w:cs="Calibri" w:eastAsia="Calibri" w:hAnsi="Calibri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2025-12-14T18:49:17.463Z</dcterms:created>
  <dcterms:modified xsi:type="dcterms:W3CDTF">2025-12-14T18:49:17.463Z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