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ectionTitle"/>
      </w:pPr>
      <w:r>
        <w:t xml:space="preserve">SECTION 09 30 00</w:t>
      </w:r>
    </w:p>
    <w:p>
      <w:pPr>
        <w:pStyle w:val="SectionTitle"/>
      </w:pPr>
      <w:r>
        <w:t xml:space="preserve">CERAMIC TILING</w:t>
      </w:r>
    </w:p>
    <w:p>
      <w:pPr>
        <w:pStyle w:val="PartTitle"/>
      </w:pPr>
      <w:r>
        <w:t xml:space="preserve">PART 1 - GENERAL</w:t>
      </w:r>
    </w:p>
    <w:p>
      <w:pPr>
        <w:pStyle w:val="ArticleTitle"/>
        <w:numPr>
          <w:ilvl w:val="0"/>
          <w:numId w:val="2"/>
        </w:numPr>
      </w:pPr>
      <w:r>
        <w:t xml:space="preserve">	SUMMARY</w:t>
      </w:r>
    </w:p>
    <w:p>
      <w:pPr>
        <w:pStyle w:val="ParagraphLevel"/>
        <w:numPr>
          <w:ilvl w:val="0"/>
          <w:numId w:val="3"/>
        </w:numPr>
      </w:pPr>
      <w:r>
        <w:t xml:space="preserve">Section Includes:</w:t>
      </w:r>
    </w:p>
    <w:p>
      <w:pPr>
        <w:pStyle w:val="SubparagraphLevel"/>
        <w:numPr>
          <w:ilvl w:val="0"/>
          <w:numId w:val="4"/>
        </w:numPr>
      </w:pPr>
      <w:r>
        <w:t xml:space="preserve">Ceramic tile for floors.</w:t>
      </w:r>
    </w:p>
    <w:p>
      <w:pPr>
        <w:pStyle w:val="SubparagraphLevel"/>
        <w:numPr>
          <w:ilvl w:val="0"/>
          <w:numId w:val="4"/>
        </w:numPr>
      </w:pPr>
      <w:r>
        <w:t xml:space="preserve">Ceramic tile for walls.</w:t>
      </w:r>
    </w:p>
    <w:p>
      <w:pPr>
        <w:pStyle w:val="SubparagraphLevel"/>
        <w:numPr>
          <w:ilvl w:val="0"/>
          <w:numId w:val="4"/>
        </w:numPr>
      </w:pPr>
      <w:r>
        <w:t xml:space="preserve">Porcelain tile for floors.</w:t>
      </w:r>
    </w:p>
    <w:p>
      <w:pPr>
        <w:pStyle w:val="SubparagraphLevel"/>
        <w:numPr>
          <w:ilvl w:val="0"/>
          <w:numId w:val="4"/>
        </w:numPr>
      </w:pPr>
      <w:r>
        <w:t xml:space="preserve">Tile setting materials and grout.</w:t>
      </w:r>
    </w:p>
    <w:p>
      <w:pPr>
        <w:pStyle w:val="ParagraphLevel"/>
        <w:numPr>
          <w:ilvl w:val="0"/>
          <w:numId w:val="3"/>
        </w:numPr>
      </w:pPr>
      <w:r>
        <w:t xml:space="preserve">Related Sections:</w:t>
      </w:r>
    </w:p>
    <w:p>
      <w:pPr>
        <w:pStyle w:val="SubparagraphLevel"/>
        <w:numPr>
          <w:ilvl w:val="0"/>
          <w:numId w:val="4"/>
        </w:numPr>
      </w:pPr>
      <w:r>
        <w:t xml:space="preserve">Section 07 92 00 - Joint Sealants.</w:t>
      </w:r>
    </w:p>
    <w:p>
      <w:pPr>
        <w:pStyle w:val="SubparagraphLevel"/>
        <w:numPr>
          <w:ilvl w:val="0"/>
          <w:numId w:val="4"/>
        </w:numPr>
      </w:pPr>
      <w:r>
        <w:t xml:space="preserve">Section 09 91 00 - painting.</w:t>
      </w:r>
    </w:p>
    <w:p>
      <w:pPr>
        <w:pStyle w:val="ArticleTitle"/>
        <w:numPr>
          <w:ilvl w:val="0"/>
          <w:numId w:val="2"/>
        </w:numPr>
      </w:pPr>
      <w:r>
        <w:t xml:space="preserve">	REFERENCES</w:t>
      </w:r>
    </w:p>
    <w:p>
      <w:pPr>
        <w:pStyle w:val="ParagraphLevel"/>
        <w:numPr>
          <w:ilvl w:val="0"/>
          <w:numId w:val="5"/>
        </w:numPr>
      </w:pPr>
      <w:r>
        <w:t xml:space="preserve">Reference Standards:</w:t>
      </w:r>
    </w:p>
    <w:p>
      <w:pPr>
        <w:pStyle w:val="SubparagraphLevel"/>
        <w:numPr>
          <w:ilvl w:val="0"/>
          <w:numId w:val="6"/>
        </w:numPr>
      </w:pPr>
      <w:r>
        <w:t xml:space="preserve">ANSI A108 - American National Standard Specifications for Installation of Ceramic Tile.</w:t>
      </w:r>
    </w:p>
    <w:p>
      <w:pPr>
        <w:pStyle w:val="SubparagraphLevel"/>
        <w:numPr>
          <w:ilvl w:val="0"/>
          <w:numId w:val="6"/>
        </w:numPr>
      </w:pPr>
      <w:r>
        <w:t xml:space="preserve">ANSI A118 - American National Standard Specifications for Tile Installation Materials.</w:t>
      </w:r>
    </w:p>
    <w:p>
      <w:pPr>
        <w:pStyle w:val="SubparagraphLevel"/>
        <w:numPr>
          <w:ilvl w:val="0"/>
          <w:numId w:val="6"/>
        </w:numPr>
      </w:pPr>
      <w:r>
        <w:t xml:space="preserve">ANSI A137.1 - American National Standard Specifications for Ceramic Tile.</w:t>
      </w:r>
    </w:p>
    <w:p>
      <w:pPr>
        <w:pStyle w:val="SubparagraphLevel"/>
        <w:numPr>
          <w:ilvl w:val="0"/>
          <w:numId w:val="6"/>
        </w:numPr>
      </w:pPr>
      <w:r>
        <w:t xml:space="preserve">TCNA Handbook for Ceramic, Glass, and Stone Tile Installation.</w:t>
      </w:r>
    </w:p>
    <w:p>
      <w:pPr>
        <w:pStyle w:val="ArticleTitle"/>
        <w:numPr>
          <w:ilvl w:val="0"/>
          <w:numId w:val="2"/>
        </w:numPr>
      </w:pPr>
      <w:r>
        <w:t xml:space="preserve">	SUBMITTALS</w:t>
      </w:r>
    </w:p>
    <w:p>
      <w:pPr>
        <w:pStyle w:val="ParagraphLevel"/>
        <w:numPr>
          <w:ilvl w:val="0"/>
          <w:numId w:val="7"/>
        </w:numPr>
      </w:pPr>
      <w:r>
        <w:t xml:space="preserve">Product Data: Submit manufacturer's technical data for each tile and setting material.</w:t>
      </w:r>
    </w:p>
    <w:p>
      <w:pPr>
        <w:pStyle w:val="SubparagraphLevel"/>
        <w:numPr>
          <w:ilvl w:val="0"/>
          <w:numId w:val="8"/>
        </w:numPr>
      </w:pPr>
      <w:r>
        <w:t xml:space="preserve">Include tile sizes, colors, and patterns.</w:t>
      </w:r>
    </w:p>
    <w:p>
      <w:pPr>
        <w:pStyle w:val="SubparagraphLevel"/>
        <w:numPr>
          <w:ilvl w:val="0"/>
          <w:numId w:val="8"/>
        </w:numPr>
      </w:pPr>
      <w:r>
        <w:t xml:space="preserve">Include setting material specifications and limitations.</w:t>
      </w:r>
    </w:p>
    <w:p>
      <w:pPr>
        <w:pStyle w:val="ParagraphLevel"/>
        <w:numPr>
          <w:ilvl w:val="0"/>
          <w:numId w:val="7"/>
        </w:numPr>
      </w:pPr>
      <w:r>
        <w:t xml:space="preserve">Samples: Submit two full-size samples of each tile type and color.</w:t>
      </w:r>
    </w:p>
    <w:p>
      <w:pPr>
        <w:pStyle w:val="ParagraphLevel"/>
        <w:numPr>
          <w:ilvl w:val="0"/>
          <w:numId w:val="7"/>
        </w:numPr>
      </w:pPr>
      <w:r>
        <w:t xml:space="preserve">Grout samples to be submitted with tile samples.</w:t>
      </w:r>
    </w:p>
    <w:p>
      <w:pPr>
        <w:pStyle w:val="ParagraphLevel"/>
        <w:numPr>
          <w:ilvl w:val="0"/>
          <w:numId w:val="7"/>
        </w:numPr>
      </w:pPr>
      <w:r>
        <w:t xml:space="preserve">Shop Drawings: Submit tile layout drawings for patterned installations.</w:t>
      </w:r>
    </w:p>
    <w:p>
      <w:pPr>
        <w:pStyle w:val="ArticleTitle"/>
        <w:numPr>
          <w:ilvl w:val="0"/>
          <w:numId w:val="2"/>
        </w:numPr>
      </w:pPr>
      <w:r>
        <w:t xml:space="preserve">	Quality Assurance</w:t>
      </w:r>
    </w:p>
    <w:p>
      <w:pPr>
        <w:pStyle w:val="ParagraphLevel"/>
        <w:numPr>
          <w:ilvl w:val="0"/>
          <w:numId w:val="9"/>
        </w:numPr>
      </w:pPr>
      <w:r>
        <w:t xml:space="preserve">Installer Qualifications: Minimum 5 years experience with similar tile installations.</w:t>
      </w:r>
    </w:p>
    <w:p>
      <w:pPr>
        <w:pStyle w:val="ParagraphLevel"/>
        <w:numPr>
          <w:ilvl w:val="0"/>
          <w:numId w:val="9"/>
        </w:numPr>
      </w:pPr>
      <w:r>
        <w:t xml:space="preserve">Mock-Up: Construct mock-up of typical tile installation for Architect approval.</w:t>
      </w:r>
    </w:p>
    <w:p>
      <w:pPr>
        <w:pStyle w:val="SubparagraphLevel"/>
        <w:numPr>
          <w:ilvl w:val="0"/>
          <w:numId w:val="10"/>
        </w:numPr>
      </w:pPr>
      <w:r>
        <w:t xml:space="preserve">Minimum 4 feet by 4 feet area.</w:t>
      </w:r>
    </w:p>
    <w:p>
      <w:pPr>
        <w:pStyle w:val="SubparagraphLevel"/>
        <w:numPr>
          <w:ilvl w:val="0"/>
          <w:numId w:val="10"/>
        </w:numPr>
      </w:pPr>
      <w:r>
        <w:t xml:space="preserve">Include typical joints, corners, and transitions.</w:t>
      </w:r>
    </w:p>
    <w:p>
      <w:pPr>
        <w:pStyle w:val="ArticleTitle"/>
        <w:numPr>
          <w:ilvl w:val="0"/>
          <w:numId w:val="2"/>
        </w:numPr>
      </w:pPr>
      <w:r>
        <w:t xml:space="preserve">	DELIVERY, STORAGE, AND HANDLING</w:t>
      </w:r>
    </w:p>
    <w:p>
      <w:pPr>
        <w:pStyle w:val="ParagraphLevel"/>
        <w:numPr>
          <w:ilvl w:val="0"/>
          <w:numId w:val="11"/>
        </w:numPr>
      </w:pPr>
      <w:r>
        <w:t xml:space="preserve">Deliver materials in manufacturer's original packaging with labels intact.</w:t>
      </w:r>
    </w:p>
    <w:p>
      <w:pPr>
        <w:pStyle w:val="ParagraphLevel"/>
        <w:numPr>
          <w:ilvl w:val="0"/>
          <w:numId w:val="11"/>
        </w:numPr>
      </w:pPr>
      <w:r>
        <w:t xml:space="preserve">Store materials in dry location protected from weather.</w:t>
      </w:r>
    </w:p>
    <w:p>
      <w:pPr>
        <w:pStyle w:val="ParagraphLevel"/>
        <w:numPr>
          <w:ilvl w:val="0"/>
          <w:numId w:val="11"/>
        </w:numPr>
      </w:pPr>
      <w:r>
        <w:t xml:space="preserve">Condition materials to minimum 50 degrees F before installation.</w:t>
      </w:r>
    </w:p>
    <w:p>
      <w:pPr>
        <w:pStyle w:val="PartTitle"/>
      </w:pPr>
      <w:r>
        <w:t xml:space="preserve">PART 2 - PRODUCTS</w:t>
      </w:r>
    </w:p>
    <w:p>
      <w:pPr>
        <w:pStyle w:val="ArticleTitle"/>
        <w:numPr>
          <w:ilvl w:val="0"/>
          <w:numId w:val="12"/>
        </w:numPr>
      </w:pPr>
      <w:r>
        <w:t xml:space="preserve">	MANUFACTURERS</w:t>
      </w:r>
    </w:p>
    <w:p>
      <w:pPr>
        <w:pStyle w:val="ParagraphLevel"/>
        <w:numPr>
          <w:ilvl w:val="0"/>
          <w:numId w:val="13"/>
        </w:numPr>
      </w:pPr>
      <w:r>
        <w:t xml:space="preserve">Acceptable Manufacturers - Tile:</w:t>
      </w:r>
    </w:p>
    <w:p>
      <w:pPr>
        <w:pStyle w:val="SubparagraphLevel"/>
        <w:numPr>
          <w:ilvl w:val="0"/>
          <w:numId w:val="14"/>
        </w:numPr>
      </w:pPr>
      <w:r>
        <w:t xml:space="preserve">Daltile.</w:t>
      </w:r>
    </w:p>
    <w:p>
      <w:pPr>
        <w:pStyle w:val="SubparagraphLevel"/>
        <w:numPr>
          <w:ilvl w:val="0"/>
          <w:numId w:val="14"/>
        </w:numPr>
      </w:pPr>
      <w:r>
        <w:t xml:space="preserve">American Olean.</w:t>
      </w:r>
    </w:p>
    <w:p>
      <w:pPr>
        <w:pStyle w:val="SubparagraphLevel"/>
        <w:numPr>
          <w:ilvl w:val="0"/>
          <w:numId w:val="14"/>
        </w:numPr>
      </w:pPr>
      <w:r>
        <w:t xml:space="preserve">Florida Tile Industries.</w:t>
      </w:r>
    </w:p>
    <w:p>
      <w:pPr>
        <w:pStyle w:val="ParagraphLevel"/>
        <w:numPr>
          <w:ilvl w:val="0"/>
          <w:numId w:val="13"/>
        </w:numPr>
      </w:pPr>
      <w:r>
        <w:t xml:space="preserve">Acceptable Manufacturers - Setting Materials:</w:t>
      </w:r>
    </w:p>
    <w:p>
      <w:pPr>
        <w:pStyle w:val="SubparagraphLevel"/>
        <w:numPr>
          <w:ilvl w:val="0"/>
          <w:numId w:val="14"/>
        </w:numPr>
      </w:pPr>
      <w:r>
        <w:t xml:space="preserve">Laticrete International.</w:t>
      </w:r>
    </w:p>
    <w:p>
      <w:pPr>
        <w:pStyle w:val="SubparagraphLevel"/>
        <w:numPr>
          <w:ilvl w:val="0"/>
          <w:numId w:val="14"/>
        </w:numPr>
      </w:pPr>
      <w:r>
        <w:t xml:space="preserve">MAPEI Corporation.</w:t>
      </w:r>
    </w:p>
    <w:p>
      <w:pPr>
        <w:pStyle w:val="SubparagraphLevel"/>
        <w:numPr>
          <w:ilvl w:val="0"/>
          <w:numId w:val="14"/>
        </w:numPr>
      </w:pPr>
      <w:r>
        <w:t xml:space="preserve">Custom Building Products.</w:t>
      </w:r>
    </w:p>
    <w:p>
      <w:pPr>
        <w:pStyle w:val="ArticleTitle"/>
        <w:numPr>
          <w:ilvl w:val="0"/>
          <w:numId w:val="12"/>
        </w:numPr>
      </w:pPr>
      <w:r>
        <w:t xml:space="preserve">	TILE MATERIALS</w:t>
      </w:r>
    </w:p>
    <w:p>
      <w:pPr>
        <w:pStyle w:val="ParagraphLevel"/>
        <w:numPr>
          <w:ilvl w:val="0"/>
          <w:numId w:val="15"/>
        </w:numPr>
      </w:pPr>
      <w:r>
        <w:t xml:space="preserve">Floor Tile (Type FT-1): Porcelain, through-body color.</w:t>
      </w:r>
    </w:p>
    <w:p>
      <w:pPr>
        <w:pStyle w:val="ParagraphLevel"/>
        <w:numPr>
          <w:ilvl w:val="0"/>
          <w:numId w:val="16"/>
        </w:numPr>
      </w:pPr>
      <w:r>
        <w:t xml:space="preserve">Size: 12 inches by 12 inches by 3/8 inch thick.</w:t>
      </w:r>
    </w:p>
    <w:p>
      <w:pPr>
        <w:pStyle w:val="ParagraphLevel"/>
        <w:numPr>
          <w:ilvl w:val="0"/>
          <w:numId w:val="16"/>
        </w:numPr>
      </w:pPr>
      <w:r>
        <w:t xml:space="preserve">Finish: Matte, slip-resistant.</w:t>
      </w:r>
    </w:p>
    <w:p>
      <w:pPr>
        <w:pStyle w:val="ParagraphLevel"/>
        <w:numPr>
          <w:ilvl w:val="0"/>
          <w:numId w:val="16"/>
        </w:numPr>
      </w:pPr>
      <w:r>
        <w:t xml:space="preserve">DCOF: 0.42 minimum per ANSI A326.3.</w:t>
      </w:r>
    </w:p>
    <w:p>
      <w:pPr>
        <w:pStyle w:val="SubSubparagraphLevel"/>
        <w:numPr>
          <w:ilvl w:val="0"/>
          <w:numId w:val="17"/>
        </w:numPr>
      </w:pPr>
      <w:r>
        <w:t xml:space="preserve">Color: As selected by Architect.</w:t>
      </w:r>
    </w:p>
    <w:p>
      <w:pPr>
        <w:pStyle w:val="SubSubparagraphLevel"/>
        <w:numPr>
          <w:ilvl w:val="0"/>
          <w:numId w:val="17"/>
        </w:numPr>
      </w:pPr>
      <w:r>
        <w:t xml:space="preserve">Application: Toilet rooms, janitor closets, kitchen.</w:t>
      </w:r>
    </w:p>
    <w:p>
      <w:pPr>
        <w:pStyle w:val="ParagraphLevel"/>
        <w:numPr>
          <w:ilvl w:val="0"/>
          <w:numId w:val="15"/>
        </w:numPr>
      </w:pPr>
      <w:r>
        <w:t xml:space="preserve">Wall Tile (Type WT-1): Ceramic, glazed.</w:t>
      </w:r>
    </w:p>
    <w:p>
      <w:pPr>
        <w:pStyle w:val="SubparagraphLevel"/>
        <w:numPr>
          <w:ilvl w:val="0"/>
          <w:numId w:val="18"/>
        </w:numPr>
      </w:pPr>
      <w:r>
        <w:t xml:space="preserve">Size: 4 inches by 4 inches by 5/16 inch thick.</w:t>
      </w:r>
    </w:p>
    <w:p>
      <w:pPr>
        <w:pStyle w:val="SubparagraphLevel"/>
        <w:numPr>
          <w:ilvl w:val="0"/>
          <w:numId w:val="18"/>
        </w:numPr>
      </w:pPr>
      <w:r>
        <w:t xml:space="preserve">Finish: Gloss.</w:t>
      </w:r>
    </w:p>
    <w:p>
      <w:pPr>
        <w:pStyle w:val="SubparagraphLevel"/>
        <w:numPr>
          <w:ilvl w:val="0"/>
          <w:numId w:val="18"/>
        </w:numPr>
      </w:pPr>
      <w:r>
        <w:t xml:space="preserve">Color: White.</w:t>
      </w:r>
    </w:p>
    <w:p>
      <w:pPr>
        <w:pStyle w:val="ParagraphLevel"/>
        <w:numPr>
          <w:ilvl w:val="0"/>
          <w:numId w:val="15"/>
        </w:numPr>
      </w:pPr>
      <w:r>
        <w:t xml:space="preserve">Accent Tile (Type AT-1): Glass mosaic.</w:t>
      </w:r>
    </w:p>
    <w:p>
      <w:pPr>
        <w:pStyle w:val="SubparagraphLevel"/>
        <w:numPr>
          <w:ilvl w:val="0"/>
          <w:numId w:val="18"/>
        </w:numPr>
      </w:pPr>
      <w:r>
        <w:t xml:space="preserve">Size: 1 inch by 1 inch mounted on 12 inch by 12 inch sheets.</w:t>
      </w:r>
    </w:p>
    <w:p>
      <w:pPr>
        <w:pStyle w:val="ArticleTitle"/>
        <w:numPr>
          <w:ilvl w:val="0"/>
          <w:numId w:val="12"/>
        </w:numPr>
      </w:pPr>
      <w:r>
        <w:t xml:space="preserve">	SETTING MATERIALS</w:t>
      </w:r>
    </w:p>
    <w:p>
      <w:pPr>
        <w:pStyle w:val="ParagraphLevel"/>
        <w:numPr>
          <w:ilvl w:val="0"/>
          <w:numId w:val="19"/>
        </w:numPr>
      </w:pPr>
      <w:r>
        <w:t xml:space="preserve">Thin-Set Mortar: ANSI A118.4, latex-portland cement type.</w:t>
      </w:r>
    </w:p>
    <w:p>
      <w:pPr>
        <w:pStyle w:val="ParagraphLevel"/>
        <w:numPr>
          <w:ilvl w:val="0"/>
          <w:numId w:val="19"/>
        </w:numPr>
      </w:pPr>
      <w:r>
        <w:t xml:space="preserve">Grout: ANSI A118.6, polymer modified unsanded for joints 1/8 inch and smaller.</w:t>
      </w:r>
    </w:p>
    <w:p>
      <w:pPr>
        <w:pStyle w:val="SubparagraphLevel"/>
        <w:numPr>
          <w:ilvl w:val="0"/>
          <w:numId w:val="20"/>
        </w:numPr>
      </w:pPr>
      <w:r>
        <w:t xml:space="preserve">Color: As selected by Architect from manufacturer's standard colors.</w:t>
      </w:r>
    </w:p>
    <w:p>
      <w:pPr>
        <w:pStyle w:val="ParagraphLevel"/>
        <w:numPr>
          <w:ilvl w:val="0"/>
          <w:numId w:val="19"/>
        </w:numPr>
      </w:pPr>
      <w:r>
        <w:t xml:space="preserve">Sanded grout for joints greater than 1/8 inch.</w:t>
      </w:r>
    </w:p>
    <w:p>
      <w:pPr>
        <w:pStyle w:val="ParagraphLevel"/>
        <w:numPr>
          <w:ilvl w:val="0"/>
          <w:numId w:val="19"/>
        </w:numPr>
      </w:pPr>
      <w:r>
        <w:t xml:space="preserve">Waterproof Membrane: ANSI A118.10, liquid-applied type for wet areas.</w:t>
      </w:r>
    </w:p>
    <w:p>
      <w:pPr>
        <w:pStyle w:val="PartTitle"/>
      </w:pPr>
      <w:r>
        <w:t xml:space="preserve">PART 3 - EXECUTION</w:t>
      </w:r>
    </w:p>
    <w:p>
      <w:pPr>
        <w:pStyle w:val="ArticleTitle"/>
        <w:numPr>
          <w:ilvl w:val="0"/>
          <w:numId w:val="21"/>
        </w:numPr>
      </w:pPr>
      <w:r>
        <w:t xml:space="preserve">	EXAMINATION</w:t>
      </w:r>
    </w:p>
    <w:p>
      <w:pPr>
        <w:pStyle w:val="ParagraphLevel"/>
        <w:numPr>
          <w:ilvl w:val="0"/>
          <w:numId w:val="22"/>
        </w:numPr>
      </w:pPr>
      <w:r>
        <w:t xml:space="preserve">Verify substrates are ready for tile installation:</w:t>
      </w:r>
    </w:p>
    <w:p>
      <w:pPr>
        <w:pStyle w:val="SubparagraphLevel"/>
        <w:numPr>
          <w:ilvl w:val="0"/>
          <w:numId w:val="23"/>
        </w:numPr>
      </w:pPr>
      <w:r>
        <w:t xml:space="preserve">Surfaces are clean, dry, and free of contaminants.</w:t>
      </w:r>
    </w:p>
    <w:p>
      <w:pPr>
        <w:pStyle w:val="SubparagraphLevel"/>
        <w:numPr>
          <w:ilvl w:val="0"/>
          <w:numId w:val="23"/>
        </w:numPr>
      </w:pPr>
      <w:r>
        <w:t xml:space="preserve">Concrete is cured minimum 28 days.</w:t>
      </w:r>
    </w:p>
    <w:p>
      <w:pPr>
        <w:pStyle w:val="SubparagraphLevel"/>
        <w:numPr>
          <w:ilvl w:val="0"/>
          <w:numId w:val="23"/>
        </w:numPr>
      </w:pPr>
      <w:r>
        <w:t xml:space="preserve">Floor flatness meets requirements of TCNA Handbook.</w:t>
      </w:r>
    </w:p>
    <w:p>
      <w:pPr>
        <w:pStyle w:val="ParagraphLevel"/>
        <w:numPr>
          <w:ilvl w:val="0"/>
          <w:numId w:val="22"/>
        </w:numPr>
      </w:pPr>
      <w:r>
        <w:t xml:space="preserve">Do not proceed until unsatisfactory conditions are corrected.</w:t>
      </w:r>
    </w:p>
    <w:p>
      <w:pPr>
        <w:pStyle w:val="ArticleTitle"/>
        <w:numPr>
          <w:ilvl w:val="0"/>
          <w:numId w:val="21"/>
        </w:numPr>
      </w:pPr>
      <w:r>
        <w:t xml:space="preserve">	PREPARATION</w:t>
      </w:r>
    </w:p>
    <w:p>
      <w:pPr>
        <w:pStyle w:val="ParagraphLevel"/>
        <w:numPr>
          <w:ilvl w:val="0"/>
          <w:numId w:val="24"/>
        </w:numPr>
      </w:pPr>
      <w:r>
        <w:t xml:space="preserve">Prepare substrates per TCNA Handbook and setting material manufacturer's requirements.</w:t>
      </w:r>
    </w:p>
    <w:p>
      <w:pPr>
        <w:pStyle w:val="ParagraphLevel"/>
        <w:numPr>
          <w:ilvl w:val="0"/>
          <w:numId w:val="24"/>
        </w:numPr>
      </w:pPr>
      <w:r>
        <w:t xml:space="preserve">Apply waterproof membrane in wet areas:</w:t>
      </w:r>
    </w:p>
    <w:p>
      <w:pPr>
        <w:pStyle w:val="SubparagraphLevel"/>
        <w:numPr>
          <w:ilvl w:val="0"/>
          <w:numId w:val="25"/>
        </w:numPr>
      </w:pPr>
      <w:r>
        <w:t xml:space="preserve">Toilet room floors and walls to 6 feet above floor.</w:t>
      </w:r>
    </w:p>
    <w:p>
      <w:pPr>
        <w:pStyle w:val="SubparagraphLevel"/>
        <w:numPr>
          <w:ilvl w:val="0"/>
          <w:numId w:val="25"/>
        </w:numPr>
      </w:pPr>
      <w:r>
        <w:t xml:space="preserve">Shower walls full height.</w:t>
      </w:r>
    </w:p>
    <w:p>
      <w:pPr>
        <w:pStyle w:val="SubparagraphLevel"/>
        <w:numPr>
          <w:ilvl w:val="0"/>
          <w:numId w:val="25"/>
        </w:numPr>
      </w:pPr>
      <w:r>
        <w:t xml:space="preserve">Lap seams minimum 2 inches.</w:t>
      </w:r>
    </w:p>
    <w:p>
      <w:pPr>
        <w:pStyle w:val="ParagraphLevel"/>
        <w:numPr>
          <w:ilvl w:val="0"/>
          <w:numId w:val="24"/>
        </w:numPr>
      </w:pPr>
      <w:r>
        <w:t xml:space="preserve">Lay out tile work to minimize cuts and maintain symmetry.</w:t>
      </w:r>
    </w:p>
    <w:p>
      <w:pPr>
        <w:pStyle w:val="ArticleTitle"/>
        <w:numPr>
          <w:ilvl w:val="0"/>
          <w:numId w:val="21"/>
        </w:numPr>
      </w:pPr>
      <w:r>
        <w:t xml:space="preserve">	INSTALLATION</w:t>
      </w:r>
    </w:p>
    <w:p>
      <w:pPr>
        <w:pStyle w:val="ParagraphLevel"/>
        <w:numPr>
          <w:ilvl w:val="0"/>
          <w:numId w:val="26"/>
        </w:numPr>
      </w:pPr>
      <w:r>
        <w:t xml:space="preserve">Install tile per TCNA Handbook method appropriate for substrate and application.</w:t>
      </w:r>
    </w:p>
    <w:p>
      <w:pPr>
        <w:pStyle w:val="SubparagraphLevel"/>
        <w:numPr>
          <w:ilvl w:val="0"/>
          <w:numId w:val="27"/>
        </w:numPr>
      </w:pPr>
      <w:r>
        <w:t xml:space="preserve">Set floor tile with full mortar coverage.</w:t>
      </w:r>
    </w:p>
    <w:p>
      <w:pPr>
        <w:pStyle w:val="SubparagraphLevel"/>
        <w:numPr>
          <w:ilvl w:val="0"/>
          <w:numId w:val="27"/>
        </w:numPr>
      </w:pPr>
      <w:r>
        <w:t xml:space="preserve">Set wall tile with minimum 80 percent coverage.</w:t>
      </w:r>
    </w:p>
    <w:p>
      <w:pPr>
        <w:pStyle w:val="SubSubparagraphLevel"/>
        <w:numPr>
          <w:ilvl w:val="0"/>
          <w:numId w:val="28"/>
        </w:numPr>
      </w:pPr>
      <w:r>
        <w:t xml:space="preserve">Full coverage at wet areas.</w:t>
      </w:r>
    </w:p>
    <w:p>
      <w:pPr>
        <w:pStyle w:val="SubSubparagraphLevel"/>
        <w:numPr>
          <w:ilvl w:val="0"/>
          <w:numId w:val="28"/>
        </w:numPr>
      </w:pPr>
      <w:r>
        <w:t xml:space="preserve">Full coverage at tile edges.</w:t>
      </w:r>
    </w:p>
    <w:p>
      <w:pPr>
        <w:pStyle w:val="ParagraphLevel"/>
        <w:numPr>
          <w:ilvl w:val="0"/>
          <w:numId w:val="26"/>
        </w:numPr>
      </w:pPr>
      <w:r>
        <w:t xml:space="preserve">Joint Width: 1/8 inch unless otherwise indicated.</w:t>
      </w:r>
    </w:p>
    <w:p>
      <w:pPr>
        <w:pStyle w:val="ParagraphLevel"/>
        <w:numPr>
          <w:ilvl w:val="0"/>
          <w:numId w:val="26"/>
        </w:numPr>
      </w:pPr>
      <w:r>
        <w:t xml:space="preserve">Grout joints after mortar has cured minimum 24 hours.</w:t>
      </w:r>
    </w:p>
    <w:p>
      <w:pPr>
        <w:pStyle w:val="SubparagraphLevel"/>
        <w:numPr>
          <w:ilvl w:val="0"/>
          <w:numId w:val="27"/>
        </w:numPr>
      </w:pPr>
      <w:r>
        <w:t xml:space="preserve">Tool joints to uniform depth.</w:t>
      </w:r>
    </w:p>
    <w:p>
      <w:pPr>
        <w:pStyle w:val="SubparagraphLevel"/>
        <w:numPr>
          <w:ilvl w:val="0"/>
          <w:numId w:val="27"/>
        </w:numPr>
      </w:pPr>
      <w:r>
        <w:t xml:space="preserve">Clean excess grout from tile surfaces before grout sets.</w:t>
      </w:r>
    </w:p>
    <w:p>
      <w:pPr>
        <w:pStyle w:val="SubparagraphLevel"/>
        <w:numPr>
          <w:ilvl w:val="0"/>
          <w:numId w:val="27"/>
        </w:numPr>
      </w:pPr>
      <w:r>
        <w:t xml:space="preserve">Seal grout joints with penetrating sealer after grout has cured.</w:t>
      </w:r>
    </w:p>
    <w:p>
      <w:pPr>
        <w:spacing w:before="360"/>
        <w:jc w:val="center"/>
      </w:pPr>
      <w:r>
        <w:rPr>
          <w:b/>
          <w:bCs/>
        </w:rPr>
        <w:t xml:space="preserve">END OF SECTION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Lincoln Elementary School Modernization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sz w:val="20"/>
        <w:szCs w:val="20"/>
      </w:rPr>
      <w:t xml:space="preserve">CERAMIC TILING</w:t>
    </w:r>
    <w:r>
      <w:rPr>
        <w:rFonts w:ascii="Arial" w:cs="Arial" w:eastAsia="Arial" w:hAnsi="Arial"/>
        <w:sz w:val="20"/>
        <w:szCs w:val="20"/>
      </w:rPr>
      <w:t xml:space="preserve">	09 30 00 -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0%1"/>
      <w:lvlJc w:val="left"/>
      <w:pPr>
        <w:ind w:left="0" w:hanging="720"/>
      </w:pPr>
    </w:lvl>
  </w:abstractNum>
  <w:abstractNum w:abstractNumId="3" w15:restartNumberingAfterBreak="0">
    <w:multiLevelType w:val="hybridMultilevel"/>
    <w:lvl w:ilvl="0" w15:tentative="1">
      <w:start w:val="2"/>
      <w:numFmt w:val="decimal"/>
      <w:lvlText w:val="2.0%1"/>
      <w:lvlJc w:val="left"/>
      <w:pPr>
        <w:ind w:left="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2.0%1"/>
      <w:lvlJc w:val="left"/>
      <w:pPr>
        <w:ind w:left="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3.0%1"/>
      <w:lvlJc w:val="left"/>
      <w:pPr>
        <w:ind w:left="0" w:hanging="72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9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2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3"/>
    <w:lvlOverride w:ilvl="0">
      <w:startOverride w:val="2"/>
    </w:lvlOverride>
  </w:num>
  <w:num w:numId="13">
    <w:abstractNumId w:val="11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30"/>
    <w:lvlOverride w:ilvl="0">
      <w:startOverride w:val="1"/>
    </w:lvlOverride>
  </w:num>
  <w:num w:numId="17">
    <w:abstractNumId w:val="27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23"/>
    <w:lvlOverride w:ilvl="0">
      <w:startOverride w:val="1"/>
    </w:lvlOverride>
  </w:num>
  <w:num w:numId="21">
    <w:abstractNumId w:val="5"/>
    <w:lvlOverride w:ilvl="0">
      <w:startOverride w:val="1"/>
    </w:lvlOverride>
  </w:num>
  <w:num w:numId="22">
    <w:abstractNumId w:val="14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15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16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Title">
    <w:name w:val="Section Title"/>
    <w:basedOn w:val="Normal"/>
    <w:pPr>
      <w:spacing w:after="240"/>
      <w:jc w:val="center"/>
    </w:pPr>
    <w:rPr>
      <w:rFonts w:ascii="Arial" w:cs="Arial" w:eastAsia="Arial" w:hAnsi="Arial"/>
      <w:b/>
      <w:bCs/>
      <w:sz w:val="22"/>
      <w:szCs w:val="22"/>
    </w:rPr>
  </w:style>
  <w:style w:type="paragraph" w:styleId="PartTitle">
    <w:name w:val="Part Title"/>
    <w:basedOn w:val="Normal"/>
    <w:pPr>
      <w:spacing w:before="240" w:after="120"/>
    </w:pPr>
    <w:rPr>
      <w:rFonts w:ascii="Arial" w:cs="Arial" w:eastAsia="Arial" w:hAnsi="Arial"/>
      <w:b/>
      <w:bCs/>
      <w:sz w:val="22"/>
      <w:szCs w:val="22"/>
    </w:rPr>
  </w:style>
  <w:style w:type="paragraph" w:styleId="ArticleTitle">
    <w:name w:val="Article Title"/>
    <w:basedOn w:val="Normal"/>
    <w:pPr>
      <w:spacing w:before="180" w:after="100"/>
      <w:ind w:left="0"/>
    </w:pPr>
    <w:rPr>
      <w:rFonts w:ascii="Arial" w:cs="Arial" w:eastAsia="Arial" w:hAnsi="Arial"/>
      <w:b/>
      <w:bCs/>
      <w:sz w:val="22"/>
      <w:szCs w:val="22"/>
    </w:rPr>
  </w:style>
  <w:style w:type="paragraph" w:styleId="ParagraphLevel">
    <w:name w:val="Paragraph Level"/>
    <w:basedOn w:val="Normal"/>
    <w:pPr>
      <w:spacing w:before="60" w:after="60"/>
      <w:ind w:left="720" w:hanging="360"/>
    </w:pPr>
    <w:rPr>
      <w:rFonts w:ascii="Arial" w:cs="Arial" w:eastAsia="Arial" w:hAnsi="Arial"/>
      <w:sz w:val="22"/>
      <w:szCs w:val="22"/>
    </w:rPr>
  </w:style>
  <w:style w:type="paragraph" w:styleId="SubparagraphLevel">
    <w:name w:val="Subparagraph Level"/>
    <w:basedOn w:val="Normal"/>
    <w:pPr>
      <w:spacing w:before="60" w:after="60"/>
      <w:ind w:left="1440" w:hanging="360"/>
    </w:pPr>
    <w:rPr>
      <w:rFonts w:ascii="Arial" w:cs="Arial" w:eastAsia="Arial" w:hAnsi="Arial"/>
      <w:sz w:val="22"/>
      <w:szCs w:val="22"/>
    </w:rPr>
  </w:style>
  <w:style w:type="paragraph" w:styleId="SubSubparagraphLevel">
    <w:name w:val="Sub-Subparagraph Level"/>
    <w:basedOn w:val="Normal"/>
    <w:pPr>
      <w:spacing w:before="60" w:after="60"/>
      <w:ind w:left="2160" w:hanging="36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2025-12-14T19:17:18.083Z</dcterms:created>
  <dcterms:modified xsi:type="dcterms:W3CDTF">2025-12-14T19:17:18.084Z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