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8c5e905b4dd349fd"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b32794d04494225"/>
                    <a:stretch>
                      <a:fillRect/>
                    </a:stretch>
                  </pic:blipFill>
                  <pic:spPr>
                    <a:xfrm>
                      <a:off x="0" y="0"/>
                      <a:ext cx="7560000" cy="10692000"/>
                    </a:xfrm>
                    <a:prstGeom prst="rect"/>
                  </pic:spPr>
                </pic:pic>
              </a:graphicData>
            </a:graphic>
          </wp:anchor>
        </w:drawing>
      </w:r>
    </w:p>
    <w:p>
      <w:pPr>
        <w:spacing w:before="4500"/>
      </w:pPr>
      <w:r/>
    </w:p>
    <w:p>
      <w:pPr>
        <w:spacing w:after="200"/>
        <w:ind w:left="1200" w:right="1200"/>
      </w:pPr>
      <w:r>
        <w:rPr>
          <w:rFonts w:ascii="Calibri" w:hAnsi="Calibri" w:eastAsia="Microsoft YaHei"/>
          <w:b/>
          <w:color w:val="2F3A2E"/>
          <w:spacing w:val="40"/>
          <w:sz w:val="72"/>
        </w:rPr>
        <w:t>如是我闻</w:t>
      </w:r>
    </w:p>
    <w:p>
      <w:pPr>
        <w:spacing w:after="3000"/>
        <w:ind w:left="1200" w:right="1200"/>
      </w:pPr>
      <w:r>
        <w:rPr>
          <w:rFonts w:ascii="Calibri" w:hAnsi="Calibri" w:eastAsia="Microsoft YaHei"/>
          <w:color w:val="556B55"/>
          <w:spacing w:val="20"/>
          <w:sz w:val="28"/>
        </w:rPr>
        <w:t>语音转写 · 智能校对 · 文档生成</w:t>
      </w:r>
    </w:p>
    <w:p>
      <w:pPr>
        <w:ind w:left="1200"/>
      </w:pPr>
      <w:r>
        <w:rPr>
          <w:rFonts w:ascii="Calibri" w:hAnsi="Calibri" w:eastAsia="Microsoft YaHei"/>
          <w:color w:val="8A9A8A"/>
          <w:sz w:val="20"/>
        </w:rPr>
        <w:t>技术方案规划书 | 2025年5月</w:t>
      </w:r>
    </w:p>
    <w:p>
      <w:pPr>
        <w:sectPr>
          <w:headerReference w:type="default" r:id="rId1"/>
          <w:footerReference w:type="default" r:id="rId2"/>
          <w:type w:val="nextPage"/>
          <w:pgSz w:w="11906" w:h="16838"/>
          <w:pgMar w:top="0" w:right="0" w:bottom="0" w:left="0" w:header="0" w:footer="0"/>
          <w:titlePg/>
        </w:sectPr>
      </w:pPr>
    </w:p>
    <w:p>
      <w:pPr>
        <w:pStyle w:val="Heading1"/>
      </w:pPr>
      <w:r>
        <w:t>目录</w:t>
      </w:r>
      <w:bookmarkStart w:name="_Toc000" w:id="1"/>
      <w:bookmarkEnd w:id="1"/>
    </w:p>
    <w:p>
      <w:pPr>
        <w:spacing w:after="300"/>
      </w:pPr>
      <w:r>
        <w:rPr>
          <w:rFonts w:ascii="Calibri" w:hAnsi="Calibri" w:eastAsia="Microsoft YaHei"/>
          <w:color w:val="8A9A8A"/>
          <w:sz w:val="18"/>
        </w:rPr>
        <w:t>右键目录，选择"更新域"刷新页码</w:t>
      </w:r>
    </w:p>
    <w:p>
      <w:r>
        <w:fldChar w:fldCharType="begin"/>
      </w:r>
      <w:r>
        <w:instrText xml:space="preserve"> TOC \o "1-3" \h \z \u </w:instrText>
      </w:r>
      <w:r>
        <w:fldChar w:fldCharType="separate"/>
      </w:r>
    </w:p>
    <w:p>
      <w:pPr>
        <w:pStyle w:val="TOC1"/>
      </w:pPr>
      <w:r>
        <w:t>一、项目概述与需求分析</w:t>
      </w:r>
      <w:r>
        <w:tab/>
      </w:r>
      <w:r>
        <w:t>3</w:t>
      </w:r>
    </w:p>
    <w:p>
      <w:pPr>
        <w:pStyle w:val="TOC2"/>
      </w:pPr>
      <w:r>
        <w:t>1.1 项目背景</w:t>
      </w:r>
      <w:r>
        <w:tab/>
      </w:r>
      <w:r>
        <w:t>3</w:t>
      </w:r>
    </w:p>
    <w:p>
      <w:pPr>
        <w:pStyle w:val="TOC2"/>
      </w:pPr>
      <w:r>
        <w:t>1.2 核心需求</w:t>
      </w:r>
      <w:r>
        <w:tab/>
      </w:r>
      <w:r>
        <w:t>3</w:t>
      </w:r>
    </w:p>
    <w:p>
      <w:pPr>
        <w:pStyle w:val="TOC1"/>
      </w:pPr>
      <w:r>
        <w:t>二、现有产品调研分析</w:t>
      </w:r>
      <w:r>
        <w:tab/>
      </w:r>
      <w:r>
        <w:t>5</w:t>
      </w:r>
    </w:p>
    <w:p>
      <w:pPr>
        <w:pStyle w:val="TOC2"/>
      </w:pPr>
      <w:r>
        <w:t>2.1 云端产品对比</w:t>
      </w:r>
      <w:r>
        <w:tab/>
      </w:r>
      <w:r>
        <w:t>5</w:t>
      </w:r>
    </w:p>
    <w:p>
      <w:pPr>
        <w:pStyle w:val="TOC2"/>
      </w:pPr>
      <w:r>
        <w:t>2.2 开源方案对比</w:t>
      </w:r>
      <w:r>
        <w:tab/>
      </w:r>
      <w:r>
        <w:t>6</w:t>
      </w:r>
    </w:p>
    <w:p>
      <w:pPr>
        <w:pStyle w:val="TOC1"/>
      </w:pPr>
      <w:r>
        <w:t>三、技术架构方案</w:t>
      </w:r>
      <w:r>
        <w:tab/>
      </w:r>
      <w:r>
        <w:t>8</w:t>
      </w:r>
    </w:p>
    <w:p>
      <w:pPr>
        <w:pStyle w:val="TOC2"/>
      </w:pPr>
      <w:r>
        <w:t>3.1 整体架构设计</w:t>
      </w:r>
      <w:r>
        <w:tab/>
      </w:r>
      <w:r>
        <w:t>8</w:t>
      </w:r>
    </w:p>
    <w:p>
      <w:pPr>
        <w:pStyle w:val="TOC2"/>
      </w:pPr>
      <w:r>
        <w:t>3.2 技术选型建议</w:t>
      </w:r>
      <w:r>
        <w:tab/>
      </w:r>
      <w:r>
        <w:t>9</w:t>
      </w:r>
    </w:p>
    <w:p>
      <w:pPr>
        <w:pStyle w:val="TOC1"/>
      </w:pPr>
      <w:r>
        <w:t>四、实时语音转写技术方案</w:t>
      </w:r>
      <w:r>
        <w:tab/>
      </w:r>
      <w:r>
        <w:t>11</w:t>
      </w:r>
    </w:p>
    <w:p>
      <w:pPr>
        <w:pStyle w:val="TOC2"/>
      </w:pPr>
      <w:r>
        <w:t>4.1 流式ASR技术选型</w:t>
      </w:r>
      <w:r>
        <w:tab/>
      </w:r>
      <w:r>
        <w:t>11</w:t>
      </w:r>
    </w:p>
    <w:p>
      <w:pPr>
        <w:pStyle w:val="TOC2"/>
      </w:pPr>
      <w:r>
        <w:t>4.2 延迟优化策略</w:t>
      </w:r>
      <w:r>
        <w:tab/>
      </w:r>
      <w:r>
        <w:t>12</w:t>
      </w:r>
    </w:p>
    <w:p>
      <w:pPr>
        <w:pStyle w:val="TOC2"/>
      </w:pPr>
      <w:r>
        <w:t>4.3 实时+离线混合架构</w:t>
      </w:r>
      <w:r>
        <w:tab/>
      </w:r>
      <w:r>
        <w:t>13</w:t>
      </w:r>
    </w:p>
    <w:p>
      <w:pPr>
        <w:pStyle w:val="TOC1"/>
      </w:pPr>
      <w:r>
        <w:t>五、核心功能模块设计</w:t>
      </w:r>
      <w:r>
        <w:tab/>
      </w:r>
      <w:r>
        <w:t>15</w:t>
      </w:r>
    </w:p>
    <w:p>
      <w:pPr>
        <w:pStyle w:val="TOC1"/>
      </w:pPr>
      <w:r>
        <w:t>六、禅修领域适配方案</w:t>
      </w:r>
      <w:r>
        <w:tab/>
      </w:r>
      <w:r>
        <w:t>17</w:t>
      </w:r>
    </w:p>
    <w:p>
      <w:pPr>
        <w:pStyle w:val="TOC1"/>
      </w:pPr>
      <w:r>
        <w:t>七、反馈学习与持续优化机制</w:t>
      </w:r>
      <w:r>
        <w:tab/>
      </w:r>
      <w:r>
        <w:t>19</w:t>
      </w:r>
    </w:p>
    <w:p>
      <w:pPr>
        <w:pStyle w:val="TOC1"/>
      </w:pPr>
      <w:r>
        <w:t>八、人机协作确认与大模型后处理校正</w:t>
      </w:r>
      <w:r>
        <w:tab/>
      </w:r>
      <w:r>
        <w:t>21</w:t>
      </w:r>
    </w:p>
    <w:p>
      <w:pPr>
        <w:pStyle w:val="TOC2"/>
      </w:pPr>
      <w:r>
        <w:t>8.1 低置信度检测与标注机制</w:t>
      </w:r>
      <w:r>
        <w:tab/>
      </w:r>
      <w:r>
        <w:t>21</w:t>
      </w:r>
    </w:p>
    <w:p>
      <w:pPr>
        <w:pStyle w:val="TOC2"/>
      </w:pPr>
      <w:r>
        <w:t>8.2 人机协作确认流程</w:t>
      </w:r>
      <w:r>
        <w:tab/>
      </w:r>
      <w:r>
        <w:t>22</w:t>
      </w:r>
    </w:p>
    <w:p>
      <w:pPr>
        <w:pStyle w:val="TOC2"/>
      </w:pPr>
      <w:r>
        <w:t>8.3 大模型后处理校正模块</w:t>
      </w:r>
      <w:r>
        <w:tab/>
      </w:r>
      <w:r>
        <w:t>23</w:t>
      </w:r>
    </w:p>
    <w:p>
      <w:pPr>
        <w:pStyle w:val="TOC1"/>
      </w:pPr>
      <w:r>
        <w:rPr>
          <w:rFonts w:eastAsia="Microsoft YaHei"/>
          <w:b/>
          <w:color w:val="2F3A2E"/>
          <w:sz w:val="22"/>
        </w:rPr>
        <w:t xml:space="preserve">十、定制化Word文档输出	29</w:t>
      </w:r>
    </w:p>
    <w:p>
      <w:pPr>
        <w:pStyle w:val="TOC2"/>
      </w:pPr>
      <w:r>
        <w:rPr>
          <w:rFonts w:eastAsia="Microsoft YaHei"/>
          <w:color w:val="556B55"/>
          <w:sz w:val="21"/>
        </w:rPr>
        <w:t xml:space="preserve">10.1 双模式排版方案	29</w:t>
      </w:r>
    </w:p>
    <w:p>
      <w:pPr>
        <w:pStyle w:val="TOC2"/>
      </w:pPr>
      <w:r>
        <w:rPr>
          <w:rFonts w:eastAsia="Microsoft YaHei"/>
          <w:color w:val="556B55"/>
          <w:sz w:val="21"/>
        </w:rPr>
        <w:t xml:space="preserve">10.2 基于python-docx-template的模板引擎	29</w:t>
      </w:r>
    </w:p>
    <w:p>
      <w:pPr>
        <w:pStyle w:val="TOC2"/>
      </w:pPr>
      <w:r>
        <w:rPr>
          <w:rFonts w:eastAsia="Microsoft YaHei"/>
          <w:color w:val="556B55"/>
          <w:sz w:val="21"/>
        </w:rPr>
        <w:t xml:space="preserve">10.3 转写后智能排版处理	29</w:t>
      </w:r>
    </w:p>
    <w:p>
      <w:pPr>
        <w:pStyle w:val="TOC2"/>
      </w:pPr>
      <w:r>
        <w:rPr>
          <w:rFonts w:eastAsia="Microsoft YaHei"/>
          <w:color w:val="556B55"/>
          <w:sz w:val="21"/>
        </w:rPr>
        <w:t xml:space="preserve">10.4 模板库与团队共享	29</w:t>
      </w:r>
    </w:p>
    <w:p>
      <w:pPr>
        <w:pStyle w:val="TOC1"/>
      </w:pPr>
      <w:r>
        <w:rPr>
          <w:rFonts w:eastAsia="Microsoft YaHei"/>
          <w:b/>
          <w:color w:val="2F3A2E"/>
          <w:sz w:val="22"/>
        </w:rPr>
        <w:t xml:space="preserve">九、历史音频-文本对的模型训练	27</w:t>
      </w:r>
    </w:p>
    <w:p>
      <w:pPr>
        <w:pStyle w:val="TOC2"/>
      </w:pPr>
      <w:r>
        <w:rPr>
          <w:rFonts w:eastAsia="Microsoft YaHei"/>
          <w:color w:val="556B55"/>
          <w:sz w:val="21"/>
        </w:rPr>
        <w:t xml:space="preserve">9.1 数据准备与音频-文本对齐	27</w:t>
      </w:r>
    </w:p>
    <w:p>
      <w:pPr>
        <w:pStyle w:val="TOC2"/>
      </w:pPr>
      <w:r>
        <w:rPr>
          <w:rFonts w:eastAsia="Microsoft YaHei"/>
          <w:color w:val="556B55"/>
          <w:sz w:val="21"/>
        </w:rPr>
        <w:t xml:space="preserve">9.2 模型微调技术方案	27</w:t>
      </w:r>
    </w:p>
    <w:p>
      <w:pPr>
        <w:pStyle w:val="TOC2"/>
      </w:pPr>
      <w:r>
        <w:rPr>
          <w:rFonts w:eastAsia="Microsoft YaHei"/>
          <w:color w:val="556B55"/>
          <w:sz w:val="21"/>
        </w:rPr>
        <w:t xml:space="preserve">9.3 训练效果评估与迭代	27</w:t>
      </w:r>
    </w:p>
    <w:p>
      <w:pPr>
        <w:pStyle w:val="TOC1"/>
      </w:pPr>
      <w:r>
        <w:t>十二、实施路线图</w:t>
      </w:r>
      <w:r>
        <w:tab/>
      </w:r>
      <w:r>
        <w:t>31</w:t>
      </w:r>
    </w:p>
    <w:p>
      <w:r>
        <w:fldChar w:fldCharType="end"/>
      </w:r>
    </w:p>
    <w:p>
      <w:pPr>
        <w:sectPr>
          <w:type w:val="nextPage"/>
          <w:pgSz w:w="11906" w:h="16838"/>
          <w:pgMar w:top="1800" w:right="1440" w:bottom="1440" w:left="1440" w:header="720" w:footer="720"/>
        </w:sectPr>
      </w:pPr>
    </w:p>
    <w:p>
      <w:pPr>
        <w:pStyle w:val="Heading1"/>
      </w:pPr>
      <w:r>
        <w:t>一、项目概述与需求分析</w:t>
      </w:r>
      <w:bookmarkStart w:name="_Toc001" w:id="2"/>
      <w:bookmarkEnd w:id="2"/>
    </w:p>
    <w:p>
      <w:pPr>
        <w:pStyle w:val="Heading2"/>
      </w:pPr>
      <w:r>
        <w:t>1.1 项目背景</w:t>
      </w:r>
    </w:p>
    <w:p>
      <w:r>
        <w:t>禅修领域的课程教学中，产生大量带练音频与视频内容。这些录音涵盖引导词、开示讲解、学员问答等多种类型，是珍贵的教学资源。然而，由于录音设备、场地环境、发言者口音等因素差异，音频质量参差不齐，传统人工转录效率低下且成本高昂。</w:t>
      </w:r>
    </w:p>
    <w:p>
      <w:r>
        <w:t>目前已有大量已完成转录的文稿积累，这些语料是优化语音识别模型的宝贵财富。通过构建一个可接受用户反馈、持续自我优化的本地转写工具，可以将这些历史数据转化为模型能力，实现越用越精准的良性循环。</w:t>
      </w:r>
    </w:p>
    <w:p>
      <w:pPr>
        <w:pStyle w:val="Heading2"/>
      </w:pPr>
      <w:r>
        <w:t>1.2 核心需求</w:t>
      </w:r>
    </w:p>
    <w:p>
      <w:pPr>
        <w:numPr>
          <w:ilvl w:val="0"/>
          <w:numId w:val="1"/>
        </w:numPr>
        <w:spacing w:line="360" w:lineRule="auto"/>
        <w:ind w:firstLine="420"/>
      </w:pPr>
      <w:r/>
      <w:r>
        <w:rPr>
          <w:rFonts w:eastAsia="Microsoft YaHei"/>
          <w:rFonts w:ascii="Calibri" w:hAnsi="Calibri"/>
          <w:color w:val="2F3A2E"/>
          <w:sz w:val="21"/>
        </w:rPr>
        <w:t>云端优先、本地兜底——在线时调用云端高精度转写服务（统一模型、持续优化），离线时自动切换至本地轻量模型（保障基本可用性），模型和模式库支持双向同步</w:t>
      </w:r>
    </w:p>
    <w:p>
      <w:pPr>
        <w:numPr>
          <w:ilvl w:val="0"/>
          <w:numId w:val="1"/>
        </w:numPr>
        <w:ind w:firstLine="0"/>
      </w:pPr>
      <w:r>
        <w:t>垂直领域适配：针对禅修领域的专业术语（如四念处、安那般那、奢摩他等）进行优化识别</w:t>
      </w:r>
    </w:p>
    <w:p>
      <w:pPr>
        <w:numPr>
          <w:ilvl w:val="0"/>
          <w:numId w:val="1"/>
        </w:numPr>
        <w:ind w:firstLine="0"/>
      </w:pPr>
      <w:r>
        <w:t>音频质量鲁棒性：对低质量录音、背景噪音、远距离收音等场景保持较高识别率</w:t>
      </w:r>
    </w:p>
    <w:p>
      <w:pPr>
        <w:numPr>
          <w:ilvl w:val="0"/>
          <w:numId w:val="1"/>
        </w:numPr>
        <w:ind w:firstLine="0"/>
      </w:pPr>
      <w:r>
        <w:t>持续学习进化：通过用户纠错反馈，不断优化模型对领域术语和特定发音的识别能力</w:t>
      </w:r>
    </w:p>
    <w:p>
      <w:pPr>
        <w:numPr>
          <w:ilvl w:val="0"/>
          <w:numId w:val="1"/>
        </w:numPr>
        <w:spacing w:line="360" w:lineRule="auto"/>
        <w:ind w:firstLine="420"/>
      </w:pPr>
      <w:r/>
      <w:r>
        <w:rPr>
          <w:rFonts w:eastAsia="Microsoft YaHei"/>
          <w:rFonts w:ascii="Calibri" w:hAnsi="Calibri"/>
          <w:color w:val="2F3A2E"/>
          <w:sz w:val="21"/>
        </w:rPr>
        <w:t>集中式GPU服务——由机构统一部署GPU服务器提供转写服务，用户通过客户端提交任务，无需每人配备高性能设备，支持大批量历史音频文件的自动化转录与导出</w:t>
      </w:r>
    </w:p>
    <w:p>
      <w:pPr>
        <w:numPr>
          <w:ilvl w:val="0"/>
          <w:numId w:val="1"/>
        </w:numPr>
        <w:ind w:firstLine="0"/>
      </w:pPr>
      <w:r>
        <w:t>易用性：为非技术背景的助教和义工提供简洁直观的操作界面</w:t>
      </w:r>
    </w:p>
    <w:p>
      <w:pPr>
        <w:pStyle w:val="Heading1"/>
      </w:pPr>
      <w:r>
        <w:t>二、现有产品调研分析</w:t>
      </w:r>
      <w:bookmarkStart w:name="_Toc002" w:id="3"/>
      <w:bookmarkEnd w:id="3"/>
    </w:p>
    <w:p>
      <w:pPr>
        <w:pStyle w:val="Heading2"/>
      </w:pPr>
      <w:r>
        <w:t>2.1 云端产品对比</w:t>
      </w:r>
    </w:p>
    <w:p>
      <w:r>
        <w:t>目前市场上主流的语音转写产品以云端服务为主，以下为针对禅修场景适用性的对比分析：</w:t>
      </w:r>
    </w:p>
    <w:tbl>
      <w:tblPr>
        <w:tblW w:w="5000" w:type="pct"/>
        <w:tblBorders>
          <w:top w:val="single" w:color="4A6741" w:sz="12"/>
          <w:left w:val="nil"/>
          <w:bottom w:val="single" w:color="4A6741" w:sz="12"/>
          <w:right w:val="nil"/>
          <w:insideH w:val="single" w:color="D5DDD5" w:sz="4"/>
        </w:tblBorders>
      </w:tblPr>
      <w:tblGrid>
        <w:gridCol w:w="1600"/>
        <w:gridCol w:w="1400"/>
        <w:gridCol w:w="1400"/>
        <w:gridCol w:w="1400"/>
        <w:gridCol w:w="1400"/>
      </w:tblGrid>
      <w:tr>
        <w:trPr>
          <w:tblHeader/>
        </w:trPr>
        <w:tc>
          <w:tcPr>
            <w:tcW w:w="1600" w:type="dxa"/>
            <w:shd w:val="clear" w:fill="EDF1ED"/>
          </w:tcPr>
          <w:p>
            <w:pPr>
              <w:spacing w:before="40" w:after="40"/>
              <w:ind w:firstLine="0"/>
              <w:jc w:val="center"/>
            </w:pPr>
            <w:r>
              <w:rPr>
                <w:rFonts w:ascii="Calibri" w:hAnsi="Calibri" w:eastAsia="Microsoft YaHei"/>
                <w:b/>
                <w:color w:val="2F3A2E"/>
                <w:sz w:val="20"/>
              </w:rPr>
              <w:t>产品</w:t>
            </w:r>
          </w:p>
        </w:tc>
        <w:tc>
          <w:tcPr>
            <w:tcW w:w="1400" w:type="dxa"/>
            <w:shd w:val="clear" w:fill="EDF1ED"/>
          </w:tcPr>
          <w:p>
            <w:pPr>
              <w:spacing w:before="40" w:after="40"/>
              <w:ind w:firstLine="0"/>
              <w:jc w:val="center"/>
            </w:pPr>
            <w:r>
              <w:rPr>
                <w:rFonts w:ascii="Calibri" w:hAnsi="Calibri" w:eastAsia="Microsoft YaHei"/>
                <w:b/>
                <w:color w:val="2F3A2E"/>
                <w:sz w:val="20"/>
              </w:rPr>
              <w:t>准确率</w:t>
            </w:r>
          </w:p>
        </w:tc>
        <w:tc>
          <w:tcPr>
            <w:tcW w:w="1400" w:type="dxa"/>
            <w:shd w:val="clear" w:fill="EDF1ED"/>
          </w:tcPr>
          <w:p>
            <w:pPr>
              <w:spacing w:before="40" w:after="40"/>
              <w:ind w:firstLine="0"/>
              <w:jc w:val="center"/>
            </w:pPr>
            <w:r>
              <w:rPr>
                <w:rFonts w:ascii="Calibri" w:hAnsi="Calibri" w:eastAsia="Microsoft YaHei"/>
                <w:b/>
                <w:color w:val="2F3A2E"/>
                <w:sz w:val="20"/>
              </w:rPr>
              <w:t>隐私性</w:t>
            </w:r>
          </w:p>
        </w:tc>
        <w:tc>
          <w:tcPr>
            <w:tcW w:w="1400" w:type="dxa"/>
            <w:shd w:val="clear" w:fill="EDF1ED"/>
          </w:tcPr>
          <w:p>
            <w:pPr>
              <w:spacing w:before="40" w:after="40"/>
              <w:ind w:firstLine="0"/>
              <w:jc w:val="center"/>
            </w:pPr>
            <w:r>
              <w:rPr>
                <w:rFonts w:ascii="Calibri" w:hAnsi="Calibri" w:eastAsia="Microsoft YaHei"/>
                <w:b/>
                <w:color w:val="2F3A2E"/>
                <w:sz w:val="20"/>
              </w:rPr>
              <w:t>术语定制</w:t>
            </w:r>
          </w:p>
        </w:tc>
        <w:tc>
          <w:tcPr>
            <w:tcW w:w="1400" w:type="dxa"/>
            <w:shd w:val="clear" w:fill="EDF1ED"/>
          </w:tcPr>
          <w:p>
            <w:pPr>
              <w:spacing w:before="40" w:after="40"/>
              <w:ind w:firstLine="0"/>
              <w:jc w:val="center"/>
            </w:pPr>
            <w:r>
              <w:rPr>
                <w:rFonts w:ascii="Calibri" w:hAnsi="Calibri" w:eastAsia="Microsoft YaHei"/>
                <w:b/>
                <w:color w:val="2F3A2E"/>
                <w:sz w:val="20"/>
              </w:rPr>
              <w:t>成本</w:t>
            </w:r>
          </w:p>
        </w:tc>
      </w:tr>
      <w:tr>
        <w:tc>
          <w:tcPr>
            <w:tcW w:w="1600" w:type="dxa"/>
          </w:tcPr>
          <w:p>
            <w:pPr>
              <w:spacing w:before="40" w:after="40"/>
              <w:ind w:firstLine="0"/>
              <w:jc w:val="center"/>
            </w:pPr>
            <w:r>
              <w:rPr>
                <w:rFonts w:ascii="Calibri" w:hAnsi="Calibri" w:eastAsia="Microsoft YaHei"/>
                <w:color w:val="556B55"/>
                <w:sz w:val="20"/>
              </w:rPr>
              <w:t>飞书妙记</w:t>
            </w:r>
          </w:p>
        </w:tc>
        <w:tc>
          <w:tcPr>
            <w:tcW w:w="1400" w:type="dxa"/>
          </w:tcPr>
          <w:p>
            <w:pPr>
              <w:spacing w:before="40" w:after="40"/>
              <w:ind w:firstLine="0"/>
              <w:jc w:val="center"/>
            </w:pPr>
            <w:r>
              <w:rPr>
                <w:rFonts w:ascii="Calibri" w:hAnsi="Calibri" w:eastAsia="Microsoft YaHei"/>
                <w:color w:val="556B55"/>
                <w:sz w:val="20"/>
              </w:rPr>
              <w:t>高</w:t>
            </w:r>
          </w:p>
        </w:tc>
        <w:tc>
          <w:tcPr>
            <w:tcW w:w="1400" w:type="dxa"/>
          </w:tcPr>
          <w:p>
            <w:pPr>
              <w:spacing w:before="40" w:after="40"/>
              <w:ind w:firstLine="0"/>
              <w:jc w:val="center"/>
            </w:pPr>
            <w:r>
              <w:rPr>
                <w:rFonts w:ascii="Calibri" w:hAnsi="Calibri" w:eastAsia="Microsoft YaHei"/>
                <w:color w:val="556B55"/>
                <w:sz w:val="20"/>
              </w:rPr>
              <w:t>低（云端）</w:t>
            </w:r>
          </w:p>
        </w:tc>
        <w:tc>
          <w:tcPr>
            <w:tcW w:w="1400" w:type="dxa"/>
          </w:tcPr>
          <w:p>
            <w:pPr>
              <w:spacing w:before="40" w:after="40"/>
              <w:ind w:firstLine="0"/>
              <w:jc w:val="center"/>
            </w:pPr>
            <w:r>
              <w:rPr>
                <w:rFonts w:ascii="Calibri" w:hAnsi="Calibri" w:eastAsia="Microsoft YaHei"/>
                <w:color w:val="556B55"/>
                <w:sz w:val="20"/>
              </w:rPr>
              <w:t>不支持</w:t>
            </w:r>
          </w:p>
        </w:tc>
        <w:tc>
          <w:tcPr>
            <w:tcW w:w="1400" w:type="dxa"/>
          </w:tcPr>
          <w:p>
            <w:pPr>
              <w:spacing w:before="40" w:after="40"/>
              <w:ind w:firstLine="0"/>
              <w:jc w:val="center"/>
            </w:pPr>
            <w:r>
              <w:rPr>
                <w:rFonts w:ascii="Calibri" w:hAnsi="Calibri" w:eastAsia="Microsoft YaHei"/>
                <w:color w:val="556B55"/>
                <w:sz w:val="20"/>
              </w:rPr>
              <w:t>免费</w:t>
            </w:r>
          </w:p>
        </w:tc>
      </w:tr>
      <w:tr>
        <w:tc>
          <w:tcPr>
            <w:tcW w:w="1600" w:type="dxa"/>
          </w:tcPr>
          <w:p>
            <w:pPr>
              <w:spacing w:before="40" w:after="40"/>
              <w:ind w:firstLine="0"/>
              <w:jc w:val="center"/>
            </w:pPr>
            <w:r>
              <w:rPr>
                <w:rFonts w:ascii="Calibri" w:hAnsi="Calibri" w:eastAsia="Microsoft YaHei"/>
                <w:color w:val="556B55"/>
                <w:sz w:val="20"/>
              </w:rPr>
              <w:t>通义听悟</w:t>
            </w:r>
          </w:p>
        </w:tc>
        <w:tc>
          <w:tcPr>
            <w:tcW w:w="1400" w:type="dxa"/>
          </w:tcPr>
          <w:p>
            <w:pPr>
              <w:spacing w:before="40" w:after="40"/>
              <w:ind w:firstLine="0"/>
              <w:jc w:val="center"/>
            </w:pPr>
            <w:r>
              <w:rPr>
                <w:rFonts w:ascii="Calibri" w:hAnsi="Calibri" w:eastAsia="Microsoft YaHei"/>
                <w:color w:val="556B55"/>
                <w:sz w:val="20"/>
              </w:rPr>
              <w:t>高</w:t>
            </w:r>
          </w:p>
        </w:tc>
        <w:tc>
          <w:tcPr>
            <w:tcW w:w="1400" w:type="dxa"/>
          </w:tcPr>
          <w:p>
            <w:pPr>
              <w:spacing w:before="40" w:after="40"/>
              <w:ind w:firstLine="0"/>
              <w:jc w:val="center"/>
            </w:pPr>
            <w:r>
              <w:rPr>
                <w:rFonts w:ascii="Calibri" w:hAnsi="Calibri" w:eastAsia="Microsoft YaHei"/>
                <w:color w:val="556B55"/>
                <w:sz w:val="20"/>
              </w:rPr>
              <w:t>低（云端）</w:t>
            </w:r>
          </w:p>
        </w:tc>
        <w:tc>
          <w:tcPr>
            <w:tcW w:w="1400" w:type="dxa"/>
          </w:tcPr>
          <w:p>
            <w:pPr>
              <w:spacing w:before="40" w:after="40"/>
              <w:ind w:firstLine="0"/>
              <w:jc w:val="center"/>
            </w:pPr>
            <w:r>
              <w:rPr>
                <w:rFonts w:ascii="Calibri" w:hAnsi="Calibri" w:eastAsia="Microsoft YaHei"/>
                <w:color w:val="556B55"/>
                <w:sz w:val="20"/>
              </w:rPr>
              <w:t>支持热词</w:t>
            </w:r>
          </w:p>
        </w:tc>
        <w:tc>
          <w:tcPr>
            <w:tcW w:w="1400" w:type="dxa"/>
          </w:tcPr>
          <w:p>
            <w:pPr>
              <w:spacing w:before="40" w:after="40"/>
              <w:ind w:firstLine="0"/>
              <w:jc w:val="center"/>
            </w:pPr>
            <w:r>
              <w:rPr>
                <w:rFonts w:ascii="Calibri" w:hAnsi="Calibri" w:eastAsia="Microsoft YaHei"/>
                <w:color w:val="556B55"/>
                <w:sz w:val="20"/>
              </w:rPr>
              <w:t>免费额度</w:t>
            </w:r>
          </w:p>
        </w:tc>
      </w:tr>
      <w:tr>
        <w:tc>
          <w:tcPr>
            <w:tcW w:w="1600" w:type="dxa"/>
          </w:tcPr>
          <w:p>
            <w:pPr>
              <w:spacing w:before="40" w:after="40"/>
              <w:ind w:firstLine="0"/>
              <w:jc w:val="center"/>
            </w:pPr>
            <w:r>
              <w:rPr>
                <w:rFonts w:ascii="Calibri" w:hAnsi="Calibri" w:eastAsia="Microsoft YaHei"/>
                <w:color w:val="556B55"/>
                <w:sz w:val="20"/>
              </w:rPr>
              <w:t>讯飞听见</w:t>
            </w:r>
          </w:p>
        </w:tc>
        <w:tc>
          <w:tcPr>
            <w:tcW w:w="1400" w:type="dxa"/>
          </w:tcPr>
          <w:p>
            <w:pPr>
              <w:spacing w:before="40" w:after="40"/>
              <w:ind w:firstLine="0"/>
              <w:jc w:val="center"/>
            </w:pPr>
            <w:r>
              <w:rPr>
                <w:rFonts w:ascii="Calibri" w:hAnsi="Calibri" w:eastAsia="Microsoft YaHei"/>
                <w:color w:val="556B55"/>
                <w:sz w:val="20"/>
              </w:rPr>
              <w:t>很高</w:t>
            </w:r>
          </w:p>
        </w:tc>
        <w:tc>
          <w:tcPr>
            <w:tcW w:w="1400" w:type="dxa"/>
          </w:tcPr>
          <w:p>
            <w:pPr>
              <w:spacing w:before="40" w:after="40"/>
              <w:ind w:firstLine="0"/>
              <w:jc w:val="center"/>
            </w:pPr>
            <w:r>
              <w:rPr>
                <w:rFonts w:ascii="Calibri" w:hAnsi="Calibri" w:eastAsia="Microsoft YaHei"/>
                <w:color w:val="556B55"/>
                <w:sz w:val="20"/>
              </w:rPr>
              <w:t>低（云端）</w:t>
            </w:r>
          </w:p>
        </w:tc>
        <w:tc>
          <w:tcPr>
            <w:tcW w:w="1400" w:type="dxa"/>
          </w:tcPr>
          <w:p>
            <w:pPr>
              <w:spacing w:before="40" w:after="40"/>
              <w:ind w:firstLine="0"/>
              <w:jc w:val="center"/>
            </w:pPr>
            <w:r>
              <w:rPr>
                <w:rFonts w:ascii="Calibri" w:hAnsi="Calibri" w:eastAsia="Microsoft YaHei"/>
                <w:color w:val="556B55"/>
                <w:sz w:val="20"/>
              </w:rPr>
              <w:t>支持定制</w:t>
            </w:r>
          </w:p>
        </w:tc>
        <w:tc>
          <w:tcPr>
            <w:tcW w:w="1400" w:type="dxa"/>
          </w:tcPr>
          <w:p>
            <w:pPr>
              <w:spacing w:before="40" w:after="40"/>
              <w:ind w:firstLine="0"/>
              <w:jc w:val="center"/>
            </w:pPr>
            <w:r>
              <w:rPr>
                <w:rFonts w:ascii="Calibri" w:hAnsi="Calibri" w:eastAsia="Microsoft YaHei"/>
                <w:color w:val="556B55"/>
                <w:sz w:val="20"/>
              </w:rPr>
              <w:t>付费</w:t>
            </w:r>
          </w:p>
        </w:tc>
      </w:tr>
      <w:tr>
        <w:tc>
          <w:tcPr>
            <w:tcW w:w="1600" w:type="dxa"/>
          </w:tcPr>
          <w:p>
            <w:pPr>
              <w:spacing w:before="40" w:after="40"/>
              <w:ind w:firstLine="0"/>
              <w:jc w:val="center"/>
            </w:pPr>
            <w:r>
              <w:rPr>
                <w:rFonts w:ascii="Calibri" w:hAnsi="Calibri" w:eastAsia="Microsoft YaHei"/>
                <w:color w:val="556B55"/>
                <w:sz w:val="20"/>
              </w:rPr>
              <w:t>Whisper本地</w:t>
            </w:r>
          </w:p>
        </w:tc>
        <w:tc>
          <w:tcPr>
            <w:tcW w:w="1400" w:type="dxa"/>
          </w:tcPr>
          <w:p>
            <w:pPr>
              <w:spacing w:before="40" w:after="40"/>
              <w:ind w:firstLine="0"/>
              <w:jc w:val="center"/>
            </w:pPr>
            <w:r>
              <w:rPr>
                <w:rFonts w:ascii="Calibri" w:hAnsi="Calibri" w:eastAsia="Microsoft YaHei"/>
                <w:color w:val="556B55"/>
                <w:sz w:val="20"/>
              </w:rPr>
              <w:t>中高</w:t>
            </w:r>
          </w:p>
        </w:tc>
        <w:tc>
          <w:tcPr>
            <w:tcW w:w="1400" w:type="dxa"/>
          </w:tcPr>
          <w:p>
            <w:pPr>
              <w:spacing w:before="40" w:after="40"/>
              <w:ind w:firstLine="0"/>
              <w:jc w:val="center"/>
            </w:pPr>
            <w:r>
              <w:rPr>
                <w:rFonts w:ascii="Calibri" w:hAnsi="Calibri" w:eastAsia="Microsoft YaHei"/>
                <w:color w:val="556B55"/>
                <w:sz w:val="20"/>
              </w:rPr>
              <w:t>高（本地）</w:t>
            </w:r>
          </w:p>
        </w:tc>
        <w:tc>
          <w:tcPr>
            <w:tcW w:w="1400" w:type="dxa"/>
          </w:tcPr>
          <w:p>
            <w:pPr>
              <w:spacing w:before="40" w:after="40"/>
              <w:ind w:firstLine="0"/>
              <w:jc w:val="center"/>
            </w:pPr>
            <w:r>
              <w:rPr>
                <w:rFonts w:ascii="Calibri" w:hAnsi="Calibri" w:eastAsia="Microsoft YaHei"/>
                <w:color w:val="556B55"/>
                <w:sz w:val="20"/>
              </w:rPr>
              <w:t>需微调</w:t>
            </w:r>
          </w:p>
        </w:tc>
        <w:tc>
          <w:tcPr>
            <w:tcW w:w="1400" w:type="dxa"/>
          </w:tcPr>
          <w:p>
            <w:pPr>
              <w:spacing w:before="40" w:after="40"/>
              <w:ind w:firstLine="0"/>
              <w:jc w:val="center"/>
            </w:pPr>
            <w:r>
              <w:rPr>
                <w:rFonts w:ascii="Calibri" w:hAnsi="Calibri" w:eastAsia="Microsoft YaHei"/>
                <w:color w:val="556B55"/>
                <w:sz w:val="20"/>
              </w:rPr>
              <w:t>硬件成本</w:t>
            </w:r>
          </w:p>
        </w:tc>
      </w:tr>
      <w:tr>
        <w:tc>
          <w:tcPr>
            <w:tcW w:w="1600" w:type="dxa"/>
          </w:tcPr>
          <w:p>
            <w:pPr>
              <w:spacing w:before="40" w:after="40"/>
              <w:ind w:firstLine="0"/>
              <w:jc w:val="center"/>
            </w:pPr>
            <w:r>
              <w:rPr>
                <w:rFonts w:ascii="Calibri" w:hAnsi="Calibri" w:eastAsia="Microsoft YaHei"/>
                <w:color w:val="556B55"/>
                <w:sz w:val="20"/>
              </w:rPr>
              <w:t>FunASR本地</w:t>
            </w:r>
          </w:p>
        </w:tc>
        <w:tc>
          <w:tcPr>
            <w:tcW w:w="1400" w:type="dxa"/>
          </w:tcPr>
          <w:p>
            <w:pPr>
              <w:spacing w:before="40" w:after="40"/>
              <w:ind w:firstLine="0"/>
              <w:jc w:val="center"/>
            </w:pPr>
            <w:r>
              <w:rPr>
                <w:rFonts w:ascii="Calibri" w:hAnsi="Calibri" w:eastAsia="Microsoft YaHei"/>
                <w:color w:val="556B55"/>
                <w:sz w:val="20"/>
              </w:rPr>
              <w:t>高</w:t>
            </w:r>
          </w:p>
        </w:tc>
        <w:tc>
          <w:tcPr>
            <w:tcW w:w="1400" w:type="dxa"/>
          </w:tcPr>
          <w:p>
            <w:pPr>
              <w:spacing w:before="40" w:after="40"/>
              <w:ind w:firstLine="0"/>
              <w:jc w:val="center"/>
            </w:pPr>
            <w:r>
              <w:rPr>
                <w:rFonts w:ascii="Calibri" w:hAnsi="Calibri" w:eastAsia="Microsoft YaHei"/>
                <w:color w:val="556B55"/>
                <w:sz w:val="20"/>
              </w:rPr>
              <w:t>高（本地）</w:t>
            </w:r>
          </w:p>
        </w:tc>
        <w:tc>
          <w:tcPr>
            <w:tcW w:w="1400" w:type="dxa"/>
          </w:tcPr>
          <w:p>
            <w:pPr>
              <w:spacing w:before="40" w:after="40"/>
              <w:ind w:firstLine="0"/>
              <w:jc w:val="center"/>
            </w:pPr>
            <w:r>
              <w:rPr>
                <w:rFonts w:ascii="Calibri" w:hAnsi="Calibri" w:eastAsia="Microsoft YaHei"/>
                <w:color w:val="556B55"/>
                <w:sz w:val="20"/>
              </w:rPr>
              <w:t>支持热词</w:t>
            </w:r>
          </w:p>
        </w:tc>
        <w:tc>
          <w:tcPr>
            <w:tcW w:w="1400" w:type="dxa"/>
          </w:tcPr>
          <w:p>
            <w:pPr>
              <w:spacing w:before="40" w:after="40"/>
              <w:ind w:firstLine="0"/>
              <w:jc w:val="center"/>
            </w:pPr>
            <w:r>
              <w:rPr>
                <w:rFonts w:ascii="Calibri" w:hAnsi="Calibri" w:eastAsia="Microsoft YaHei"/>
                <w:color w:val="556B55"/>
                <w:sz w:val="20"/>
              </w:rPr>
              <w:t>硬件成本</w:t>
            </w:r>
          </w:p>
        </w:tc>
      </w:tr>
    </w:tbl>
    <w:p>
      <w:r>
        <w:t>结论：云端产品虽然在通用识别上表现优异，但存在数据隐私风险、无法定制化优化、长期成本高等问题，不完全契合禅修领域对本地化、术语精准化和持续优化的核心诉求。</w:t>
      </w:r>
    </w:p>
    <w:p>
      <w:pPr>
        <w:pStyle w:val="Heading2"/>
      </w:pPr>
      <w:r>
        <w:t>2.2 开源方案对比</w:t>
      </w:r>
    </w:p>
    <w:p>
      <w:pPr>
        <w:spacing w:line="360" w:lineRule="auto"/>
        <w:ind w:firstLine="420"/>
      </w:pPr>
      <w:r/>
      <w:r>
        <w:rPr>
          <w:rFonts w:eastAsia="Microsoft YaHei"/>
          <w:rFonts w:ascii="Calibri" w:hAnsi="Calibri"/>
          <w:color w:val="2F3A2E"/>
          <w:sz w:val="21"/>
        </w:rPr>
        <w:t>开源方案支持灵活的部署模式，可实现云端集中服务、本地离线运行或两者混合，是当前项目的技术基础。以下是主流开源语音识别框架的详细对比：</w:t>
      </w:r>
    </w:p>
    <w:tbl>
      <w:tblPr>
        <w:tblW w:w="5000" w:type="pct"/>
        <w:tblBorders>
          <w:top w:val="single" w:color="4A6741" w:sz="12"/>
          <w:left w:val="nil"/>
          <w:bottom w:val="single" w:color="4A6741" w:sz="12"/>
          <w:right w:val="nil"/>
          <w:insideH w:val="single" w:color="D5DDD5" w:sz="4"/>
        </w:tblBorders>
      </w:tblPr>
      <w:tblGrid>
        <w:gridCol w:w="1400"/>
        <w:gridCol w:w="1800"/>
        <w:gridCol w:w="1200"/>
        <w:gridCol w:w="1400"/>
        <w:gridCol w:w="1400"/>
      </w:tblGrid>
      <w:tr>
        <w:trPr>
          <w:tblHeader/>
        </w:trPr>
        <w:tc>
          <w:tcPr>
            <w:tcW w:w="1400" w:type="dxa"/>
            <w:shd w:val="clear" w:fill="EDF1ED"/>
          </w:tcPr>
          <w:p>
            <w:pPr>
              <w:spacing w:before="40" w:after="40"/>
              <w:ind w:firstLine="0"/>
              <w:jc w:val="center"/>
            </w:pPr>
            <w:r>
              <w:rPr>
                <w:rFonts w:ascii="Calibri" w:hAnsi="Calibri" w:eastAsia="Microsoft YaHei"/>
                <w:b/>
                <w:color w:val="2F3A2E"/>
                <w:sz w:val="20"/>
              </w:rPr>
              <w:t>框架</w:t>
            </w:r>
          </w:p>
        </w:tc>
        <w:tc>
          <w:tcPr>
            <w:tcW w:w="1800" w:type="dxa"/>
            <w:shd w:val="clear" w:fill="EDF1ED"/>
          </w:tcPr>
          <w:p>
            <w:pPr>
              <w:spacing w:before="40" w:after="40"/>
              <w:ind w:firstLine="0"/>
              <w:jc w:val="center"/>
            </w:pPr>
            <w:r>
              <w:rPr>
                <w:rFonts w:ascii="Calibri" w:hAnsi="Calibri" w:eastAsia="Microsoft YaHei"/>
                <w:b/>
                <w:color w:val="2F3A2E"/>
                <w:sz w:val="20"/>
              </w:rPr>
              <w:t>核心模型</w:t>
            </w:r>
          </w:p>
        </w:tc>
        <w:tc>
          <w:tcPr>
            <w:tcW w:w="1200" w:type="dxa"/>
            <w:shd w:val="clear" w:fill="EDF1ED"/>
          </w:tcPr>
          <w:p>
            <w:pPr>
              <w:spacing w:before="40" w:after="40"/>
              <w:ind w:firstLine="0"/>
              <w:jc w:val="center"/>
            </w:pPr>
            <w:r>
              <w:rPr>
                <w:rFonts w:ascii="Calibri" w:hAnsi="Calibri" w:eastAsia="Microsoft YaHei"/>
                <w:b/>
                <w:color w:val="2F3A2E"/>
                <w:sz w:val="20"/>
              </w:rPr>
              <w:t>中文精度</w:t>
            </w:r>
          </w:p>
        </w:tc>
        <w:tc>
          <w:tcPr>
            <w:tcW w:w="1400" w:type="dxa"/>
            <w:shd w:val="clear" w:fill="EDF1ED"/>
          </w:tcPr>
          <w:p>
            <w:pPr>
              <w:spacing w:before="40" w:after="40"/>
              <w:ind w:firstLine="0"/>
              <w:jc w:val="center"/>
            </w:pPr>
            <w:r>
              <w:rPr>
                <w:rFonts w:ascii="Calibri" w:hAnsi="Calibri" w:eastAsia="Microsoft YaHei"/>
                <w:b/>
                <w:color w:val="2F3A2E"/>
                <w:sz w:val="20"/>
              </w:rPr>
              <w:t>推理速度</w:t>
            </w:r>
          </w:p>
        </w:tc>
        <w:tc>
          <w:tcPr>
            <w:tcW w:w="1400" w:type="dxa"/>
            <w:shd w:val="clear" w:fill="EDF1ED"/>
          </w:tcPr>
          <w:p>
            <w:pPr>
              <w:spacing w:before="40" w:after="40"/>
              <w:ind w:firstLine="0"/>
              <w:jc w:val="center"/>
            </w:pPr>
            <w:r>
              <w:rPr>
                <w:rFonts w:ascii="Calibri" w:hAnsi="Calibri" w:eastAsia="Microsoft YaHei"/>
                <w:b/>
                <w:color w:val="2F3A2E"/>
                <w:sz w:val="20"/>
              </w:rPr>
              <w:t>微调难度</w:t>
            </w:r>
          </w:p>
        </w:tc>
      </w:tr>
      <w:tr>
        <w:tc>
          <w:tcPr>
            <w:tcW w:w="1400" w:type="dxa"/>
          </w:tcPr>
          <w:p>
            <w:pPr>
              <w:spacing w:before="40" w:after="40"/>
              <w:ind w:firstLine="0"/>
              <w:jc w:val="center"/>
            </w:pPr>
            <w:r>
              <w:rPr>
                <w:rFonts w:ascii="Calibri" w:hAnsi="Calibri" w:eastAsia="Microsoft YaHei"/>
                <w:color w:val="556B55"/>
                <w:sz w:val="20"/>
              </w:rPr>
              <w:t>Whisper</w:t>
            </w:r>
          </w:p>
        </w:tc>
        <w:tc>
          <w:tcPr>
            <w:tcW w:w="1800" w:type="dxa"/>
          </w:tcPr>
          <w:p>
            <w:pPr>
              <w:spacing w:before="40" w:after="40"/>
              <w:ind w:firstLine="0"/>
              <w:jc w:val="center"/>
            </w:pPr>
            <w:r>
              <w:rPr>
                <w:rFonts w:ascii="Calibri" w:hAnsi="Calibri" w:eastAsia="Microsoft YaHei"/>
                <w:color w:val="556B55"/>
                <w:sz w:val="20"/>
              </w:rPr>
              <w:t>Large-v3 1.5B</w:t>
            </w:r>
          </w:p>
        </w:tc>
        <w:tc>
          <w:tcPr>
            <w:tcW w:w="1200" w:type="dxa"/>
          </w:tcPr>
          <w:p>
            <w:pPr>
              <w:spacing w:before="40" w:after="40"/>
              <w:ind w:firstLine="0"/>
              <w:jc w:val="center"/>
            </w:pPr>
            <w:r>
              <w:rPr>
                <w:rFonts w:ascii="Calibri" w:hAnsi="Calibri" w:eastAsia="Microsoft YaHei"/>
                <w:color w:val="556B55"/>
                <w:sz w:val="20"/>
              </w:rPr>
              <w:t>中（需优化）</w:t>
            </w:r>
          </w:p>
        </w:tc>
        <w:tc>
          <w:tcPr>
            <w:tcW w:w="1400" w:type="dxa"/>
          </w:tcPr>
          <w:p>
            <w:pPr>
              <w:spacing w:before="40" w:after="40"/>
              <w:ind w:firstLine="0"/>
              <w:jc w:val="center"/>
            </w:pPr>
            <w:r>
              <w:rPr>
                <w:rFonts w:ascii="Calibri" w:hAnsi="Calibri" w:eastAsia="Microsoft YaHei"/>
                <w:color w:val="556B55"/>
                <w:sz w:val="20"/>
              </w:rPr>
              <w:t>慢</w:t>
            </w:r>
          </w:p>
        </w:tc>
        <w:tc>
          <w:tcPr>
            <w:tcW w:w="1400" w:type="dxa"/>
          </w:tcPr>
          <w:p>
            <w:pPr>
              <w:spacing w:before="40" w:after="40"/>
              <w:ind w:firstLine="0"/>
              <w:jc w:val="center"/>
            </w:pPr>
            <w:r>
              <w:rPr>
                <w:rFonts w:ascii="Calibri" w:hAnsi="Calibri" w:eastAsia="Microsoft YaHei"/>
                <w:color w:val="556B55"/>
                <w:sz w:val="20"/>
              </w:rPr>
              <w:t>中</w:t>
            </w:r>
          </w:p>
        </w:tc>
      </w:tr>
      <w:tr>
        <w:tc>
          <w:tcPr>
            <w:tcW w:w="1400" w:type="dxa"/>
          </w:tcPr>
          <w:p>
            <w:pPr>
              <w:spacing w:before="40" w:after="40"/>
              <w:ind w:firstLine="0"/>
              <w:jc w:val="center"/>
            </w:pPr>
            <w:r>
              <w:rPr>
                <w:rFonts w:ascii="Calibri" w:hAnsi="Calibri" w:eastAsia="Microsoft YaHei"/>
                <w:color w:val="556B55"/>
                <w:sz w:val="20"/>
              </w:rPr>
              <w:t>faster-whisper</w:t>
            </w:r>
          </w:p>
        </w:tc>
        <w:tc>
          <w:tcPr>
            <w:tcW w:w="1800" w:type="dxa"/>
          </w:tcPr>
          <w:p>
            <w:pPr>
              <w:spacing w:before="40" w:after="40"/>
              <w:ind w:firstLine="0"/>
              <w:jc w:val="center"/>
            </w:pPr>
            <w:r>
              <w:rPr>
                <w:rFonts w:ascii="Calibri" w:hAnsi="Calibri" w:eastAsia="Microsoft YaHei"/>
                <w:color w:val="556B55"/>
                <w:sz w:val="20"/>
              </w:rPr>
              <w:t>Large-v3量化版</w:t>
            </w:r>
          </w:p>
        </w:tc>
        <w:tc>
          <w:tcPr>
            <w:tcW w:w="1200" w:type="dxa"/>
          </w:tcPr>
          <w:p>
            <w:pPr>
              <w:spacing w:before="40" w:after="40"/>
              <w:ind w:firstLine="0"/>
              <w:jc w:val="center"/>
            </w:pPr>
            <w:r>
              <w:rPr>
                <w:rFonts w:ascii="Calibri" w:hAnsi="Calibri" w:eastAsia="Microsoft YaHei"/>
                <w:color w:val="556B55"/>
                <w:sz w:val="20"/>
              </w:rPr>
              <w:t>中</w:t>
            </w:r>
          </w:p>
        </w:tc>
        <w:tc>
          <w:tcPr>
            <w:tcW w:w="1400" w:type="dxa"/>
          </w:tcPr>
          <w:p>
            <w:pPr>
              <w:spacing w:before="40" w:after="40"/>
              <w:ind w:firstLine="0"/>
              <w:jc w:val="center"/>
            </w:pPr>
            <w:r>
              <w:rPr>
                <w:rFonts w:ascii="Calibri" w:hAnsi="Calibri" w:eastAsia="Microsoft YaHei"/>
                <w:color w:val="556B55"/>
                <w:sz w:val="20"/>
              </w:rPr>
              <w:t>快</w:t>
            </w:r>
          </w:p>
        </w:tc>
        <w:tc>
          <w:tcPr>
            <w:tcW w:w="1400" w:type="dxa"/>
          </w:tcPr>
          <w:p>
            <w:pPr>
              <w:spacing w:before="40" w:after="40"/>
              <w:ind w:firstLine="0"/>
              <w:jc w:val="center"/>
            </w:pPr>
            <w:r>
              <w:rPr>
                <w:rFonts w:ascii="Calibri" w:hAnsi="Calibri" w:eastAsia="Microsoft YaHei"/>
                <w:color w:val="556B55"/>
                <w:sz w:val="20"/>
              </w:rPr>
              <w:t>中</w:t>
            </w:r>
          </w:p>
        </w:tc>
      </w:tr>
      <w:tr>
        <w:tc>
          <w:tcPr>
            <w:tcW w:w="1400" w:type="dxa"/>
          </w:tcPr>
          <w:p>
            <w:pPr>
              <w:spacing w:before="40" w:after="40"/>
              <w:ind w:firstLine="0"/>
              <w:jc w:val="center"/>
            </w:pPr>
            <w:r>
              <w:rPr>
                <w:rFonts w:ascii="Calibri" w:hAnsi="Calibri" w:eastAsia="Microsoft YaHei"/>
                <w:color w:val="556B55"/>
                <w:sz w:val="20"/>
              </w:rPr>
              <w:t>FunASR</w:t>
            </w:r>
          </w:p>
        </w:tc>
        <w:tc>
          <w:tcPr>
            <w:tcW w:w="1800" w:type="dxa"/>
          </w:tcPr>
          <w:p>
            <w:pPr>
              <w:spacing w:before="40" w:after="40"/>
              <w:ind w:firstLine="0"/>
              <w:jc w:val="center"/>
            </w:pPr>
            <w:r>
              <w:rPr>
                <w:rFonts w:ascii="Calibri" w:hAnsi="Calibri" w:eastAsia="Microsoft YaHei"/>
                <w:color w:val="556B55"/>
                <w:sz w:val="20"/>
              </w:rPr>
              <w:t>Paraformer-Large</w:t>
            </w:r>
          </w:p>
        </w:tc>
        <w:tc>
          <w:tcPr>
            <w:tcW w:w="1200" w:type="dxa"/>
          </w:tcPr>
          <w:p>
            <w:pPr>
              <w:spacing w:before="40" w:after="40"/>
              <w:ind w:firstLine="0"/>
              <w:jc w:val="center"/>
            </w:pPr>
            <w:r>
              <w:rPr>
                <w:rFonts w:ascii="Calibri" w:hAnsi="Calibri" w:eastAsia="Microsoft YaHei"/>
                <w:color w:val="556B55"/>
                <w:sz w:val="20"/>
              </w:rPr>
              <w:t>高</w:t>
            </w:r>
          </w:p>
        </w:tc>
        <w:tc>
          <w:tcPr>
            <w:tcW w:w="1400" w:type="dxa"/>
          </w:tcPr>
          <w:p>
            <w:pPr>
              <w:spacing w:before="40" w:after="40"/>
              <w:ind w:firstLine="0"/>
              <w:jc w:val="center"/>
            </w:pPr>
            <w:r>
              <w:rPr>
                <w:rFonts w:ascii="Calibri" w:hAnsi="Calibri" w:eastAsia="Microsoft YaHei"/>
                <w:color w:val="556B55"/>
                <w:sz w:val="20"/>
              </w:rPr>
              <w:t>很快</w:t>
            </w:r>
          </w:p>
        </w:tc>
        <w:tc>
          <w:tcPr>
            <w:tcW w:w="1400" w:type="dxa"/>
          </w:tcPr>
          <w:p>
            <w:pPr>
              <w:spacing w:before="40" w:after="40"/>
              <w:ind w:firstLine="0"/>
              <w:jc w:val="center"/>
            </w:pPr>
            <w:r>
              <w:rPr>
                <w:rFonts w:ascii="Calibri" w:hAnsi="Calibri" w:eastAsia="Microsoft YaHei"/>
                <w:color w:val="556B55"/>
                <w:sz w:val="20"/>
              </w:rPr>
              <w:t>低</w:t>
            </w:r>
          </w:p>
        </w:tc>
      </w:tr>
      <w:tr>
        <w:tc>
          <w:tcPr>
            <w:tcW w:w="1400" w:type="dxa"/>
          </w:tcPr>
          <w:p>
            <w:pPr>
              <w:spacing w:before="40" w:after="40"/>
              <w:ind w:firstLine="0"/>
              <w:jc w:val="center"/>
            </w:pPr>
            <w:r>
              <w:rPr>
                <w:rFonts w:ascii="Calibri" w:hAnsi="Calibri" w:eastAsia="Microsoft YaHei"/>
                <w:color w:val="556B55"/>
                <w:sz w:val="20"/>
              </w:rPr>
              <w:t>SenseVoice</w:t>
            </w:r>
          </w:p>
        </w:tc>
        <w:tc>
          <w:tcPr>
            <w:tcW w:w="1800" w:type="dxa"/>
          </w:tcPr>
          <w:p>
            <w:pPr>
              <w:spacing w:before="40" w:after="40"/>
              <w:ind w:firstLine="0"/>
              <w:jc w:val="center"/>
            </w:pPr>
            <w:r>
              <w:rPr>
                <w:rFonts w:ascii="Calibri" w:hAnsi="Calibri" w:eastAsia="Microsoft YaHei"/>
                <w:color w:val="556B55"/>
                <w:sz w:val="20"/>
              </w:rPr>
              <w:t>Small 234M</w:t>
            </w:r>
          </w:p>
        </w:tc>
        <w:tc>
          <w:tcPr>
            <w:tcW w:w="1200" w:type="dxa"/>
          </w:tcPr>
          <w:p>
            <w:pPr>
              <w:spacing w:before="40" w:after="40"/>
              <w:ind w:firstLine="0"/>
              <w:jc w:val="center"/>
            </w:pPr>
            <w:r>
              <w:rPr>
                <w:rFonts w:ascii="Calibri" w:hAnsi="Calibri" w:eastAsia="Microsoft YaHei"/>
                <w:color w:val="556B55"/>
                <w:sz w:val="20"/>
              </w:rPr>
              <w:t>高</w:t>
            </w:r>
          </w:p>
        </w:tc>
        <w:tc>
          <w:tcPr>
            <w:tcW w:w="1400" w:type="dxa"/>
          </w:tcPr>
          <w:p>
            <w:pPr>
              <w:spacing w:before="40" w:after="40"/>
              <w:ind w:firstLine="0"/>
              <w:jc w:val="center"/>
            </w:pPr>
            <w:r>
              <w:rPr>
                <w:rFonts w:ascii="Calibri" w:hAnsi="Calibri" w:eastAsia="Microsoft YaHei"/>
                <w:color w:val="556B55"/>
                <w:sz w:val="20"/>
              </w:rPr>
              <w:t>极快</w:t>
            </w:r>
          </w:p>
        </w:tc>
        <w:tc>
          <w:tcPr>
            <w:tcW w:w="1400" w:type="dxa"/>
          </w:tcPr>
          <w:p>
            <w:pPr>
              <w:spacing w:before="40" w:after="40"/>
              <w:ind w:firstLine="0"/>
              <w:jc w:val="center"/>
            </w:pPr>
            <w:r>
              <w:rPr>
                <w:rFonts w:ascii="Calibri" w:hAnsi="Calibri" w:eastAsia="Microsoft YaHei"/>
                <w:color w:val="556B55"/>
                <w:sz w:val="20"/>
              </w:rPr>
              <w:t>低</w:t>
            </w:r>
          </w:p>
        </w:tc>
      </w:tr>
    </w:tbl>
    <w:p>
      <w:pPr>
        <w:pStyle w:val="Heading3"/>
      </w:pPr>
      <w:r>
        <w:t>2.2.1 Whisper系列</w:t>
      </w:r>
    </w:p>
    <w:p>
      <w:r>
        <w:t>OpenAI Whisper是目前社区最活跃的开源语音识别项目，Large-v3模型包含15亿参数，支持99种语言。其优势在于强大的零样本迁移能力和对背景噪音的鲁棒性。在信噪比低至5dB的环境下仍能保持85%以上的单词识别率。通过faster-whisper加速框架，可显著提升推理速度并降低显存占用。</w:t>
      </w:r>
    </w:p>
    <w:p>
      <w:r>
        <w:t>针对中文场景，可通过initial_prompt提示（如"以下是普通话内容"）轻微提升识别效果，也可使用已针对中文微调的Belle-Whisper版本作为基础模型。对于领域适配，可采用LoRA/QLoRA参数高效微调技术，仅训练0.5%-1%的参数即可显著提升专业术语识别率，适合GPU资源有限的环境。</w:t>
      </w:r>
    </w:p>
    <w:p>
      <w:pPr>
        <w:pStyle w:val="Heading3"/>
      </w:pPr>
      <w:r>
        <w:t>2.2.2 FunASR与SenseVoice</w:t>
      </w:r>
    </w:p>
    <w:p>
      <w:r>
        <w:t>阿里达摩院开源的FunASR框架是中文语音识别的工业级解决方案。其中SenseVoice-Small模型（234M参数）处理10秒音频仅需70ms，比Whisper-Large快15倍。FunASR内置标点预测、数字规整化、热词注入等中文优化功能，对禅修场景中的佛经引文、数字计数等内容尤为友好。</w:t>
      </w:r>
    </w:p>
    <w:p>
      <w:r>
        <w:t>FunASR支持通过热词文件（hotwords.txt）零代码注入专业术语，无需重新训练模型即可提升特定词汇识别率。对于更深入的优化，FunASR提供完整的微调流程，支持领域数据自适应训练。</w:t>
      </w:r>
    </w:p>
    <w:p>
      <w:pPr>
        <w:pStyle w:val="Heading3"/>
      </w:pPr>
      <w:r>
        <w:t>2.2.3 选型建议</w:t>
      </w:r>
    </w:p>
    <w:p>
      <w:r>
        <w:t>综合考虑中文识别精度、本地部署便捷性、领域微调能力以及社区生态，推荐采用FunASR SenseVoice作为基础引擎，Whisper作为备选/补充的双引擎策略。FunASR负责日常批量转写（速度快、中文标点准确），Whisper处理困难音频（噪音大、口音重）以及后续的多语言扩展需求。</w:t>
      </w:r>
    </w:p>
    <w:p>
      <w:pPr>
        <w:pStyle w:val="Heading1"/>
      </w:pPr>
      <w:r>
        <w:t>三、技术架构方案</w:t>
      </w:r>
      <w:bookmarkStart w:name="_Toc003" w:id="4"/>
      <w:bookmarkEnd w:id="4"/>
    </w:p>
    <w:p>
      <w:pPr>
        <w:pStyle w:val="Heading2"/>
      </w:pPr>
      <w:r>
        <w:t>3.1 整体架构设计</w:t>
      </w:r>
    </w:p>
    <w:p>
      <w:r>
        <w:t>系统采用模块化分层架构，分为表示层、业务层、引擎层和数据层四个核心层次：</w:t>
      </w:r>
    </w:p>
    <w:p>
      <w:r>
        <w:t>表示层提供用户交互界面（PyQt桌面应用或Web界面），负责任务提交、结果展示和校对编辑。业务层处理任务调度、音频预处理、引擎路由和业务逻辑。引擎层封装ASR识别引擎（SenseVoice + Whisper）、语音处理模块（VAD、降噪）和模型管理组件（加载、切换、热更新）。数据层管理音频文件、转录结果、术语库、用户反馈和模型版本。</w:t>
      </w:r>
    </w:p>
    <w:p>
      <w:r>
        <w:t>数据流向说明：用户上传音频/视频文件后，系统首先进行音频预处理（格式转换、降噪、分段），然后送入ASR引擎进行识别。识别结果经过后处理（标点修正、术语替换）呈现给用户。用户对结果的纠错反馈被收集到训练数据池，在达到阈值后触发增量微调流程，更新领域模型。</w:t>
      </w:r>
    </w:p>
    <w:p>
      <w:pPr>
        <w:pStyle w:val="Heading2"/>
      </w:pPr>
      <w:r>
        <w:t>3.2 技术选型建议</w:t>
      </w:r>
    </w:p>
    <w:tbl>
      <w:tblPr>
        <w:tblW w:w="5000" w:type="pct"/>
        <w:tblBorders>
          <w:top w:val="single" w:color="4A6741" w:sz="12"/>
          <w:left w:val="nil"/>
          <w:bottom w:val="single" w:color="4A6741" w:sz="12"/>
          <w:right w:val="nil"/>
          <w:insideH w:val="single" w:color="D5DDD5" w:sz="4"/>
        </w:tblBorders>
      </w:tblPr>
      <w:tblGrid>
        <w:gridCol w:w="2000"/>
        <w:gridCol w:w="3000"/>
        <w:gridCol w:w="2200"/>
      </w:tblGrid>
      <w:tr>
        <w:trPr>
          <w:tblHeader/>
        </w:trPr>
        <w:tc>
          <w:tcPr>
            <w:tcW w:w="2000" w:type="dxa"/>
            <w:shd w:val="clear" w:fill="EDF1ED"/>
          </w:tcPr>
          <w:p>
            <w:pPr>
              <w:spacing w:before="40" w:after="40"/>
              <w:ind w:firstLine="0"/>
              <w:jc w:val="center"/>
            </w:pPr>
            <w:r>
              <w:rPr>
                <w:rFonts w:ascii="Calibri" w:hAnsi="Calibri" w:eastAsia="Microsoft YaHei"/>
                <w:b/>
                <w:color w:val="2F3A2E"/>
                <w:sz w:val="20"/>
              </w:rPr>
              <w:t>层级</w:t>
            </w:r>
          </w:p>
        </w:tc>
        <w:tc>
          <w:tcPr>
            <w:tcW w:w="3000" w:type="dxa"/>
            <w:shd w:val="clear" w:fill="EDF1ED"/>
          </w:tcPr>
          <w:p>
            <w:pPr>
              <w:spacing w:before="40" w:after="40"/>
              <w:ind w:firstLine="0"/>
              <w:jc w:val="center"/>
            </w:pPr>
            <w:r>
              <w:rPr>
                <w:rFonts w:ascii="Calibri" w:hAnsi="Calibri" w:eastAsia="Microsoft YaHei"/>
                <w:b/>
                <w:color w:val="2F3A2E"/>
                <w:sz w:val="20"/>
              </w:rPr>
              <w:t>技术选型</w:t>
            </w:r>
          </w:p>
        </w:tc>
        <w:tc>
          <w:tcPr>
            <w:tcW w:w="2200" w:type="dxa"/>
            <w:shd w:val="clear" w:fill="EDF1ED"/>
          </w:tcPr>
          <w:p>
            <w:pPr>
              <w:spacing w:before="40" w:after="40"/>
              <w:ind w:firstLine="0"/>
              <w:jc w:val="center"/>
            </w:pPr>
            <w:r>
              <w:rPr>
                <w:rFonts w:ascii="Calibri" w:hAnsi="Calibri" w:eastAsia="Microsoft YaHei"/>
                <w:b/>
                <w:color w:val="2F3A2E"/>
                <w:sz w:val="20"/>
              </w:rPr>
              <w:t>说明</w:t>
            </w:r>
          </w:p>
        </w:tc>
      </w:tr>
      <w:tr>
        <w:tc>
          <w:tcPr>
            <w:tcW w:w="2000" w:type="dxa"/>
          </w:tcPr>
          <w:p>
            <w:pPr>
              <w:spacing w:before="40" w:after="40"/>
              <w:ind w:firstLine="0"/>
              <w:jc w:val="center"/>
            </w:pPr>
            <w:r>
              <w:rPr>
                <w:rFonts w:ascii="Calibri" w:hAnsi="Calibri" w:eastAsia="Microsoft YaHei"/>
                <w:color w:val="556B55"/>
                <w:sz w:val="20"/>
              </w:rPr>
              <w:t>前端界面</w:t>
            </w:r>
          </w:p>
        </w:tc>
        <w:tc>
          <w:tcPr>
            <w:tcW w:w="3000" w:type="dxa"/>
          </w:tcPr>
          <w:p>
            <w:pPr>
              <w:spacing w:before="40" w:after="40"/>
              <w:ind w:firstLine="0"/>
              <w:jc w:val="center"/>
            </w:pPr>
            <w:r>
              <w:rPr>
                <w:rFonts w:ascii="Calibri" w:hAnsi="Calibri" w:eastAsia="Microsoft YaHei"/>
                <w:color w:val="556B55"/>
                <w:sz w:val="20"/>
              </w:rPr>
              <w:t>PyQt / Tauri</w:t>
            </w:r>
          </w:p>
        </w:tc>
        <w:tc>
          <w:tcPr>
            <w:tcW w:w="2200" w:type="dxa"/>
          </w:tcPr>
          <w:p>
            <w:pPr>
              <w:spacing w:before="40" w:after="40"/>
              <w:ind w:firstLine="0"/>
              <w:jc w:val="center"/>
            </w:pPr>
            <w:r>
              <w:rPr>
                <w:rFonts w:ascii="Calibri" w:hAnsi="Calibri" w:eastAsia="Microsoft YaHei"/>
                <w:color w:val="556B55"/>
                <w:sz w:val="20"/>
              </w:rPr>
              <w:t>桌面应用，跨平台</w:t>
            </w:r>
          </w:p>
        </w:tc>
      </w:tr>
      <w:tr>
        <w:tc>
          <w:tcPr>
            <w:tcW w:w="2000" w:type="dxa"/>
          </w:tcPr>
          <w:p>
            <w:pPr>
              <w:spacing w:before="40" w:after="40"/>
              <w:ind w:firstLine="0"/>
              <w:jc w:val="center"/>
            </w:pPr>
            <w:r>
              <w:rPr>
                <w:rFonts w:ascii="Calibri" w:hAnsi="Calibri" w:eastAsia="Microsoft YaHei"/>
                <w:color w:val="556B55"/>
                <w:sz w:val="20"/>
              </w:rPr>
              <w:t>业务服务</w:t>
            </w:r>
          </w:p>
        </w:tc>
        <w:tc>
          <w:tcPr>
            <w:tcW w:w="3000" w:type="dxa"/>
          </w:tcPr>
          <w:p>
            <w:pPr>
              <w:spacing w:before="40" w:after="40"/>
              <w:ind w:firstLine="0"/>
              <w:jc w:val="center"/>
            </w:pPr>
            <w:r>
              <w:rPr>
                <w:rFonts w:ascii="Calibri" w:hAnsi="Calibri" w:eastAsia="Microsoft YaHei"/>
                <w:color w:val="556B55"/>
                <w:sz w:val="20"/>
              </w:rPr>
              <w:t>Python FastAPI</w:t>
            </w:r>
          </w:p>
        </w:tc>
        <w:tc>
          <w:tcPr>
            <w:tcW w:w="2200" w:type="dxa"/>
          </w:tcPr>
          <w:p>
            <w:pPr>
              <w:spacing w:before="40" w:after="40"/>
              <w:ind w:firstLine="0"/>
              <w:jc w:val="center"/>
            </w:pPr>
            <w:r>
              <w:rPr>
                <w:rFonts w:ascii="Calibri" w:hAnsi="Calibri" w:eastAsia="Microsoft YaHei"/>
                <w:color w:val="556B55"/>
                <w:sz w:val="20"/>
              </w:rPr>
              <w:t>RESTful API服务</w:t>
            </w:r>
          </w:p>
        </w:tc>
      </w:tr>
      <w:tr>
        <w:tc>
          <w:tcPr>
            <w:tcW w:w="2000" w:type="dxa"/>
          </w:tcPr>
          <w:p>
            <w:pPr>
              <w:spacing w:before="40" w:after="40"/>
              <w:ind w:firstLine="0"/>
              <w:jc w:val="center"/>
            </w:pPr>
            <w:r>
              <w:rPr>
                <w:rFonts w:ascii="Calibri" w:hAnsi="Calibri" w:eastAsia="Microsoft YaHei"/>
                <w:color w:val="556B55"/>
                <w:sz w:val="20"/>
              </w:rPr>
              <w:t>ASR引擎</w:t>
            </w:r>
          </w:p>
        </w:tc>
        <w:tc>
          <w:tcPr>
            <w:tcW w:w="3000" w:type="dxa"/>
          </w:tcPr>
          <w:p>
            <w:pPr>
              <w:spacing w:before="40" w:after="40"/>
              <w:ind w:firstLine="0"/>
              <w:jc w:val="center"/>
            </w:pPr>
            <w:r>
              <w:rPr>
                <w:rFonts w:ascii="Calibri" w:hAnsi="Calibri" w:eastAsia="Microsoft YaHei"/>
                <w:color w:val="556B55"/>
                <w:sz w:val="20"/>
              </w:rPr>
              <w:t>FunASR + faster-whisper</w:t>
            </w:r>
          </w:p>
        </w:tc>
        <w:tc>
          <w:tcPr>
            <w:tcW w:w="2200" w:type="dxa"/>
          </w:tcPr>
          <w:p>
            <w:pPr>
              <w:spacing w:before="40" w:after="40"/>
              <w:ind w:firstLine="0"/>
              <w:jc w:val="center"/>
            </w:pPr>
            <w:r>
              <w:rPr>
                <w:rFonts w:ascii="Calibri" w:hAnsi="Calibri" w:eastAsia="Microsoft YaHei"/>
                <w:color w:val="556B55"/>
                <w:sz w:val="20"/>
              </w:rPr>
              <w:t>双引擎策略</w:t>
            </w:r>
          </w:p>
        </w:tc>
      </w:tr>
      <w:tr>
        <w:tc>
          <w:tcPr>
            <w:tcW w:w="2000" w:type="dxa"/>
          </w:tcPr>
          <w:p>
            <w:pPr>
              <w:spacing w:before="40" w:after="40"/>
              <w:ind w:firstLine="0"/>
              <w:jc w:val="center"/>
            </w:pPr>
            <w:r>
              <w:rPr>
                <w:rFonts w:ascii="Calibri" w:hAnsi="Calibri" w:eastAsia="Microsoft YaHei"/>
                <w:color w:val="556B55"/>
                <w:sz w:val="20"/>
              </w:rPr>
              <w:t>音频处理</w:t>
            </w:r>
          </w:p>
        </w:tc>
        <w:tc>
          <w:tcPr>
            <w:tcW w:w="3000" w:type="dxa"/>
          </w:tcPr>
          <w:p>
            <w:pPr>
              <w:spacing w:before="40" w:after="40"/>
              <w:ind w:firstLine="0"/>
              <w:jc w:val="center"/>
            </w:pPr>
            <w:r>
              <w:rPr>
                <w:rFonts w:ascii="Calibri" w:hAnsi="Calibri" w:eastAsia="Microsoft YaHei"/>
                <w:color w:val="556B55"/>
                <w:sz w:val="20"/>
              </w:rPr>
              <w:t>FFmpeg + Silero VAD</w:t>
            </w:r>
          </w:p>
        </w:tc>
        <w:tc>
          <w:tcPr>
            <w:tcW w:w="2200" w:type="dxa"/>
          </w:tcPr>
          <w:p>
            <w:pPr>
              <w:spacing w:before="40" w:after="40"/>
              <w:ind w:firstLine="0"/>
              <w:jc w:val="center"/>
            </w:pPr>
            <w:r>
              <w:rPr>
                <w:rFonts w:ascii="Calibri" w:hAnsi="Calibri" w:eastAsia="Microsoft YaHei"/>
                <w:color w:val="556B55"/>
                <w:sz w:val="20"/>
              </w:rPr>
              <w:t>格式转换与分段</w:t>
            </w:r>
          </w:p>
        </w:tc>
      </w:tr>
      <w:tr>
        <w:tc>
          <w:tcPr>
            <w:tcW w:w="2000" w:type="dxa"/>
          </w:tcPr>
          <w:p>
            <w:pPr>
              <w:spacing w:before="40" w:after="40"/>
              <w:ind w:firstLine="0"/>
              <w:jc w:val="center"/>
            </w:pPr>
            <w:r>
              <w:rPr>
                <w:rFonts w:ascii="Calibri" w:hAnsi="Calibri" w:eastAsia="Microsoft YaHei"/>
                <w:color w:val="556B55"/>
                <w:sz w:val="20"/>
              </w:rPr>
              <w:t>数据存储</w:t>
            </w:r>
          </w:p>
        </w:tc>
        <w:tc>
          <w:tcPr>
            <w:tcW w:w="3000" w:type="dxa"/>
          </w:tcPr>
          <w:p>
            <w:pPr>
              <w:spacing w:before="40" w:after="40"/>
              <w:ind w:firstLine="0"/>
              <w:jc w:val="center"/>
            </w:pPr>
            <w:r>
              <w:rPr>
                <w:rFonts w:ascii="Calibri" w:hAnsi="Calibri" w:eastAsia="Microsoft YaHei"/>
                <w:color w:val="556B55"/>
                <w:sz w:val="20"/>
              </w:rPr>
              <w:t>SQLite + 文件系统</w:t>
            </w:r>
          </w:p>
        </w:tc>
        <w:tc>
          <w:tcPr>
            <w:tcW w:w="2200" w:type="dxa"/>
          </w:tcPr>
          <w:p>
            <w:pPr>
              <w:spacing w:before="40" w:after="40"/>
              <w:ind w:firstLine="0"/>
              <w:jc w:val="center"/>
            </w:pPr>
            <w:r>
              <w:rPr>
                <w:rFonts w:ascii="Calibri" w:hAnsi="Calibri" w:eastAsia="Microsoft YaHei"/>
                <w:color w:val="556B55"/>
                <w:sz w:val="20"/>
              </w:rPr>
              <w:t>轻量本地存储</w:t>
            </w:r>
          </w:p>
        </w:tc>
      </w:tr>
      <w:tr>
        <w:tc>
          <w:tcPr>
            <w:tcW w:w="2000" w:type="dxa"/>
          </w:tcPr>
          <w:p>
            <w:pPr>
              <w:spacing w:before="40" w:after="40"/>
              <w:ind w:firstLine="0"/>
              <w:jc w:val="center"/>
            </w:pPr>
            <w:r>
              <w:rPr>
                <w:rFonts w:ascii="Calibri" w:hAnsi="Calibri" w:eastAsia="Microsoft YaHei"/>
                <w:color w:val="556B55"/>
                <w:sz w:val="20"/>
              </w:rPr>
              <w:t>微调训练</w:t>
            </w:r>
          </w:p>
        </w:tc>
        <w:tc>
          <w:tcPr>
            <w:tcW w:w="3000" w:type="dxa"/>
          </w:tcPr>
          <w:p>
            <w:pPr>
              <w:spacing w:before="40" w:after="40"/>
              <w:ind w:firstLine="0"/>
              <w:jc w:val="center"/>
            </w:pPr>
            <w:r>
              <w:rPr>
                <w:rFonts w:ascii="Calibri" w:hAnsi="Calibri" w:eastAsia="Microsoft YaHei"/>
                <w:color w:val="556B55"/>
                <w:sz w:val="20"/>
              </w:rPr>
              <w:t>PEFT + LoRA</w:t>
            </w:r>
          </w:p>
        </w:tc>
        <w:tc>
          <w:tcPr>
            <w:tcW w:w="2200" w:type="dxa"/>
          </w:tcPr>
          <w:p>
            <w:pPr>
              <w:spacing w:before="40" w:after="40"/>
              <w:ind w:firstLine="0"/>
              <w:jc w:val="center"/>
            </w:pPr>
            <w:r>
              <w:rPr>
                <w:rFonts w:ascii="Calibri" w:hAnsi="Calibri" w:eastAsia="Microsoft YaHei"/>
                <w:color w:val="556B55"/>
                <w:sz w:val="20"/>
              </w:rPr>
              <w:t>参数高效增量学习</w:t>
            </w:r>
          </w:p>
        </w:tc>
      </w:tr>
    </w:tbl>
    <w:p>
      <w:pPr>
        <w:pStyle w:val="Heading1"/>
      </w:pPr>
      <w:r>
        <w:t>四、实时语音转写技术方案</w:t>
      </w:r>
      <w:bookmarkStart w:name="_Toc004" w:id="5"/>
      <w:bookmarkEnd w:id="5"/>
    </w:p>
    <w:p>
      <w:r>
        <w:t>除了历史音频文件的批量离线转写外，系统还需支持实时语音转文字功能。这一能力适用于以下禅修场景：实时课程字幕生成（帮助听力障碍学员参与课程）、在线禅修带练时的文字记录、以及直播课程的实时字幕展示。</w:t>
      </w:r>
    </w:p>
    <w:p>
      <w:pPr>
        <w:pStyle w:val="Heading2"/>
      </w:pPr>
      <w:r>
        <w:t>4.1 流式ASR技术选型</w:t>
      </w:r>
    </w:p>
    <w:p>
      <w:r>
        <w:t>实时语音转写与离线转写有本质区别：流式ASR需要在音频到达的同时逐步输出识别结果，而非等待完整音频。以下是主流流式ASR方案的对比：</w:t>
      </w:r>
    </w:p>
    <w:tbl>
      <w:tblPr>
        <w:tblW w:w="5000" w:type="pct"/>
        <w:tblBorders>
          <w:top w:val="single" w:color="4A6741" w:sz="12"/>
          <w:left w:val="nil"/>
          <w:bottom w:val="single" w:color="4A6741" w:sz="12"/>
          <w:right w:val="nil"/>
          <w:insideH w:val="single" w:color="D5DDD5" w:sz="4"/>
        </w:tblBorders>
      </w:tblPr>
      <w:tblGrid>
        <w:gridCol w:w="1600"/>
        <w:gridCol w:w="1400"/>
        <w:gridCol w:w="1400"/>
        <w:gridCol w:w="1400"/>
        <w:gridCol w:w="1400"/>
      </w:tblGrid>
      <w:tr>
        <w:trPr>
          <w:tblHeader/>
        </w:trPr>
        <w:tc>
          <w:tcPr>
            <w:tcW w:w="1600" w:type="dxa"/>
            <w:shd w:val="clear" w:fill="EDF1ED"/>
          </w:tcPr>
          <w:p>
            <w:pPr>
              <w:spacing w:before="40" w:after="40"/>
              <w:ind w:firstLine="0"/>
              <w:jc w:val="center"/>
            </w:pPr>
            <w:r>
              <w:rPr>
                <w:rFonts w:ascii="Calibri" w:hAnsi="Calibri" w:eastAsia="Microsoft YaHei"/>
                <w:b/>
                <w:color w:val="2F3A2E"/>
                <w:sz w:val="20"/>
              </w:rPr>
              <w:t>方案</w:t>
            </w:r>
          </w:p>
        </w:tc>
        <w:tc>
          <w:tcPr>
            <w:tcW w:w="1400" w:type="dxa"/>
            <w:shd w:val="clear" w:fill="EDF1ED"/>
          </w:tcPr>
          <w:p>
            <w:pPr>
              <w:spacing w:before="40" w:after="40"/>
              <w:ind w:firstLine="0"/>
              <w:jc w:val="center"/>
            </w:pPr>
            <w:r>
              <w:rPr>
                <w:rFonts w:ascii="Calibri" w:hAnsi="Calibri" w:eastAsia="Microsoft YaHei"/>
                <w:b/>
                <w:color w:val="2F3A2E"/>
                <w:sz w:val="20"/>
              </w:rPr>
              <w:t>首词延迟</w:t>
            </w:r>
          </w:p>
        </w:tc>
        <w:tc>
          <w:tcPr>
            <w:tcW w:w="1400" w:type="dxa"/>
            <w:shd w:val="clear" w:fill="EDF1ED"/>
          </w:tcPr>
          <w:p>
            <w:pPr>
              <w:spacing w:before="40" w:after="40"/>
              <w:ind w:firstLine="0"/>
              <w:jc w:val="center"/>
            </w:pPr>
            <w:r>
              <w:rPr>
                <w:rFonts w:ascii="Calibri" w:hAnsi="Calibri" w:eastAsia="Microsoft YaHei"/>
                <w:b/>
                <w:color w:val="2F3A2E"/>
                <w:sz w:val="20"/>
              </w:rPr>
              <w:t>中文CER</w:t>
            </w:r>
          </w:p>
        </w:tc>
        <w:tc>
          <w:tcPr>
            <w:tcW w:w="1400" w:type="dxa"/>
            <w:shd w:val="clear" w:fill="EDF1ED"/>
          </w:tcPr>
          <w:p>
            <w:pPr>
              <w:spacing w:before="40" w:after="40"/>
              <w:ind w:firstLine="0"/>
              <w:jc w:val="center"/>
            </w:pPr>
            <w:r>
              <w:rPr>
                <w:rFonts w:ascii="Calibri" w:hAnsi="Calibri" w:eastAsia="Microsoft YaHei"/>
                <w:b/>
                <w:color w:val="2F3A2E"/>
                <w:sz w:val="20"/>
              </w:rPr>
              <w:t>流式原生</w:t>
            </w:r>
          </w:p>
        </w:tc>
        <w:tc>
          <w:tcPr>
            <w:tcW w:w="1400" w:type="dxa"/>
            <w:shd w:val="clear" w:fill="EDF1ED"/>
          </w:tcPr>
          <w:p>
            <w:pPr>
              <w:spacing w:before="40" w:after="40"/>
              <w:ind w:firstLine="0"/>
              <w:jc w:val="center"/>
            </w:pPr>
            <w:r>
              <w:rPr>
                <w:rFonts w:ascii="Calibri" w:hAnsi="Calibri" w:eastAsia="Microsoft YaHei"/>
                <w:b/>
                <w:color w:val="2F3A2E"/>
                <w:sz w:val="20"/>
              </w:rPr>
              <w:t>推荐场景</w:t>
            </w:r>
          </w:p>
        </w:tc>
      </w:tr>
      <w:tr>
        <w:tc>
          <w:tcPr>
            <w:tcW w:w="1600" w:type="dxa"/>
          </w:tcPr>
          <w:p>
            <w:pPr>
              <w:spacing w:before="40" w:after="40"/>
              <w:ind w:firstLine="0"/>
              <w:jc w:val="center"/>
            </w:pPr>
            <w:r>
              <w:rPr>
                <w:rFonts w:ascii="Calibri" w:hAnsi="Calibri" w:eastAsia="Microsoft YaHei"/>
                <w:color w:val="556B55"/>
                <w:sz w:val="20"/>
              </w:rPr>
              <w:t>Paraformer-Streaming</w:t>
            </w:r>
          </w:p>
        </w:tc>
        <w:tc>
          <w:tcPr>
            <w:tcW w:w="1400" w:type="dxa"/>
          </w:tcPr>
          <w:p>
            <w:pPr>
              <w:spacing w:before="40" w:after="40"/>
              <w:ind w:firstLine="0"/>
              <w:jc w:val="center"/>
            </w:pPr>
            <w:r>
              <w:rPr>
                <w:rFonts w:ascii="Calibri" w:hAnsi="Calibri" w:eastAsia="Microsoft YaHei"/>
                <w:color w:val="556B55"/>
                <w:sz w:val="20"/>
              </w:rPr>
              <w:t>&lt;800ms</w:t>
            </w:r>
          </w:p>
        </w:tc>
        <w:tc>
          <w:tcPr>
            <w:tcW w:w="1400" w:type="dxa"/>
          </w:tcPr>
          <w:p>
            <w:pPr>
              <w:spacing w:before="40" w:after="40"/>
              <w:ind w:firstLine="0"/>
              <w:jc w:val="center"/>
            </w:pPr>
            <w:r>
              <w:rPr>
                <w:rFonts w:ascii="Calibri" w:hAnsi="Calibri" w:eastAsia="Microsoft YaHei"/>
                <w:color w:val="556B55"/>
                <w:sz w:val="20"/>
              </w:rPr>
              <w:t>低（~6.5%）</w:t>
            </w:r>
          </w:p>
        </w:tc>
        <w:tc>
          <w:tcPr>
            <w:tcW w:w="1400" w:type="dxa"/>
          </w:tcPr>
          <w:p>
            <w:pPr>
              <w:spacing w:before="40" w:after="40"/>
              <w:ind w:firstLine="0"/>
              <w:jc w:val="center"/>
            </w:pPr>
            <w:r>
              <w:rPr>
                <w:rFonts w:ascii="Calibri" w:hAnsi="Calibri" w:eastAsia="Microsoft YaHei"/>
                <w:color w:val="556B55"/>
                <w:sz w:val="20"/>
              </w:rPr>
              <w:t>是</w:t>
            </w:r>
          </w:p>
        </w:tc>
        <w:tc>
          <w:tcPr>
            <w:tcW w:w="1400" w:type="dxa"/>
          </w:tcPr>
          <w:p>
            <w:pPr>
              <w:spacing w:before="40" w:after="40"/>
              <w:ind w:firstLine="0"/>
              <w:jc w:val="center"/>
            </w:pPr>
            <w:r>
              <w:rPr>
                <w:rFonts w:ascii="Calibri" w:hAnsi="Calibri" w:eastAsia="Microsoft YaHei"/>
                <w:color w:val="556B55"/>
                <w:sz w:val="20"/>
              </w:rPr>
              <w:t>首选主引擎</w:t>
            </w:r>
          </w:p>
        </w:tc>
      </w:tr>
      <w:tr>
        <w:tc>
          <w:tcPr>
            <w:tcW w:w="1600" w:type="dxa"/>
          </w:tcPr>
          <w:p>
            <w:pPr>
              <w:spacing w:before="40" w:after="40"/>
              <w:ind w:firstLine="0"/>
              <w:jc w:val="center"/>
            </w:pPr>
            <w:r>
              <w:rPr>
                <w:rFonts w:ascii="Calibri" w:hAnsi="Calibri" w:eastAsia="Microsoft YaHei"/>
                <w:color w:val="556B55"/>
                <w:sz w:val="20"/>
              </w:rPr>
              <w:t>Whisper-Streaming</w:t>
            </w:r>
          </w:p>
        </w:tc>
        <w:tc>
          <w:tcPr>
            <w:tcW w:w="1400" w:type="dxa"/>
          </w:tcPr>
          <w:p>
            <w:pPr>
              <w:spacing w:before="40" w:after="40"/>
              <w:ind w:firstLine="0"/>
              <w:jc w:val="center"/>
            </w:pPr>
            <w:r>
              <w:rPr>
                <w:rFonts w:ascii="Calibri" w:hAnsi="Calibri" w:eastAsia="Microsoft YaHei"/>
                <w:color w:val="556B55"/>
                <w:sz w:val="20"/>
              </w:rPr>
              <w:t>~3.3s</w:t>
            </w:r>
          </w:p>
        </w:tc>
        <w:tc>
          <w:tcPr>
            <w:tcW w:w="1400" w:type="dxa"/>
          </w:tcPr>
          <w:p>
            <w:pPr>
              <w:spacing w:before="40" w:after="40"/>
              <w:ind w:firstLine="0"/>
              <w:jc w:val="center"/>
            </w:pPr>
            <w:r>
              <w:rPr>
                <w:rFonts w:ascii="Calibri" w:hAnsi="Calibri" w:eastAsia="Microsoft YaHei"/>
                <w:color w:val="556B55"/>
                <w:sz w:val="20"/>
              </w:rPr>
              <w:t>中（~8%）</w:t>
            </w:r>
          </w:p>
        </w:tc>
        <w:tc>
          <w:tcPr>
            <w:tcW w:w="1400" w:type="dxa"/>
          </w:tcPr>
          <w:p>
            <w:pPr>
              <w:spacing w:before="40" w:after="40"/>
              <w:ind w:firstLine="0"/>
              <w:jc w:val="center"/>
            </w:pPr>
            <w:r>
              <w:rPr>
                <w:rFonts w:ascii="Calibri" w:hAnsi="Calibri" w:eastAsia="Microsoft YaHei"/>
                <w:color w:val="556B55"/>
                <w:sz w:val="20"/>
              </w:rPr>
              <w:t>改造</w:t>
            </w:r>
          </w:p>
        </w:tc>
        <w:tc>
          <w:tcPr>
            <w:tcW w:w="1400" w:type="dxa"/>
          </w:tcPr>
          <w:p>
            <w:pPr>
              <w:spacing w:before="40" w:after="40"/>
              <w:ind w:firstLine="0"/>
              <w:jc w:val="center"/>
            </w:pPr>
            <w:r>
              <w:rPr>
                <w:rFonts w:ascii="Calibri" w:hAnsi="Calibri" w:eastAsia="Microsoft YaHei"/>
                <w:color w:val="556B55"/>
                <w:sz w:val="20"/>
              </w:rPr>
              <w:t>困难音频备选</w:t>
            </w:r>
          </w:p>
        </w:tc>
      </w:tr>
      <w:tr>
        <w:tc>
          <w:tcPr>
            <w:tcW w:w="1600" w:type="dxa"/>
          </w:tcPr>
          <w:p>
            <w:pPr>
              <w:spacing w:before="40" w:after="40"/>
              <w:ind w:firstLine="0"/>
              <w:jc w:val="center"/>
            </w:pPr>
            <w:r>
              <w:rPr>
                <w:rFonts w:ascii="Calibri" w:hAnsi="Calibri" w:eastAsia="Microsoft YaHei"/>
                <w:color w:val="556B55"/>
                <w:sz w:val="20"/>
              </w:rPr>
              <w:t>Sherpa-ONNX</w:t>
            </w:r>
          </w:p>
        </w:tc>
        <w:tc>
          <w:tcPr>
            <w:tcW w:w="1400" w:type="dxa"/>
          </w:tcPr>
          <w:p>
            <w:pPr>
              <w:spacing w:before="40" w:after="40"/>
              <w:ind w:firstLine="0"/>
              <w:jc w:val="center"/>
            </w:pPr>
            <w:r>
              <w:rPr>
                <w:rFonts w:ascii="Calibri" w:hAnsi="Calibri" w:eastAsia="Microsoft YaHei"/>
                <w:color w:val="556B55"/>
                <w:sz w:val="20"/>
              </w:rPr>
              <w:t>&lt;500ms</w:t>
            </w:r>
          </w:p>
        </w:tc>
        <w:tc>
          <w:tcPr>
            <w:tcW w:w="1400" w:type="dxa"/>
          </w:tcPr>
          <w:p>
            <w:pPr>
              <w:spacing w:before="40" w:after="40"/>
              <w:ind w:firstLine="0"/>
              <w:jc w:val="center"/>
            </w:pPr>
            <w:r>
              <w:rPr>
                <w:rFonts w:ascii="Calibri" w:hAnsi="Calibri" w:eastAsia="Microsoft YaHei"/>
                <w:color w:val="556B55"/>
                <w:sz w:val="20"/>
              </w:rPr>
              <w:t>低（~7%）</w:t>
            </w:r>
          </w:p>
        </w:tc>
        <w:tc>
          <w:tcPr>
            <w:tcW w:w="1400" w:type="dxa"/>
          </w:tcPr>
          <w:p>
            <w:pPr>
              <w:spacing w:before="40" w:after="40"/>
              <w:ind w:firstLine="0"/>
              <w:jc w:val="center"/>
            </w:pPr>
            <w:r>
              <w:rPr>
                <w:rFonts w:ascii="Calibri" w:hAnsi="Calibri" w:eastAsia="Microsoft YaHei"/>
                <w:color w:val="556B55"/>
                <w:sz w:val="20"/>
              </w:rPr>
              <w:t>是</w:t>
            </w:r>
          </w:p>
        </w:tc>
        <w:tc>
          <w:tcPr>
            <w:tcW w:w="1400" w:type="dxa"/>
          </w:tcPr>
          <w:p>
            <w:pPr>
              <w:spacing w:before="40" w:after="40"/>
              <w:ind w:firstLine="0"/>
              <w:jc w:val="center"/>
            </w:pPr>
            <w:r>
              <w:rPr>
                <w:rFonts w:ascii="Calibri" w:hAnsi="Calibri" w:eastAsia="Microsoft YaHei"/>
                <w:color w:val="556B55"/>
                <w:sz w:val="20"/>
              </w:rPr>
              <w:t>跨平台部署</w:t>
            </w:r>
          </w:p>
        </w:tc>
      </w:tr>
      <w:tr>
        <w:tc>
          <w:tcPr>
            <w:tcW w:w="1600" w:type="dxa"/>
          </w:tcPr>
          <w:p>
            <w:pPr>
              <w:spacing w:before="40" w:after="40"/>
              <w:ind w:firstLine="0"/>
              <w:jc w:val="center"/>
            </w:pPr>
            <w:r>
              <w:rPr>
                <w:rFonts w:ascii="Calibri" w:hAnsi="Calibri" w:eastAsia="Microsoft YaHei"/>
                <w:color w:val="556B55"/>
                <w:sz w:val="20"/>
              </w:rPr>
              <w:t>SenseVoice-ONNX</w:t>
            </w:r>
          </w:p>
        </w:tc>
        <w:tc>
          <w:tcPr>
            <w:tcW w:w="1400" w:type="dxa"/>
          </w:tcPr>
          <w:p>
            <w:pPr>
              <w:spacing w:before="40" w:after="40"/>
              <w:ind w:firstLine="0"/>
              <w:jc w:val="center"/>
            </w:pPr>
            <w:r>
              <w:rPr>
                <w:rFonts w:ascii="Calibri" w:hAnsi="Calibri" w:eastAsia="Microsoft YaHei"/>
                <w:color w:val="556B55"/>
                <w:sz w:val="20"/>
              </w:rPr>
              <w:t>~1s</w:t>
            </w:r>
          </w:p>
        </w:tc>
        <w:tc>
          <w:tcPr>
            <w:tcW w:w="1400" w:type="dxa"/>
          </w:tcPr>
          <w:p>
            <w:pPr>
              <w:spacing w:before="40" w:after="40"/>
              <w:ind w:firstLine="0"/>
              <w:jc w:val="center"/>
            </w:pPr>
            <w:r>
              <w:rPr>
                <w:rFonts w:ascii="Calibri" w:hAnsi="Calibri" w:eastAsia="Microsoft YaHei"/>
                <w:color w:val="556B55"/>
                <w:sz w:val="20"/>
              </w:rPr>
              <w:t>低</w:t>
            </w:r>
          </w:p>
        </w:tc>
        <w:tc>
          <w:tcPr>
            <w:tcW w:w="1400" w:type="dxa"/>
          </w:tcPr>
          <w:p>
            <w:pPr>
              <w:spacing w:before="40" w:after="40"/>
              <w:ind w:firstLine="0"/>
              <w:jc w:val="center"/>
            </w:pPr>
            <w:r>
              <w:rPr>
                <w:rFonts w:ascii="Calibri" w:hAnsi="Calibri" w:eastAsia="Microsoft YaHei"/>
                <w:color w:val="556B55"/>
                <w:sz w:val="20"/>
              </w:rPr>
              <w:t>改造</w:t>
            </w:r>
          </w:p>
        </w:tc>
        <w:tc>
          <w:tcPr>
            <w:tcW w:w="1400" w:type="dxa"/>
          </w:tcPr>
          <w:p>
            <w:pPr>
              <w:spacing w:before="40" w:after="40"/>
              <w:ind w:firstLine="0"/>
              <w:jc w:val="center"/>
            </w:pPr>
            <w:r>
              <w:rPr>
                <w:rFonts w:ascii="Calibri" w:hAnsi="Calibri" w:eastAsia="Microsoft YaHei"/>
                <w:color w:val="556B55"/>
                <w:sz w:val="20"/>
              </w:rPr>
              <w:t>轻量设备</w:t>
            </w:r>
          </w:p>
        </w:tc>
      </w:tr>
    </w:tbl>
    <w:p>
      <w:pPr>
        <w:pStyle w:val="Heading3"/>
      </w:pPr>
      <w:r>
        <w:t>4.1.1 Paraformer-Streaming</w:t>
      </w:r>
    </w:p>
    <w:p>
      <w:r>
        <w:t>阿里FunASR框架内置的Paraformer流式识别模型是当前中文实时转写的首选方案。其采用非自回归结构的增量推理机制，支持按帧输入音频并逐步输出识别结果。通过调整chunk_size参数，可灵活平衡延迟与精度：chunk_size=50ms时延迟仅90ms但WER约9.1%；chunk_size=100ms时延迟150ms、WER降至7.3%；chunk_size=200ms时延迟240ms、WER仅6.5%。</w:t>
      </w:r>
    </w:p>
    <w:p>
      <w:r>
        <w:t>Paraformer-Streaming在FunASR runtime-SDK中直接集成VAD模块，可自动检测语音起始和结束点，无需额外开发语音活动检测逻辑。首词延迟可控制在800ms以内，满足实时字幕的交互需求。</w:t>
      </w:r>
    </w:p>
    <w:p>
      <w:pPr>
        <w:pStyle w:val="Heading3"/>
      </w:pPr>
      <w:r>
        <w:t>4.1.2 Whisper-Streaming</w:t>
      </w:r>
    </w:p>
    <w:p>
      <w:r>
        <w:t>Whisper-Streaming项目通过创新的流式处理架构将Whisper改造为实时识别系统。其核心机制包括：固定大小的音频缓冲区管理、前后缀一致性匹配算法（LocalAgreement-2策略确保输出连贯性）、以及可选的VAD静默检测分支（500ms静默阈值自动触发结果提交）。</w:t>
      </w:r>
    </w:p>
    <w:p>
      <w:r>
        <w:t>Whisper-Streaming的优势在于对多语言和噪音环境的鲁棒性，适合有方言或背景噪音的禅修录音场景。但其延迟相对较高（约3.3秒），且中文识别精度不如Paraformer，建议作为备选方案处理困难音频。</w:t>
      </w:r>
    </w:p>
    <w:p>
      <w:pPr>
        <w:pStyle w:val="Heading3"/>
      </w:pPr>
      <w:r>
        <w:t>4.1.3 Sherpa-ONNX</w:t>
      </w:r>
    </w:p>
    <w:p>
      <w:r>
        <w:t>Sherpa-ONNX是基于ONNX格式的跨平台语音识别框架，支持12种编程语言接口。其流式识别能力基于Paraformer/Zipformer等流式模型，通过ONNX Runtime实现高效推理。核心特点包括：支持CPU/GPU多种推理后端、提供is_final标志用于智能断句、以及WebSocket服务器模式支持多客户端并发。</w:t>
      </w:r>
    </w:p>
    <w:p>
      <w:r>
        <w:t>Sherpa-ONNX特别适合需要跨平台部署的场景（如Windows/Mac/Linux多设备支持），且其C++底层实现确保了低延迟和高吞吐量。</w:t>
      </w:r>
    </w:p>
    <w:p>
      <w:pPr>
        <w:pStyle w:val="Heading3"/>
      </w:pPr>
      <w:r>
        <w:t>4.1.4 选型建议</w:t>
      </w:r>
    </w:p>
    <w:p>
      <w:r>
        <w:t>推荐采用Paraformer-Streaming作为主引擎（中文精度高、延迟低），Sherpa-ONNX作为跨平台部署封装层（提供WebSocket服务和多客户端支持），Whisper-Streaming作为困难音频的备选方案。这一组合可覆盖从实时字幕到离线精校的全场景需求。</w:t>
      </w:r>
    </w:p>
    <w:p>
      <w:pPr>
        <w:pStyle w:val="Heading2"/>
      </w:pPr>
      <w:r>
        <w:t>4.2 延迟优化策略</w:t>
      </w:r>
    </w:p>
    <w:p>
      <w:r>
        <w:t>实时转写的核心挑战是在延迟和准确率之间取得平衡。以下是经过验证的优化策略：</w:t>
      </w:r>
    </w:p>
    <w:p>
      <w:pPr>
        <w:numPr>
          <w:ilvl w:val="0"/>
          <w:numId w:val="1"/>
        </w:numPr>
        <w:ind w:firstLine="0"/>
      </w:pPr>
      <w:r>
        <w:t>动态分块策略：根据语音特征动态调整chunk_size，静音段使用小chunk（50ms）快速响应，语音段切换到大chunk（200ms）提升精度</w:t>
      </w:r>
    </w:p>
    <w:p>
      <w:pPr>
        <w:numPr>
          <w:ilvl w:val="0"/>
          <w:numId w:val="1"/>
        </w:numPr>
        <w:ind w:firstLine="0"/>
      </w:pPr>
      <w:r>
        <w:t>VAD智能触发：使用Silero VAD检测语音起始点，仅在检测到有效语音时启动识别引擎，减少无效计算</w:t>
      </w:r>
    </w:p>
    <w:p>
      <w:pPr>
        <w:numPr>
          <w:ilvl w:val="0"/>
          <w:numId w:val="1"/>
        </w:numPr>
        <w:ind w:firstLine="0"/>
      </w:pPr>
      <w:r>
        <w:t>上下文缓存机制：保留前文识别结果作为语言模型的前缀提示，提升长句连贯性，避免流式断句造成的语义割裂</w:t>
      </w:r>
    </w:p>
    <w:p>
      <w:pPr>
        <w:numPr>
          <w:ilvl w:val="0"/>
          <w:numId w:val="1"/>
        </w:numPr>
        <w:ind w:firstLine="0"/>
      </w:pPr>
      <w:r>
        <w:t>前缀一致性约束：采用LocalAgreement-2策略，当连续两次更新的前缀不一致时，优先选择置信度更高的结果，确保输出稳定</w:t>
      </w:r>
    </w:p>
    <w:p>
      <w:pPr>
        <w:numPr>
          <w:ilvl w:val="0"/>
          <w:numId w:val="1"/>
        </w:numPr>
        <w:ind w:firstLine="0"/>
      </w:pPr>
      <w:r>
        <w:t>自适应解码参数：根据当前CPU/GPU负载动态调整beam_size和活跃路径数，在资源紧张时牺牲少量精度换取更低延迟</w:t>
      </w:r>
    </w:p>
    <w:p>
      <w:r>
        <w:t>以下为不同chunk_size配置的延迟-精度对比：</w:t>
      </w:r>
    </w:p>
    <w:tbl>
      <w:tblPr>
        <w:tblW w:w="5000" w:type="pct"/>
        <w:tblBorders>
          <w:top w:val="single" w:color="4A6741" w:sz="12"/>
          <w:left w:val="nil"/>
          <w:bottom w:val="single" w:color="4A6741" w:sz="12"/>
          <w:right w:val="nil"/>
          <w:insideH w:val="single" w:color="D5DDD5" w:sz="4"/>
        </w:tblBorders>
      </w:tblPr>
      <w:tblGrid>
        <w:gridCol w:w="1400"/>
        <w:gridCol w:w="1400"/>
        <w:gridCol w:w="1400"/>
        <w:gridCol w:w="2600"/>
      </w:tblGrid>
      <w:tr>
        <w:trPr>
          <w:tblHeader/>
        </w:trPr>
        <w:tc>
          <w:tcPr>
            <w:tcW w:w="1400" w:type="dxa"/>
            <w:shd w:val="clear" w:fill="EDF1ED"/>
          </w:tcPr>
          <w:p>
            <w:pPr>
              <w:spacing w:before="40" w:after="40"/>
              <w:ind w:firstLine="0"/>
              <w:jc w:val="center"/>
            </w:pPr>
            <w:r>
              <w:rPr>
                <w:rFonts w:ascii="Calibri" w:hAnsi="Calibri" w:eastAsia="Microsoft YaHei"/>
                <w:b/>
                <w:color w:val="2F3A2E"/>
                <w:sz w:val="20"/>
              </w:rPr>
              <w:t>chunk_size</w:t>
            </w:r>
          </w:p>
        </w:tc>
        <w:tc>
          <w:tcPr>
            <w:tcW w:w="1400" w:type="dxa"/>
            <w:shd w:val="clear" w:fill="EDF1ED"/>
          </w:tcPr>
          <w:p>
            <w:pPr>
              <w:spacing w:before="40" w:after="40"/>
              <w:ind w:firstLine="0"/>
              <w:jc w:val="center"/>
            </w:pPr>
            <w:r>
              <w:rPr>
                <w:rFonts w:ascii="Calibri" w:hAnsi="Calibri" w:eastAsia="Microsoft YaHei"/>
                <w:b/>
                <w:color w:val="2F3A2E"/>
                <w:sz w:val="20"/>
              </w:rPr>
              <w:t>延迟</w:t>
            </w:r>
          </w:p>
        </w:tc>
        <w:tc>
          <w:tcPr>
            <w:tcW w:w="1400" w:type="dxa"/>
            <w:shd w:val="clear" w:fill="EDF1ED"/>
          </w:tcPr>
          <w:p>
            <w:pPr>
              <w:spacing w:before="40" w:after="40"/>
              <w:ind w:firstLine="0"/>
              <w:jc w:val="center"/>
            </w:pPr>
            <w:r>
              <w:rPr>
                <w:rFonts w:ascii="Calibri" w:hAnsi="Calibri" w:eastAsia="Microsoft YaHei"/>
                <w:b/>
                <w:color w:val="2F3A2E"/>
                <w:sz w:val="20"/>
              </w:rPr>
              <w:t>WER</w:t>
            </w:r>
          </w:p>
        </w:tc>
        <w:tc>
          <w:tcPr>
            <w:tcW w:w="2600" w:type="dxa"/>
            <w:shd w:val="clear" w:fill="EDF1ED"/>
          </w:tcPr>
          <w:p>
            <w:pPr>
              <w:spacing w:before="40" w:after="40"/>
              <w:ind w:firstLine="0"/>
              <w:jc w:val="center"/>
            </w:pPr>
            <w:r>
              <w:rPr>
                <w:rFonts w:ascii="Calibri" w:hAnsi="Calibri" w:eastAsia="Microsoft YaHei"/>
                <w:b/>
                <w:color w:val="2F3A2E"/>
                <w:sz w:val="20"/>
              </w:rPr>
              <w:t>适用场景</w:t>
            </w:r>
          </w:p>
        </w:tc>
      </w:tr>
      <w:tr>
        <w:tc>
          <w:tcPr>
            <w:tcW w:w="1400" w:type="dxa"/>
          </w:tcPr>
          <w:p>
            <w:pPr>
              <w:spacing w:before="40" w:after="40"/>
              <w:ind w:firstLine="0"/>
              <w:jc w:val="center"/>
            </w:pPr>
            <w:r>
              <w:rPr>
                <w:rFonts w:ascii="Calibri" w:hAnsi="Calibri" w:eastAsia="Microsoft YaHei"/>
                <w:color w:val="556B55"/>
                <w:sz w:val="20"/>
              </w:rPr>
              <w:t>50ms</w:t>
            </w:r>
          </w:p>
        </w:tc>
        <w:tc>
          <w:tcPr>
            <w:tcW w:w="1400" w:type="dxa"/>
          </w:tcPr>
          <w:p>
            <w:pPr>
              <w:spacing w:before="40" w:after="40"/>
              <w:ind w:firstLine="0"/>
              <w:jc w:val="center"/>
            </w:pPr>
            <w:r>
              <w:rPr>
                <w:rFonts w:ascii="Calibri" w:hAnsi="Calibri" w:eastAsia="Microsoft YaHei"/>
                <w:color w:val="556B55"/>
                <w:sz w:val="20"/>
              </w:rPr>
              <w:t>~90ms</w:t>
            </w:r>
          </w:p>
        </w:tc>
        <w:tc>
          <w:tcPr>
            <w:tcW w:w="1400" w:type="dxa"/>
          </w:tcPr>
          <w:p>
            <w:pPr>
              <w:spacing w:before="40" w:after="40"/>
              <w:ind w:firstLine="0"/>
              <w:jc w:val="center"/>
            </w:pPr>
            <w:r>
              <w:rPr>
                <w:rFonts w:ascii="Calibri" w:hAnsi="Calibri" w:eastAsia="Microsoft YaHei"/>
                <w:color w:val="556B55"/>
                <w:sz w:val="20"/>
              </w:rPr>
              <w:t>~9.1%</w:t>
            </w:r>
          </w:p>
        </w:tc>
        <w:tc>
          <w:tcPr>
            <w:tcW w:w="2600" w:type="dxa"/>
          </w:tcPr>
          <w:p>
            <w:pPr>
              <w:spacing w:before="40" w:after="40"/>
              <w:ind w:firstLine="0"/>
              <w:jc w:val="center"/>
            </w:pPr>
            <w:r>
              <w:rPr>
                <w:rFonts w:ascii="Calibri" w:hAnsi="Calibri" w:eastAsia="Microsoft YaHei"/>
                <w:color w:val="556B55"/>
                <w:sz w:val="20"/>
              </w:rPr>
              <w:t>实时字幕（延迟优先）</w:t>
            </w:r>
          </w:p>
        </w:tc>
      </w:tr>
      <w:tr>
        <w:tc>
          <w:tcPr>
            <w:tcW w:w="1400" w:type="dxa"/>
          </w:tcPr>
          <w:p>
            <w:pPr>
              <w:spacing w:before="40" w:after="40"/>
              <w:ind w:firstLine="0"/>
              <w:jc w:val="center"/>
            </w:pPr>
            <w:r>
              <w:rPr>
                <w:rFonts w:ascii="Calibri" w:hAnsi="Calibri" w:eastAsia="Microsoft YaHei"/>
                <w:color w:val="556B55"/>
                <w:sz w:val="20"/>
              </w:rPr>
              <w:t>100ms</w:t>
            </w:r>
          </w:p>
        </w:tc>
        <w:tc>
          <w:tcPr>
            <w:tcW w:w="1400" w:type="dxa"/>
          </w:tcPr>
          <w:p>
            <w:pPr>
              <w:spacing w:before="40" w:after="40"/>
              <w:ind w:firstLine="0"/>
              <w:jc w:val="center"/>
            </w:pPr>
            <w:r>
              <w:rPr>
                <w:rFonts w:ascii="Calibri" w:hAnsi="Calibri" w:eastAsia="Microsoft YaHei"/>
                <w:color w:val="556B55"/>
                <w:sz w:val="20"/>
              </w:rPr>
              <w:t>~150ms</w:t>
            </w:r>
          </w:p>
        </w:tc>
        <w:tc>
          <w:tcPr>
            <w:tcW w:w="1400" w:type="dxa"/>
          </w:tcPr>
          <w:p>
            <w:pPr>
              <w:spacing w:before="40" w:after="40"/>
              <w:ind w:firstLine="0"/>
              <w:jc w:val="center"/>
            </w:pPr>
            <w:r>
              <w:rPr>
                <w:rFonts w:ascii="Calibri" w:hAnsi="Calibri" w:eastAsia="Microsoft YaHei"/>
                <w:color w:val="556B55"/>
                <w:sz w:val="20"/>
              </w:rPr>
              <w:t>~7.3%</w:t>
            </w:r>
          </w:p>
        </w:tc>
        <w:tc>
          <w:tcPr>
            <w:tcW w:w="2600" w:type="dxa"/>
          </w:tcPr>
          <w:p>
            <w:pPr>
              <w:spacing w:before="40" w:after="40"/>
              <w:ind w:firstLine="0"/>
              <w:jc w:val="center"/>
            </w:pPr>
            <w:r>
              <w:rPr>
                <w:rFonts w:ascii="Calibri" w:hAnsi="Calibri" w:eastAsia="Microsoft YaHei"/>
                <w:color w:val="556B55"/>
                <w:sz w:val="20"/>
              </w:rPr>
              <w:t>通用实时转写（平衡）</w:t>
            </w:r>
          </w:p>
        </w:tc>
      </w:tr>
      <w:tr>
        <w:tc>
          <w:tcPr>
            <w:tcW w:w="1400" w:type="dxa"/>
          </w:tcPr>
          <w:p>
            <w:pPr>
              <w:spacing w:before="40" w:after="40"/>
              <w:ind w:firstLine="0"/>
              <w:jc w:val="center"/>
            </w:pPr>
            <w:r>
              <w:rPr>
                <w:rFonts w:ascii="Calibri" w:hAnsi="Calibri" w:eastAsia="Microsoft YaHei"/>
                <w:color w:val="556B55"/>
                <w:sz w:val="20"/>
              </w:rPr>
              <w:t>200ms</w:t>
            </w:r>
          </w:p>
        </w:tc>
        <w:tc>
          <w:tcPr>
            <w:tcW w:w="1400" w:type="dxa"/>
          </w:tcPr>
          <w:p>
            <w:pPr>
              <w:spacing w:before="40" w:after="40"/>
              <w:ind w:firstLine="0"/>
              <w:jc w:val="center"/>
            </w:pPr>
            <w:r>
              <w:rPr>
                <w:rFonts w:ascii="Calibri" w:hAnsi="Calibri" w:eastAsia="Microsoft YaHei"/>
                <w:color w:val="556B55"/>
                <w:sz w:val="20"/>
              </w:rPr>
              <w:t>~240ms</w:t>
            </w:r>
          </w:p>
        </w:tc>
        <w:tc>
          <w:tcPr>
            <w:tcW w:w="1400" w:type="dxa"/>
          </w:tcPr>
          <w:p>
            <w:pPr>
              <w:spacing w:before="40" w:after="40"/>
              <w:ind w:firstLine="0"/>
              <w:jc w:val="center"/>
            </w:pPr>
            <w:r>
              <w:rPr>
                <w:rFonts w:ascii="Calibri" w:hAnsi="Calibri" w:eastAsia="Microsoft YaHei"/>
                <w:color w:val="556B55"/>
                <w:sz w:val="20"/>
              </w:rPr>
              <w:t>~6.5%</w:t>
            </w:r>
          </w:p>
        </w:tc>
        <w:tc>
          <w:tcPr>
            <w:tcW w:w="2600" w:type="dxa"/>
          </w:tcPr>
          <w:p>
            <w:pPr>
              <w:spacing w:before="40" w:after="40"/>
              <w:ind w:firstLine="0"/>
              <w:jc w:val="center"/>
            </w:pPr>
            <w:r>
              <w:rPr>
                <w:rFonts w:ascii="Calibri" w:hAnsi="Calibri" w:eastAsia="Microsoft YaHei"/>
                <w:color w:val="556B55"/>
                <w:sz w:val="20"/>
              </w:rPr>
              <w:t>高精度听写（精度优先）</w:t>
            </w:r>
          </w:p>
        </w:tc>
      </w:tr>
      <w:tr>
        <w:tc>
          <w:tcPr>
            <w:tcW w:w="1400" w:type="dxa"/>
          </w:tcPr>
          <w:p>
            <w:pPr>
              <w:spacing w:before="40" w:after="40"/>
              <w:ind w:firstLine="0"/>
              <w:jc w:val="center"/>
            </w:pPr>
            <w:r>
              <w:rPr>
                <w:rFonts w:ascii="Calibri" w:hAnsi="Calibri" w:eastAsia="Microsoft YaHei"/>
                <w:color w:val="556B55"/>
                <w:sz w:val="20"/>
              </w:rPr>
              <w:t>动态调整</w:t>
            </w:r>
          </w:p>
        </w:tc>
        <w:tc>
          <w:tcPr>
            <w:tcW w:w="1400" w:type="dxa"/>
          </w:tcPr>
          <w:p>
            <w:pPr>
              <w:spacing w:before="40" w:after="40"/>
              <w:ind w:firstLine="0"/>
              <w:jc w:val="center"/>
            </w:pPr>
            <w:r>
              <w:rPr>
                <w:rFonts w:ascii="Calibri" w:hAnsi="Calibri" w:eastAsia="Microsoft YaHei"/>
                <w:color w:val="556B55"/>
                <w:sz w:val="20"/>
              </w:rPr>
              <w:t>90-240ms</w:t>
            </w:r>
          </w:p>
        </w:tc>
        <w:tc>
          <w:tcPr>
            <w:tcW w:w="1400" w:type="dxa"/>
          </w:tcPr>
          <w:p>
            <w:pPr>
              <w:spacing w:before="40" w:after="40"/>
              <w:ind w:firstLine="0"/>
              <w:jc w:val="center"/>
            </w:pPr>
            <w:r>
              <w:rPr>
                <w:rFonts w:ascii="Calibri" w:hAnsi="Calibri" w:eastAsia="Microsoft YaHei"/>
                <w:color w:val="556B55"/>
                <w:sz w:val="20"/>
              </w:rPr>
              <w:t>~7.0%</w:t>
            </w:r>
          </w:p>
        </w:tc>
        <w:tc>
          <w:tcPr>
            <w:tcW w:w="2600" w:type="dxa"/>
          </w:tcPr>
          <w:p>
            <w:pPr>
              <w:spacing w:before="40" w:after="40"/>
              <w:ind w:firstLine="0"/>
              <w:jc w:val="center"/>
            </w:pPr>
            <w:r>
              <w:rPr>
                <w:rFonts w:ascii="Calibri" w:hAnsi="Calibri" w:eastAsia="Microsoft YaHei"/>
                <w:color w:val="556B55"/>
                <w:sz w:val="20"/>
              </w:rPr>
              <w:t>智能场景切换（推荐）</w:t>
            </w:r>
          </w:p>
        </w:tc>
      </w:tr>
    </w:tbl>
    <w:p>
      <w:r>
        <w:t>实践表明，端到端延迟可从初始的1200ms优化至450ms以下，内存占用减少70%，单机QPS从800提升至1500+。</w:t>
      </w:r>
    </w:p>
    <w:p>
      <w:pPr>
        <w:pStyle w:val="Heading2"/>
      </w:pPr>
      <w:r>
        <w:t>4.3 实时+离线混合架构</w:t>
      </w:r>
    </w:p>
    <w:p>
      <w:r>
        <w:t>系统采用实时与离线双模式协同的混合架构，两种模式共享底层引擎和术语库，但执行不同的处理流程：</w:t>
      </w:r>
    </w:p>
    <w:p>
      <w:pPr>
        <w:numPr>
          <w:ilvl w:val="0"/>
          <w:numId w:val="1"/>
        </w:numPr>
        <w:ind w:firstLine="0"/>
      </w:pPr>
      <w:r>
        <w:t>实时模式（流式处理）：麦克风/WebRTC音频流 → VAD检测 → 分块编码 → 流式解码 → 实时字幕展示。适用于课程直播、在线带练等场景，追求低延迟</w:t>
      </w:r>
    </w:p>
    <w:p>
      <w:pPr>
        <w:numPr>
          <w:ilvl w:val="0"/>
          <w:numId w:val="1"/>
        </w:numPr>
        <w:ind w:firstLine="0"/>
      </w:pPr>
      <w:r>
        <w:t>离线模式（整段处理）：音频文件上传 → 格式转换 → 降噪处理 → 整段识别 → 后处理优化。适用于历史音频批量转写，追求高精度</w:t>
      </w:r>
    </w:p>
    <w:p>
      <w:pPr>
        <w:numPr>
          <w:ilvl w:val="0"/>
          <w:numId w:val="1"/>
        </w:numPr>
        <w:ind w:firstLine="0"/>
      </w:pPr>
      <w:r>
        <w:t>混合模式（智能切换）：实时转写过程中自动保存原始音频，课后使用离线模式对同一段音频进行精校，精校结果纳入反馈学习池。实现即时可用+后续精修的双重保障</w:t>
      </w:r>
    </w:p>
    <w:p>
      <w:r>
        <w:t>两种模式共享领域模型（热词表、微调后的声学模型和语言模型），确保实时模式的术语识别能力与离线模式保持一致。当离线模式的反馈学习更新模型后，实时模式可热加载新版本，实现全局能力同步提升。</w:t>
      </w:r>
    </w:p>
    <w:p>
      <w:r>
        <w:t>技术实现上，采用WebSocket作为实时音频传输协议（相比HTTP轮询，延迟降低90%），服务端使用异步架构（Python asyncio/WebSocket）处理并发音频流，配合环形缓冲区管理音频数据，确保在高并发场景下的稳定性。</w:t>
      </w:r>
    </w:p>
    <w:p>
      <w:pPr>
        <w:pStyle w:val="Heading1"/>
      </w:pPr>
      <w:r>
        <w:t>五、核心功能模块设计</w:t>
      </w:r>
      <w:bookmarkStart w:name="_Toc005" w:id="6"/>
      <w:bookmarkEnd w:id="6"/>
    </w:p>
    <w:p>
      <w:pPr>
        <w:pStyle w:val="Heading2"/>
      </w:pPr>
      <w:r>
        <w:t>4.1 音频预处理模块</w:t>
      </w:r>
    </w:p>
    <w:p>
      <w:pPr>
        <w:numPr>
          <w:ilvl w:val="0"/>
          <w:numId w:val="1"/>
        </w:numPr>
        <w:ind w:firstLine="0"/>
      </w:pPr>
      <w:r>
        <w:t>格式统一：自动将MP3、M4A、WAV、FLAC等格式转换为16kHz采样率单声道WAV</w:t>
      </w:r>
    </w:p>
    <w:p>
      <w:pPr>
        <w:numPr>
          <w:ilvl w:val="0"/>
          <w:numId w:val="1"/>
        </w:numPr>
        <w:ind w:firstLine="0"/>
      </w:pPr>
      <w:r>
        <w:t>语音活动检测（VAD）：基于Silero VAD算法自动切分有效语音段，跳过静音和噪音</w:t>
      </w:r>
    </w:p>
    <w:p>
      <w:pPr>
        <w:numPr>
          <w:ilvl w:val="0"/>
          <w:numId w:val="1"/>
        </w:numPr>
        <w:ind w:firstLine="0"/>
      </w:pPr>
      <w:r>
        <w:t>智能降噪：集成noisereduce等开源降噪库，对有明显背景噪音的音频进行预处理</w:t>
      </w:r>
    </w:p>
    <w:p>
      <w:pPr>
        <w:numPr>
          <w:ilvl w:val="0"/>
          <w:numId w:val="1"/>
        </w:numPr>
        <w:ind w:firstLine="0"/>
      </w:pPr>
      <w:r>
        <w:t>长音频分段：对超过5分钟的音频按句/段自动切分，避免显存溢出</w:t>
      </w:r>
    </w:p>
    <w:p>
      <w:pPr>
        <w:pStyle w:val="Heading2"/>
      </w:pPr>
      <w:r>
        <w:t>4.2 ASR识别引擎模块</w:t>
      </w:r>
    </w:p>
    <w:p>
      <w:pPr>
        <w:numPr>
          <w:ilvl w:val="0"/>
          <w:numId w:val="1"/>
        </w:numPr>
        <w:ind w:firstLine="0"/>
      </w:pPr>
      <w:r>
        <w:t>双引擎调度：根据音频特征自动选择SenseVoice（标准音质）或Whisper（困难音频）</w:t>
      </w:r>
    </w:p>
    <w:p>
      <w:pPr>
        <w:numPr>
          <w:ilvl w:val="0"/>
          <w:numId w:val="1"/>
        </w:numPr>
        <w:ind w:firstLine="0"/>
      </w:pPr>
      <w:r>
        <w:t>热词注入：加载禅修术语热词表，提升专业词汇识别优先级</w:t>
      </w:r>
    </w:p>
    <w:p>
      <w:pPr>
        <w:numPr>
          <w:ilvl w:val="0"/>
          <w:numId w:val="1"/>
        </w:numPr>
        <w:ind w:firstLine="0"/>
      </w:pPr>
      <w:r>
        <w:t>语言模型融合：集成N-gram语言模型，利用上下文语义提升识别连贯性</w:t>
      </w:r>
    </w:p>
    <w:p>
      <w:pPr>
        <w:numPr>
          <w:ilvl w:val="0"/>
          <w:numId w:val="1"/>
        </w:numPr>
        <w:ind w:firstLine="0"/>
      </w:pPr>
      <w:r>
        <w:t>多说话人区分：支持老师引导语与学员问答的说话人分离标注</w:t>
      </w:r>
    </w:p>
    <w:p>
      <w:pPr>
        <w:pStyle w:val="Heading2"/>
      </w:pPr>
      <w:r>
        <w:t>4.3 转录编辑与校对模块</w:t>
      </w:r>
    </w:p>
    <w:p>
      <w:pPr>
        <w:numPr>
          <w:ilvl w:val="0"/>
          <w:numId w:val="1"/>
        </w:numPr>
        <w:ind w:firstLine="0"/>
      </w:pPr>
      <w:r>
        <w:t>同步播放：点击文字定位音频位置，支持复读和慢放</w:t>
      </w:r>
    </w:p>
    <w:p>
      <w:pPr>
        <w:numPr>
          <w:ilvl w:val="0"/>
          <w:numId w:val="1"/>
        </w:numPr>
        <w:ind w:firstLine="0"/>
      </w:pPr>
      <w:r>
        <w:t>时间戳编辑：支持逐句调整起止时间，精确对齐语音与文字</w:t>
      </w:r>
    </w:p>
    <w:p>
      <w:pPr>
        <w:numPr>
          <w:ilvl w:val="0"/>
          <w:numId w:val="1"/>
        </w:numPr>
        <w:ind w:firstLine="0"/>
      </w:pPr>
      <w:r>
        <w:t>术语高亮：自动识别并高亮禅修专业术语，方便校对</w:t>
      </w:r>
    </w:p>
    <w:p>
      <w:pPr>
        <w:numPr>
          <w:ilvl w:val="0"/>
          <w:numId w:val="1"/>
        </w:numPr>
        <w:ind w:firstLine="0"/>
      </w:pPr>
      <w:r>
        <w:t>批量导出：支持导出为TXT、SRT字幕、Word文档等多种格式</w:t>
      </w:r>
    </w:p>
    <w:p>
      <w:pPr>
        <w:pStyle w:val="Heading2"/>
      </w:pPr>
      <w:r>
        <w:t>4.4 反馈收集与管理模块</w:t>
      </w:r>
    </w:p>
    <w:p>
      <w:pPr>
        <w:numPr>
          <w:ilvl w:val="0"/>
          <w:numId w:val="1"/>
        </w:numPr>
        <w:ind w:firstLine="0"/>
      </w:pPr>
      <w:r>
        <w:t>纠错标记：用户修改识别结果时自动记录错误类型（替换、删除、插入）</w:t>
      </w:r>
    </w:p>
    <w:p>
      <w:pPr>
        <w:numPr>
          <w:ilvl w:val="0"/>
          <w:numId w:val="1"/>
        </w:numPr>
        <w:ind w:firstLine="0"/>
      </w:pPr>
      <w:r>
        <w:t>错误归因：基于规则引擎和NLP相似度自动分类错误原因</w:t>
      </w:r>
    </w:p>
    <w:p>
      <w:pPr>
        <w:numPr>
          <w:ilvl w:val="0"/>
          <w:numId w:val="1"/>
        </w:numPr>
        <w:ind w:firstLine="0"/>
      </w:pPr>
      <w:r>
        <w:t>训练数据生成：将纠错记录自动格式化为模型训练所需的语料对</w:t>
      </w:r>
    </w:p>
    <w:p>
      <w:pPr>
        <w:numPr>
          <w:ilvl w:val="0"/>
          <w:numId w:val="1"/>
        </w:numPr>
        <w:ind w:firstLine="0"/>
      </w:pPr>
      <w:r>
        <w:t>质量统计：展示术语识别准确率、整体CER/WER等指标趋势</w:t>
      </w:r>
    </w:p>
    <w:p>
      <w:pPr>
        <w:pStyle w:val="Heading1"/>
      </w:pPr>
      <w:r>
        <w:t>六、自动模式挖掘与类人智能校对</w:t>
      </w:r>
      <w:bookmarkStart w:name="_Toc006" w:id="7"/>
      <w:bookmarkEnd w:id="7"/>
    </w:p>
    <w:p>
      <w:pPr>
        <w:pStyle w:val="Heading2"/>
        <w:spacing w:line="360" w:lineRule="auto"/>
        <w:ind w:firstLine="0"/>
      </w:pPr>
      <w:r/>
      <w:r>
        <w:rPr>
          <w:rFonts w:eastAsia="Microsoft YaHei"/>
          <w:rFonts w:ascii="Calibri" w:hAnsi="Calibri"/>
          <w:b/>
          <w:color w:val="2F3A2E"/>
          <w:sz w:val="28"/>
        </w:rPr>
        <w:t>5.1 自动模式挖掘</w:t>
      </w:r>
    </w:p>
    <w:p>
      <w:pPr>
        <w:spacing w:line="360" w:lineRule="auto"/>
        <w:ind w:firstLine="420"/>
      </w:pPr>
      <w:r>
        <w:t>禅修课程的文本中存在大量程式化的固定表达——这些表达结构极为相似，仅有个别用词不同，例如“请各位师兄找个舒适的姿势坐好”与“请大家找一个舒服的姿势坐下来”。系统不依赖人工维护的术语库，而是自动从训练文本和转写文本中挖掘这些程式化表达，作为语音识别和LLM校对的辅助依据。自动模式挖掘采用以下方法：</w:t>
      </w:r>
    </w:p>
    <w:p>
      <w:pPr>
        <w:numPr>
          <w:ilvl w:val="0"/>
          <w:numId w:val="1"/>
        </w:numPr>
        <w:spacing w:line="360" w:lineRule="auto"/>
        <w:ind w:firstLine="420"/>
      </w:pPr>
      <w:r/>
      <w:r>
        <w:rPr>
          <w:rFonts w:eastAsia="Microsoft YaHei"/>
          <w:rFonts w:ascii="Calibri" w:hAnsi="Calibri"/>
          <w:color w:val="2F3A2E"/>
          <w:sz w:val="21"/>
        </w:rPr>
        <w:t>AutoPhrase远程监督短语挖掘：基于韩家炜团队提出的AutoPhrase框架，使用通用知识库（如Wikipedia）构建正样本池，利用POS词性标注引导短语分割，通过随机森林分类器自动评估短语质量。系统从已有文稿中提取高质量短语，自动识别出“四念处”“安那般那”“奢摩他”等核心术语，以及“请大家坐好”“让我们一起”“现在我们来”等程式化开头。整个过程无需人工标注，只需提供文本语料即可自动运行。</w:t>
      </w:r>
    </w:p>
    <w:p>
      <w:pPr>
        <w:numPr>
          <w:ilvl w:val="0"/>
          <w:numId w:val="1"/>
        </w:numPr>
        <w:spacing w:line="360" w:lineRule="auto"/>
        <w:ind w:firstLine="420"/>
      </w:pPr>
      <w:r/>
      <w:r>
        <w:rPr>
          <w:rFonts w:eastAsia="Microsoft YaHei"/>
          <w:rFonts w:ascii="Calibri" w:hAnsi="Calibri"/>
          <w:color w:val="2F3A2E"/>
          <w:sz w:val="21"/>
        </w:rPr>
        <w:t>统计特征自动提取：系统计算候选表达的多维统计特征来评估其质量。包括点互信息（PMI）衡量内部一致性——高质量短语的字与字之间应有高于偶然共现的相关性；左右信息熵衡量完整性——真正的短语前后应有丰富的上下文变化；TF-IDF衡量领域特异性——在禅修文本中高频但在通用文本中低频的表达更有价值。这些统计特征共同构成短语质量的评分体系。</w:t>
      </w:r>
    </w:p>
    <w:p>
      <w:pPr>
        <w:numPr>
          <w:ilvl w:val="0"/>
          <w:numId w:val="1"/>
        </w:numPr>
        <w:spacing w:line="360" w:lineRule="auto"/>
        <w:ind w:firstLine="420"/>
      </w:pPr>
      <w:r/>
      <w:r>
        <w:rPr>
          <w:rFonts w:eastAsia="Microsoft YaHei"/>
          <w:rFonts w:ascii="Calibri" w:hAnsi="Calibri"/>
          <w:color w:val="2F3A2E"/>
          <w:sz w:val="21"/>
        </w:rPr>
        <w:t>N-gram模式挖掘与变体聚类：系统对文本进行n-gram（n=2到8）扫描，提取频繁出现的连续词序列。对于每个高频n-gram，通过编辑距离（Levenshtein Distance）和语义嵌入余弦相似度，聚类发现其文本变体——如“请各位师兄找个舒适的姿势坐好”（编辑距离8，语义相似度0.96）与“请大家找一个舒服的姿势坐下来”被识别为同一程式化表达的变体。变体簇的核心表达（出现频率最高的版本）作为标准形式保存，其他变体作为参考形式关联。</w:t>
      </w:r>
    </w:p>
    <w:p>
      <w:pPr>
        <w:numPr>
          <w:ilvl w:val="0"/>
          <w:numId w:val="1"/>
        </w:numPr>
        <w:spacing w:line="360" w:lineRule="auto"/>
        <w:ind w:firstLine="420"/>
      </w:pPr>
      <w:r/>
      <w:r>
        <w:rPr>
          <w:rFonts w:eastAsia="Microsoft YaHei"/>
          <w:rFonts w:ascii="Calibri" w:hAnsi="Calibri"/>
          <w:color w:val="2F3A2E"/>
          <w:sz w:val="21"/>
        </w:rPr>
        <w:t>持续挖掘与增量更新：每当新增转写文本或校对修正后，系统自动触发增量挖掘流程。新发现的程式化表达和变体被追加到模式库中，已存在的模式的使用频率和变体关系同步更新。模式库支持导出为JSON文件，便于团队共享和版本管理。挖掘结果以可视化方式展示：核心表达、变体列表、使用频率、出现场景等，用户可手动审核和标记重要模式，标记结果优先用于后续校正。</w:t>
      </w:r>
    </w:p>
    <w:p>
      <w:pPr>
        <w:pStyle w:val="Heading2"/>
        <w:spacing w:line="360" w:lineRule="auto"/>
        <w:ind w:firstLine="0"/>
      </w:pPr>
      <w:r/>
      <w:r>
        <w:rPr>
          <w:rFonts w:eastAsia="Microsoft YaHei"/>
          <w:rFonts w:ascii="Calibri" w:hAnsi="Calibri"/>
          <w:b/>
          <w:color w:val="2F3A2E"/>
          <w:sz w:val="28"/>
        </w:rPr>
        <w:t>5.2 模式驱动的语音识别增强</w:t>
      </w:r>
    </w:p>
    <w:p>
      <w:pPr>
        <w:spacing w:line="360" w:lineRule="auto"/>
        <w:ind w:firstLine="420"/>
      </w:pPr>
      <w:r>
        <w:t>挖掘出的程式化表达和术语变体被用于增强ASR引擎的识别能力，替代传统的人工维护的术语库。以下为基于模式的三层次增强策略：</w:t>
      </w:r>
    </w:p>
    <w:p>
      <w:pPr>
        <w:numPr>
          <w:ilvl w:val="0"/>
          <w:numId w:val="1"/>
        </w:numPr>
        <w:spacing w:line="360" w:lineRule="auto"/>
        <w:ind w:firstLine="420"/>
      </w:pPr>
      <w:r/>
      <w:r>
        <w:rPr>
          <w:rFonts w:eastAsia="Microsoft YaHei"/>
          <w:rFonts w:ascii="Calibri" w:hAnsi="Calibri"/>
          <w:color w:val="2F3A2E"/>
          <w:sz w:val="21"/>
        </w:rPr>
        <w:t>第一层：热词自动注入（即时生效）—— 系统自动将挖掘出的高频程式化表达和术语生成热词文件加载到ASR引擎。当语音识别中出现与热词编辑距离&lt;=2的候选时，优先匹配热词库中的标准形式。适合数据量较少的启动阶段，无需人工干预。</w:t>
      </w:r>
    </w:p>
    <w:p>
      <w:pPr>
        <w:numPr>
          <w:ilvl w:val="0"/>
          <w:numId w:val="1"/>
        </w:numPr>
        <w:spacing w:line="360" w:lineRule="auto"/>
        <w:ind w:firstLine="420"/>
      </w:pPr>
      <w:r/>
      <w:r>
        <w:rPr>
          <w:rFonts w:eastAsia="Microsoft YaHei"/>
          <w:rFonts w:ascii="Calibri" w:hAnsi="Calibri"/>
          <w:color w:val="2F3A2E"/>
          <w:sz w:val="21"/>
        </w:rPr>
        <w:t>第二层：语言模型微调（数小时级）—— 利用自动挖掘的程式化表达构建领域语料，微调N-gram或神经网络语言模型。语言模型学习到“请大家...坐好”的上下文模式后，在解码阶段即使ASR声学模型输出的是“请大家做豪”，语言模型也能基于模式概率校正为“请大家坐好”。此阶段需要至少10小时的标注音频数据。</w:t>
      </w:r>
    </w:p>
    <w:p>
      <w:pPr>
        <w:numPr>
          <w:ilvl w:val="0"/>
          <w:numId w:val="1"/>
        </w:numPr>
        <w:spacing w:line="360" w:lineRule="auto"/>
        <w:ind w:firstLine="420"/>
      </w:pPr>
      <w:r/>
      <w:r>
        <w:rPr>
          <w:rFonts w:eastAsia="Microsoft YaHei"/>
          <w:rFonts w:ascii="Calibri" w:hAnsi="Calibri"/>
          <w:color w:val="2F3A2E"/>
          <w:sz w:val="21"/>
        </w:rPr>
        <w:t>第三层：声学模型微调（天级）—— 当积累的音频-文本对达到阈值（建议50小时以上），使用LoRA技术对声学模型进行参数高效微调。自动挖掘的程式化表达和变体关系作为辅助监督信号，帮助模型学习领域特有的发音模式。实验表明，结合自动模式挖掘的微调可将专业术语识别率从60%-70%提升至95%以上，且无需任何人工术语标注。</w:t>
      </w:r>
    </w:p>
    <w:p>
      <w:pPr>
        <w:pStyle w:val="Heading2"/>
      </w:pPr>
      <w:r>
        <w:t>5.3 音频质量适配</w:t>
      </w:r>
    </w:p>
    <w:p>
      <w:r>
        <w:t>禅修课程录音常存在以下质量问题，需要针对性处理：</w:t>
      </w:r>
    </w:p>
    <w:tbl>
      <w:tblPr>
        <w:tblW w:w="5000" w:type="pct"/>
        <w:tblBorders>
          <w:top w:val="single" w:color="4A6741" w:sz="12"/>
          <w:left w:val="nil"/>
          <w:bottom w:val="single" w:color="4A6741" w:sz="12"/>
          <w:right w:val="nil"/>
          <w:insideH w:val="single" w:color="D5DDD5" w:sz="4"/>
        </w:tblBorders>
      </w:tblPr>
      <w:tblGrid>
        <w:gridCol w:w="2200"/>
        <w:gridCol w:w="5000"/>
      </w:tblGrid>
      <w:tr>
        <w:trPr>
          <w:tblHeader/>
        </w:trPr>
        <w:tc>
          <w:tcPr>
            <w:tcW w:w="2200" w:type="dxa"/>
            <w:shd w:val="clear" w:fill="EDF1ED"/>
          </w:tcPr>
          <w:p>
            <w:pPr>
              <w:spacing w:before="40" w:after="40"/>
              <w:ind w:firstLine="0"/>
              <w:jc w:val="center"/>
            </w:pPr>
            <w:r>
              <w:rPr>
                <w:rFonts w:ascii="Calibri" w:hAnsi="Calibri" w:eastAsia="Microsoft YaHei"/>
                <w:b/>
                <w:color w:val="2F3A2E"/>
                <w:sz w:val="20"/>
              </w:rPr>
              <w:t>质量问题</w:t>
            </w:r>
          </w:p>
        </w:tc>
        <w:tc>
          <w:tcPr>
            <w:tcW w:w="5000" w:type="dxa"/>
            <w:shd w:val="clear" w:fill="EDF1ED"/>
          </w:tcPr>
          <w:p>
            <w:pPr>
              <w:spacing w:before="40" w:after="40"/>
              <w:ind w:firstLine="0"/>
              <w:jc w:val="center"/>
            </w:pPr>
            <w:r>
              <w:rPr>
                <w:rFonts w:ascii="Calibri" w:hAnsi="Calibri" w:eastAsia="Microsoft YaHei"/>
                <w:b/>
                <w:color w:val="2F3A2E"/>
                <w:sz w:val="20"/>
              </w:rPr>
              <w:t>处理策略</w:t>
            </w:r>
          </w:p>
        </w:tc>
      </w:tr>
      <w:tr>
        <w:tc>
          <w:tcPr>
            <w:tcW w:w="2200" w:type="dxa"/>
          </w:tcPr>
          <w:p>
            <w:pPr>
              <w:spacing w:before="40" w:after="40"/>
              <w:ind w:firstLine="0"/>
              <w:jc w:val="center"/>
            </w:pPr>
            <w:r>
              <w:rPr>
                <w:rFonts w:ascii="Calibri" w:hAnsi="Calibri" w:eastAsia="Microsoft YaHei"/>
                <w:color w:val="556B55"/>
                <w:sz w:val="20"/>
              </w:rPr>
              <w:t>录音设备差异大</w:t>
            </w:r>
          </w:p>
        </w:tc>
        <w:tc>
          <w:tcPr>
            <w:tcW w:w="5000" w:type="dxa"/>
          </w:tcPr>
          <w:p>
            <w:pPr>
              <w:spacing w:before="40" w:after="40"/>
              <w:ind w:firstLine="0"/>
              <w:jc w:val="center"/>
            </w:pPr>
            <w:r>
              <w:rPr>
                <w:rFonts w:ascii="Calibri" w:hAnsi="Calibri" w:eastAsia="Microsoft YaHei"/>
                <w:color w:val="556B55"/>
                <w:sz w:val="20"/>
              </w:rPr>
              <w:t>自动音量归一化 + 动态范围压缩</w:t>
            </w:r>
          </w:p>
        </w:tc>
      </w:tr>
      <w:tr>
        <w:tc>
          <w:tcPr>
            <w:tcW w:w="2200" w:type="dxa"/>
          </w:tcPr>
          <w:p>
            <w:pPr>
              <w:spacing w:before="40" w:after="40"/>
              <w:ind w:firstLine="0"/>
              <w:jc w:val="center"/>
            </w:pPr>
            <w:r>
              <w:rPr>
                <w:rFonts w:ascii="Calibri" w:hAnsi="Calibri" w:eastAsia="Microsoft YaHei"/>
                <w:color w:val="556B55"/>
                <w:sz w:val="20"/>
              </w:rPr>
              <w:t>背景噪音（钟声、风声）</w:t>
            </w:r>
          </w:p>
        </w:tc>
        <w:tc>
          <w:tcPr>
            <w:tcW w:w="5000" w:type="dxa"/>
          </w:tcPr>
          <w:p>
            <w:pPr>
              <w:spacing w:before="40" w:after="40"/>
              <w:ind w:firstLine="0"/>
              <w:jc w:val="center"/>
            </w:pPr>
            <w:r>
              <w:rPr>
                <w:rFonts w:ascii="Calibri" w:hAnsi="Calibri" w:eastAsia="Microsoft YaHei"/>
                <w:color w:val="556B55"/>
                <w:sz w:val="20"/>
              </w:rPr>
              <w:t>noisereduce降噪 + VAD精准切分</w:t>
            </w:r>
          </w:p>
        </w:tc>
      </w:tr>
      <w:tr>
        <w:tc>
          <w:tcPr>
            <w:tcW w:w="2200" w:type="dxa"/>
          </w:tcPr>
          <w:p>
            <w:pPr>
              <w:spacing w:before="40" w:after="40"/>
              <w:ind w:firstLine="0"/>
              <w:jc w:val="center"/>
            </w:pPr>
            <w:r>
              <w:rPr>
                <w:rFonts w:ascii="Calibri" w:hAnsi="Calibri" w:eastAsia="Microsoft YaHei"/>
                <w:color w:val="556B55"/>
                <w:sz w:val="20"/>
              </w:rPr>
              <w:t>远距离收音声音小</w:t>
            </w:r>
          </w:p>
        </w:tc>
        <w:tc>
          <w:tcPr>
            <w:tcW w:w="5000" w:type="dxa"/>
          </w:tcPr>
          <w:p>
            <w:pPr>
              <w:spacing w:before="40" w:after="40"/>
              <w:ind w:firstLine="0"/>
              <w:jc w:val="center"/>
            </w:pPr>
            <w:r>
              <w:rPr>
                <w:rFonts w:ascii="Calibri" w:hAnsi="Calibri" w:eastAsia="Microsoft YaHei"/>
                <w:color w:val="556B55"/>
                <w:sz w:val="20"/>
              </w:rPr>
              <w:t>音频增益 + 语音增强（DFA-Net）</w:t>
            </w:r>
          </w:p>
        </w:tc>
      </w:tr>
      <w:tr>
        <w:tc>
          <w:tcPr>
            <w:tcW w:w="2200" w:type="dxa"/>
          </w:tcPr>
          <w:p>
            <w:pPr>
              <w:spacing w:before="40" w:after="40"/>
              <w:ind w:firstLine="0"/>
              <w:jc w:val="center"/>
            </w:pPr>
            <w:r>
              <w:rPr>
                <w:rFonts w:ascii="Calibri" w:hAnsi="Calibri" w:eastAsia="Microsoft YaHei"/>
                <w:color w:val="556B55"/>
                <w:sz w:val="20"/>
              </w:rPr>
              <w:t>多人对话重叠</w:t>
            </w:r>
          </w:p>
        </w:tc>
        <w:tc>
          <w:tcPr>
            <w:tcW w:w="5000" w:type="dxa"/>
          </w:tcPr>
          <w:p>
            <w:pPr>
              <w:spacing w:before="40" w:after="40"/>
              <w:ind w:firstLine="0"/>
              <w:jc w:val="center"/>
            </w:pPr>
            <w:r>
              <w:rPr>
                <w:rFonts w:ascii="Calibri" w:hAnsi="Calibri" w:eastAsia="Microsoft YaHei"/>
                <w:color w:val="556B55"/>
                <w:sz w:val="20"/>
              </w:rPr>
              <w:t>说话人分离（pyannote.audio）</w:t>
            </w:r>
          </w:p>
        </w:tc>
      </w:tr>
      <w:tr>
        <w:tc>
          <w:tcPr>
            <w:tcW w:w="2200" w:type="dxa"/>
          </w:tcPr>
          <w:p>
            <w:pPr>
              <w:spacing w:before="40" w:after="40"/>
              <w:ind w:firstLine="0"/>
              <w:jc w:val="center"/>
            </w:pPr>
            <w:r>
              <w:rPr>
                <w:rFonts w:ascii="Calibri" w:hAnsi="Calibri" w:eastAsia="Microsoft YaHei"/>
                <w:color w:val="556B55"/>
                <w:sz w:val="20"/>
              </w:rPr>
              <w:t>语速不均（引导时慢、问答时快）</w:t>
            </w:r>
          </w:p>
        </w:tc>
        <w:tc>
          <w:tcPr>
            <w:tcW w:w="5000" w:type="dxa"/>
          </w:tcPr>
          <w:p>
            <w:pPr>
              <w:spacing w:before="40" w:after="40"/>
              <w:ind w:firstLine="0"/>
              <w:jc w:val="center"/>
            </w:pPr>
            <w:r>
              <w:rPr>
                <w:rFonts w:ascii="Calibri" w:hAnsi="Calibri" w:eastAsia="Microsoft YaHei"/>
                <w:color w:val="556B55"/>
                <w:sz w:val="20"/>
              </w:rPr>
              <w:t>自适应解码参数调整</w:t>
            </w:r>
          </w:p>
        </w:tc>
      </w:tr>
    </w:tbl>
    <w:p>
      <w:pPr>
        <w:pStyle w:val="Heading1"/>
      </w:pPr>
      <w:r>
        <w:t>七、反馈学习与持续优化机制</w:t>
      </w:r>
      <w:bookmarkStart w:name="_Toc007" w:id="8"/>
      <w:bookmarkEnd w:id="8"/>
    </w:p>
    <w:p>
      <w:pPr>
        <w:pStyle w:val="Heading2"/>
      </w:pPr>
      <w:r>
        <w:t>6.1 反馈闭环设计</w:t>
      </w:r>
    </w:p>
    <w:p>
      <w:r>
        <w:t>系统构建"识别-校对-纠错-学习-优化"的正向循环，核心流程如下：</w:t>
      </w:r>
    </w:p>
    <w:p>
      <w:pPr>
        <w:numPr>
          <w:ilvl w:val="0"/>
          <w:numId w:val="1"/>
        </w:numPr>
        <w:ind w:firstLine="0"/>
      </w:pPr>
      <w:r>
        <w:t>识别阶段：ASR引擎生成初步转录结果，附带置信度分数</w:t>
      </w:r>
    </w:p>
    <w:p>
      <w:pPr>
        <w:numPr>
          <w:ilvl w:val="0"/>
          <w:numId w:val="1"/>
        </w:numPr>
        <w:ind w:firstLine="0"/>
      </w:pPr>
      <w:r>
        <w:t>校对阶段：用户在编辑界面修正错误，系统自动记录修改前后对比</w:t>
      </w:r>
    </w:p>
    <w:p>
      <w:pPr>
        <w:numPr>
          <w:ilvl w:val="0"/>
          <w:numId w:val="1"/>
        </w:numPr>
        <w:ind w:firstLine="0"/>
      </w:pPr>
      <w:r>
        <w:t>归因阶段：基于规则引擎自动分类错误类型（同音混淆、术语未知、噪音干扰等）</w:t>
      </w:r>
    </w:p>
    <w:p>
      <w:pPr>
        <w:numPr>
          <w:ilvl w:val="0"/>
          <w:numId w:val="1"/>
        </w:numPr>
        <w:ind w:firstLine="0"/>
      </w:pPr>
      <w:r>
        <w:t>聚合阶段：定期聚合高频错误模式，生成优化任务清单</w:t>
      </w:r>
    </w:p>
    <w:p>
      <w:pPr>
        <w:numPr>
          <w:ilvl w:val="0"/>
          <w:numId w:val="1"/>
        </w:numPr>
        <w:ind w:firstLine="0"/>
      </w:pPr>
      <w:r>
        <w:t>学习阶段：当纠错数据积累到阈值时，自动触发LoRA增量微调</w:t>
      </w:r>
    </w:p>
    <w:p>
      <w:pPr>
        <w:numPr>
          <w:ilvl w:val="0"/>
          <w:numId w:val="1"/>
        </w:numPr>
        <w:ind w:firstLine="0"/>
      </w:pPr>
      <w:r>
        <w:t>部署阶段：新模型经A/B测试验证后替换线上模型，完成迭代</w:t>
      </w:r>
    </w:p>
    <w:p>
      <w:pPr>
        <w:pStyle w:val="Heading2"/>
      </w:pPr>
      <w:r>
        <w:t>6.2 增量学习技术方案</w:t>
      </w:r>
    </w:p>
    <w:p>
      <w:r>
        <w:t>为避免全量微调带来的计算开销和灾难性遗忘问题，采用参数高效微调（PEFT）技术：</w:t>
      </w:r>
    </w:p>
    <w:p>
      <w:pPr>
        <w:numPr>
          <w:ilvl w:val="0"/>
          <w:numId w:val="1"/>
        </w:numPr>
        <w:ind w:firstLine="0"/>
      </w:pPr>
      <w:r>
        <w:t>LoRA微调：在Whisper/SenseVoice的注意力层注入低秩适配矩阵，仅训练0.5%-1%的参数，在单张RTX 3080（16GB显存）上即可完成</w:t>
      </w:r>
    </w:p>
    <w:p>
      <w:pPr>
        <w:numPr>
          <w:ilvl w:val="0"/>
          <w:numId w:val="1"/>
        </w:numPr>
        <w:ind w:firstLine="0"/>
      </w:pPr>
      <w:r>
        <w:t>经验回放：每次微调时混合20%的历史数据与80%的新纠错数据，防止模型遗忘已有能力</w:t>
      </w:r>
    </w:p>
    <w:p>
      <w:pPr>
        <w:numPr>
          <w:ilvl w:val="0"/>
          <w:numId w:val="1"/>
        </w:numPr>
        <w:ind w:firstLine="0"/>
      </w:pPr>
      <w:r>
        <w:t>模型版本管理：采用A/B测试策略，新模型与旧模型并行运行，通过准确率、延迟等指标动态调整流量分配</w:t>
      </w:r>
    </w:p>
    <w:p>
      <w:pPr>
        <w:pStyle w:val="Heading2"/>
      </w:pPr>
      <w:r>
        <w:t>6.3 效果评估指标</w:t>
      </w:r>
    </w:p>
    <w:p>
      <w:pPr>
        <w:numPr>
          <w:ilvl w:val="0"/>
          <w:numId w:val="1"/>
        </w:numPr>
        <w:ind w:firstLine="0"/>
      </w:pPr>
      <w:r>
        <w:t>整体指标：字错误率（CER）、词错误率（WER），目标整体CER &lt; 5%</w:t>
      </w:r>
    </w:p>
    <w:p>
      <w:pPr>
        <w:numPr>
          <w:ilvl w:val="0"/>
          <w:numId w:val="1"/>
        </w:numPr>
        <w:ind w:firstLine="0"/>
      </w:pPr>
      <w:r>
        <w:t>术语指标：专业术语识别准确率，目标从初始70%提升至95%以上</w:t>
      </w:r>
    </w:p>
    <w:p>
      <w:pPr>
        <w:numPr>
          <w:ilvl w:val="0"/>
          <w:numId w:val="1"/>
        </w:numPr>
        <w:ind w:firstLine="0"/>
      </w:pPr>
      <w:r>
        <w:t>反馈效率：平均每次微调需要的纠错样本数，目标控制在1000条以内</w:t>
      </w:r>
    </w:p>
    <w:p>
      <w:pPr>
        <w:numPr>
          <w:ilvl w:val="0"/>
          <w:numId w:val="1"/>
        </w:numPr>
        <w:ind w:firstLine="0"/>
      </w:pPr>
      <w:r>
        <w:t>用户满意度：校对时间缩短比例，目标减少60%以上人工校对工作量</w:t>
      </w:r>
    </w:p>
    <w:p>
      <w:pPr>
        <w:pStyle w:val="Heading1"/>
      </w:pPr>
      <w:r>
        <w:t>八、人机协作确认与大模型后处理校正</w:t>
      </w:r>
      <w:bookmarkStart w:name="_Toc008" w:id="9"/>
      <w:bookmarkEnd w:id="9"/>
    </w:p>
    <w:p>
      <w:r>
        <w:t>为确保转写内容的准确性和可靠性，特别是禅修领域中涉及教义解释、修行方法等关键内容时，系统采用人机协作与大模型智能校正的双重保障机制。该机制的核心原则是：模型在不确定时绝不编造，而是主动向用户确认并重点学习；同时利用大语言模型的语义理解能力自动校正明显的识别错误，对无法确定的内容进行醒目标注。</w:t>
      </w:r>
    </w:p>
    <w:p>
      <w:pPr>
        <w:pStyle w:val="Heading2"/>
      </w:pPr>
      <w:r>
        <w:t>8.1 低置信度检测与标注机制</w:t>
      </w:r>
    </w:p>
    <w:p>
      <w:r>
        <w:t>ASR引擎在解码过程中会为每个识别单元（词、字、音节）输出置信度分数，反映模型对该结果的自信程度。系统基于多层级置信度检测策略，实现精准的低置信度内容识别：</w:t>
      </w:r>
    </w:p>
    <w:p>
      <w:pPr>
        <w:numPr>
          <w:ilvl w:val="0"/>
          <w:numId w:val="1"/>
        </w:numPr>
        <w:ind w:firstLine="0"/>
      </w:pPr>
      <w:r>
        <w:t>词级置信度检测：对每个识别词的softmax概率进行归一化分析，置信度低于0.6的词被标记为低置信度候选</w:t>
      </w:r>
    </w:p>
    <w:p>
      <w:pPr>
        <w:numPr>
          <w:ilvl w:val="0"/>
          <w:numId w:val="1"/>
        </w:numPr>
        <w:ind w:firstLine="0"/>
      </w:pPr>
      <w:r>
        <w:t>句级置信度聚合：计算整句的平均置信度和标准差，当平均置信度低于0.5或标准差大于0.3（表示句内质量参差不齐）时触发人工复核提醒</w:t>
      </w:r>
    </w:p>
    <w:p>
      <w:pPr>
        <w:numPr>
          <w:ilvl w:val="0"/>
          <w:numId w:val="1"/>
        </w:numPr>
        <w:ind w:firstLine="0"/>
      </w:pPr>
      <w:r>
        <w:t>上下文一致性检查：利用N-gram语言模型评估识别结果在上下文中的合理性，对于语义不通顺或搭配异常的片段降低置信度评分</w:t>
      </w:r>
    </w:p>
    <w:p>
      <w:pPr>
        <w:numPr>
          <w:ilvl w:val="0"/>
          <w:numId w:val="1"/>
        </w:numPr>
        <w:spacing w:line="360" w:lineRule="auto"/>
        <w:ind w:firstLine="420"/>
      </w:pPr>
      <w:r/>
      <w:r>
        <w:rPr>
          <w:rFonts w:eastAsia="Microsoft YaHei"/>
          <w:rFonts w:ascii="Calibri" w:hAnsi="Calibri"/>
          <w:color w:val="2F3A2E"/>
          <w:sz w:val="21"/>
        </w:rPr>
        <w:t>模式匹配度校验：将识别结果与自动挖掘的程式化表达库进行比对，利用编辑距离和语义相似度识别候选变体。对于与已知模式编辑距离&lt;=3但不在标准形式库中的表达增加怀疑权重。</w:t>
      </w:r>
    </w:p>
    <w:p>
      <w:r>
        <w:t>低置信度内容在界面中以黄色高亮底色显示，并在右侧显示置信度百分比。用户可根据标注快速定位需要重点关注的片段。以下为不同置信度区间的处理策略：</w:t>
      </w:r>
    </w:p>
    <w:tbl>
      <w:tblPr>
        <w:tblW w:w="5000" w:type="pct"/>
        <w:tblBorders>
          <w:top w:val="single" w:color="4A6741" w:sz="12"/>
          <w:left w:val="nil"/>
          <w:bottom w:val="single" w:color="4A6741" w:sz="12"/>
          <w:right w:val="nil"/>
          <w:insideH w:val="single" w:color="D5DDD5" w:sz="4"/>
        </w:tblBorders>
      </w:tblPr>
      <w:tblGrid>
        <w:gridCol w:w="1600"/>
        <w:gridCol w:w="2000"/>
        <w:gridCol w:w="3600"/>
      </w:tblGrid>
      <w:tr>
        <w:trPr>
          <w:tblHeader/>
        </w:trPr>
        <w:tc>
          <w:tcPr>
            <w:tcW w:w="1600" w:type="dxa"/>
            <w:shd w:val="clear" w:fill="EDF1ED"/>
          </w:tcPr>
          <w:p>
            <w:pPr>
              <w:spacing w:before="40" w:after="40"/>
              <w:ind w:firstLine="0"/>
              <w:jc w:val="center"/>
            </w:pPr>
            <w:r>
              <w:rPr>
                <w:rFonts w:ascii="Calibri" w:hAnsi="Calibri" w:eastAsia="Microsoft YaHei"/>
                <w:b/>
                <w:color w:val="2F3A2E"/>
                <w:sz w:val="20"/>
              </w:rPr>
              <w:t>置信度区间</w:t>
            </w:r>
          </w:p>
        </w:tc>
        <w:tc>
          <w:tcPr>
            <w:tcW w:w="2000" w:type="dxa"/>
            <w:shd w:val="clear" w:fill="EDF1ED"/>
          </w:tcPr>
          <w:p>
            <w:pPr>
              <w:spacing w:before="40" w:after="40"/>
              <w:ind w:firstLine="0"/>
              <w:jc w:val="center"/>
            </w:pPr>
            <w:r>
              <w:rPr>
                <w:rFonts w:ascii="Calibri" w:hAnsi="Calibri" w:eastAsia="Microsoft YaHei"/>
                <w:b/>
                <w:color w:val="2F3A2E"/>
                <w:sz w:val="20"/>
              </w:rPr>
              <w:t>识别质量</w:t>
            </w:r>
          </w:p>
        </w:tc>
        <w:tc>
          <w:tcPr>
            <w:tcW w:w="3600" w:type="dxa"/>
            <w:shd w:val="clear" w:fill="EDF1ED"/>
          </w:tcPr>
          <w:p>
            <w:pPr>
              <w:spacing w:before="40" w:after="40"/>
              <w:ind w:firstLine="0"/>
              <w:jc w:val="center"/>
            </w:pPr>
            <w:r>
              <w:rPr>
                <w:rFonts w:ascii="Calibri" w:hAnsi="Calibri" w:eastAsia="Microsoft YaHei"/>
                <w:b/>
                <w:color w:val="2F3A2E"/>
                <w:sz w:val="20"/>
              </w:rPr>
              <w:t>系统处理策略</w:t>
            </w:r>
          </w:p>
        </w:tc>
      </w:tr>
      <w:tr>
        <w:tc>
          <w:tcPr>
            <w:tcW w:w="1600" w:type="dxa"/>
          </w:tcPr>
          <w:p>
            <w:pPr>
              <w:spacing w:before="40" w:after="40"/>
              <w:ind w:firstLine="0"/>
              <w:jc w:val="center"/>
            </w:pPr>
            <w:r>
              <w:rPr>
                <w:rFonts w:ascii="Calibri" w:hAnsi="Calibri" w:eastAsia="Microsoft YaHei"/>
                <w:color w:val="556B55"/>
                <w:sz w:val="20"/>
              </w:rPr>
              <w:t>&gt;= 0.85</w:t>
            </w:r>
          </w:p>
        </w:tc>
        <w:tc>
          <w:tcPr>
            <w:tcW w:w="2000" w:type="dxa"/>
          </w:tcPr>
          <w:p>
            <w:pPr>
              <w:spacing w:before="40" w:after="40"/>
              <w:ind w:firstLine="0"/>
              <w:jc w:val="center"/>
            </w:pPr>
            <w:r>
              <w:rPr>
                <w:rFonts w:ascii="Calibri" w:hAnsi="Calibri" w:eastAsia="Microsoft YaHei"/>
                <w:color w:val="556B55"/>
                <w:sz w:val="20"/>
              </w:rPr>
              <w:t>高置信度</w:t>
            </w:r>
          </w:p>
        </w:tc>
        <w:tc>
          <w:tcPr>
            <w:tcW w:w="3600" w:type="dxa"/>
          </w:tcPr>
          <w:p>
            <w:pPr>
              <w:spacing w:before="40" w:after="40"/>
              <w:ind w:firstLine="0"/>
              <w:jc w:val="center"/>
            </w:pPr>
            <w:r>
              <w:rPr>
                <w:rFonts w:ascii="Calibri" w:hAnsi="Calibri" w:eastAsia="Microsoft YaHei"/>
                <w:color w:val="556B55"/>
                <w:sz w:val="20"/>
              </w:rPr>
              <w:t>直接输出，无需特殊处理</w:t>
            </w:r>
          </w:p>
        </w:tc>
      </w:tr>
      <w:tr>
        <w:tc>
          <w:tcPr>
            <w:tcW w:w="1600" w:type="dxa"/>
          </w:tcPr>
          <w:p>
            <w:pPr>
              <w:spacing w:before="40" w:after="40"/>
              <w:ind w:firstLine="0"/>
              <w:jc w:val="center"/>
            </w:pPr>
            <w:r>
              <w:rPr>
                <w:rFonts w:ascii="Calibri" w:hAnsi="Calibri" w:eastAsia="Microsoft YaHei"/>
                <w:color w:val="556B55"/>
                <w:sz w:val="20"/>
              </w:rPr>
              <w:t>0.60 - 0.84</w:t>
            </w:r>
          </w:p>
        </w:tc>
        <w:tc>
          <w:tcPr>
            <w:tcW w:w="2000" w:type="dxa"/>
          </w:tcPr>
          <w:p>
            <w:pPr>
              <w:spacing w:before="40" w:after="40"/>
              <w:ind w:firstLine="0"/>
              <w:jc w:val="center"/>
            </w:pPr>
            <w:r>
              <w:rPr>
                <w:rFonts w:ascii="Calibri" w:hAnsi="Calibri" w:eastAsia="Microsoft YaHei"/>
                <w:color w:val="556B55"/>
                <w:sz w:val="20"/>
              </w:rPr>
              <w:t>中置信度</w:t>
            </w:r>
          </w:p>
        </w:tc>
        <w:tc>
          <w:tcPr>
            <w:tcW w:w="3600" w:type="dxa"/>
          </w:tcPr>
          <w:p>
            <w:pPr>
              <w:spacing w:before="40" w:after="40"/>
              <w:ind w:firstLine="0"/>
              <w:jc w:val="center"/>
            </w:pPr>
            <w:r>
              <w:rPr>
                <w:rFonts w:ascii="Calibri" w:hAnsi="Calibri" w:eastAsia="Microsoft YaHei"/>
                <w:color w:val="556B55"/>
                <w:sz w:val="20"/>
              </w:rPr>
              <w:t>正常输出，黄色底色标注提示关注</w:t>
            </w:r>
          </w:p>
        </w:tc>
      </w:tr>
      <w:tr>
        <w:tc>
          <w:tcPr>
            <w:tcW w:w="1600" w:type="dxa"/>
          </w:tcPr>
          <w:p>
            <w:pPr>
              <w:spacing w:before="40" w:after="40"/>
              <w:ind w:firstLine="0"/>
              <w:jc w:val="center"/>
            </w:pPr>
            <w:r>
              <w:rPr>
                <w:rFonts w:ascii="Calibri" w:hAnsi="Calibri" w:eastAsia="Microsoft YaHei"/>
                <w:color w:val="556B55"/>
                <w:sz w:val="20"/>
              </w:rPr>
              <w:t>0.40 - 0.59</w:t>
            </w:r>
          </w:p>
        </w:tc>
        <w:tc>
          <w:tcPr>
            <w:tcW w:w="2000" w:type="dxa"/>
          </w:tcPr>
          <w:p>
            <w:pPr>
              <w:spacing w:before="40" w:after="40"/>
              <w:ind w:firstLine="0"/>
              <w:jc w:val="center"/>
            </w:pPr>
            <w:r>
              <w:rPr>
                <w:rFonts w:ascii="Calibri" w:hAnsi="Calibri" w:eastAsia="Microsoft YaHei"/>
                <w:color w:val="556B55"/>
                <w:sz w:val="20"/>
              </w:rPr>
              <w:t>低置信度</w:t>
            </w:r>
          </w:p>
        </w:tc>
        <w:tc>
          <w:tcPr>
            <w:tcW w:w="3600" w:type="dxa"/>
          </w:tcPr>
          <w:p>
            <w:pPr>
              <w:spacing w:before="40" w:after="40"/>
              <w:ind w:firstLine="0"/>
              <w:jc w:val="center"/>
            </w:pPr>
            <w:r>
              <w:rPr>
                <w:rFonts w:ascii="Calibri" w:hAnsi="Calibri" w:eastAsia="Microsoft YaHei"/>
                <w:color w:val="556B55"/>
                <w:sz w:val="20"/>
              </w:rPr>
              <w:t>橙色高亮标注，触发LLM校正评估</w:t>
            </w:r>
          </w:p>
        </w:tc>
      </w:tr>
      <w:tr>
        <w:tc>
          <w:tcPr>
            <w:tcW w:w="1600" w:type="dxa"/>
          </w:tcPr>
          <w:p>
            <w:pPr>
              <w:spacing w:before="40" w:after="40"/>
              <w:ind w:firstLine="0"/>
              <w:jc w:val="center"/>
            </w:pPr>
            <w:r>
              <w:rPr>
                <w:rFonts w:ascii="Calibri" w:hAnsi="Calibri" w:eastAsia="Microsoft YaHei"/>
                <w:color w:val="556B55"/>
                <w:sz w:val="20"/>
              </w:rPr>
              <w:t>&lt; 0.40</w:t>
            </w:r>
          </w:p>
        </w:tc>
        <w:tc>
          <w:tcPr>
            <w:tcW w:w="2000" w:type="dxa"/>
          </w:tcPr>
          <w:p>
            <w:pPr>
              <w:spacing w:before="40" w:after="40"/>
              <w:ind w:firstLine="0"/>
              <w:jc w:val="center"/>
            </w:pPr>
            <w:r>
              <w:rPr>
                <w:rFonts w:ascii="Calibri" w:hAnsi="Calibri" w:eastAsia="Microsoft YaHei"/>
                <w:color w:val="556B55"/>
                <w:sz w:val="20"/>
              </w:rPr>
              <w:t>极低置信度</w:t>
            </w:r>
          </w:p>
        </w:tc>
        <w:tc>
          <w:tcPr>
            <w:tcW w:w="3600" w:type="dxa"/>
          </w:tcPr>
          <w:p>
            <w:pPr>
              <w:spacing w:before="40" w:after="40"/>
              <w:ind w:firstLine="0"/>
              <w:jc w:val="center"/>
            </w:pPr>
            <w:r>
              <w:rPr>
                <w:rFonts w:ascii="Calibri" w:hAnsi="Calibri" w:eastAsia="Microsoft YaHei"/>
                <w:color w:val="556B55"/>
                <w:sz w:val="20"/>
              </w:rPr>
              <w:t>红色标注+问号标记，强制人机确认</w:t>
            </w:r>
          </w:p>
        </w:tc>
      </w:tr>
    </w:tbl>
    <w:p>
      <w:pPr>
        <w:pStyle w:val="Heading2"/>
      </w:pPr>
      <w:r>
        <w:t>8.2 人机协作确认流程</w:t>
      </w:r>
    </w:p>
    <w:p>
      <w:r>
        <w:t>当系统检测到无法高置信度识别的内容时，启动人机协作确认流程。该流程的设计原则是：不猜测、不编造，主动向用户请教并记录学习。具体流程如下：</w:t>
      </w:r>
    </w:p>
    <w:p>
      <w:pPr>
        <w:numPr>
          <w:ilvl w:val="0"/>
          <w:numId w:val="1"/>
        </w:numPr>
        <w:ind w:firstLine="0"/>
      </w:pPr>
      <w:r>
        <w:t>自动暂停与提示（实时模式）：实时转写过程中，当连续3个以上低置信度词出现时，系统自动暂停输出并在界面弹出确认对话框，提示"以下内容识别不确定，请确认"</w:t>
      </w:r>
    </w:p>
    <w:p>
      <w:pPr>
        <w:numPr>
          <w:ilvl w:val="0"/>
          <w:numId w:val="1"/>
        </w:numPr>
        <w:ind w:firstLine="0"/>
      </w:pPr>
      <w:r>
        <w:t>候选词展示：系统基于N-best解码结果，向用户展示2-3个最可能的候选词（如"安那般那/安波那那/阿那般那"），由用户选择正确答案</w:t>
      </w:r>
    </w:p>
    <w:p>
      <w:pPr>
        <w:numPr>
          <w:ilvl w:val="0"/>
          <w:numId w:val="1"/>
        </w:numPr>
        <w:ind w:firstLine="0"/>
      </w:pPr>
      <w:r>
        <w:t>音频片段回放：提供低置信度片段的原始音频快速回放功能（带前后3秒上下文），帮助用户结合听觉判断</w:t>
      </w:r>
    </w:p>
    <w:p>
      <w:pPr>
        <w:numPr>
          <w:ilvl w:val="0"/>
          <w:numId w:val="1"/>
        </w:numPr>
        <w:ind w:firstLine="0"/>
      </w:pPr>
      <w:r>
        <w:t>用户选择记录：用户的选择自动记录为"正样本"，被拒绝的候选项记录为"负样本"，形成该片段的（音频特征，正确答案）训练对</w:t>
      </w:r>
    </w:p>
    <w:p>
      <w:pPr>
        <w:numPr>
          <w:ilvl w:val="0"/>
          <w:numId w:val="1"/>
        </w:numPr>
        <w:ind w:firstLine="0"/>
      </w:pPr>
      <w:r>
        <w:t>重点学习标记：被人工确认过的低频术语和特殊发音，自动标记为"重点学习"条目，在下一轮模型微调中赋予更高权重</w:t>
      </w:r>
    </w:p>
    <w:p>
      <w:r>
        <w:t>人机协作确认的频率与准确率呈正相关。根据SpeechBrain框架的实践数据，引入人机协作后，人工修正率从22.5%降至8.7%（降幅61.3%），整体WER降低34.2%。系统设置动态阈值机制，根据用户历史纠错频率自动调整触发确认的门槛——对于纠错频率高的用户，系统更保守（更多确认请求）；对于长期稳定的用户，系统更自信（减少不必要的打断）。</w:t>
      </w:r>
    </w:p>
    <w:p>
      <w:r>
        <w:t>以下为不同置信度区间的系统行为决策：</w:t>
      </w:r>
    </w:p>
    <w:tbl>
      <w:tblPr>
        <w:tblW w:w="5000" w:type="pct"/>
        <w:tblBorders>
          <w:top w:val="single" w:color="4A6741" w:sz="12"/>
          <w:left w:val="nil"/>
          <w:bottom w:val="single" w:color="4A6741" w:sz="12"/>
          <w:right w:val="nil"/>
          <w:insideH w:val="single" w:color="D5DDD5" w:sz="4"/>
        </w:tblBorders>
      </w:tblPr>
      <w:tblGrid>
        <w:gridCol w:w="1400"/>
        <w:gridCol w:w="2000"/>
        <w:gridCol w:w="3800"/>
      </w:tblGrid>
      <w:tr>
        <w:trPr>
          <w:tblHeader/>
        </w:trPr>
        <w:tc>
          <w:tcPr>
            <w:tcW w:w="1400" w:type="dxa"/>
            <w:shd w:val="clear" w:fill="EDF1ED"/>
          </w:tcPr>
          <w:p>
            <w:pPr>
              <w:spacing w:before="40" w:after="40"/>
              <w:ind w:firstLine="0"/>
              <w:jc w:val="center"/>
            </w:pPr>
            <w:r>
              <w:rPr>
                <w:rFonts w:ascii="Calibri" w:hAnsi="Calibri" w:eastAsia="Microsoft YaHei"/>
                <w:b/>
                <w:color w:val="2F3A2E"/>
                <w:sz w:val="20"/>
              </w:rPr>
              <w:t>置信度区间</w:t>
            </w:r>
          </w:p>
        </w:tc>
        <w:tc>
          <w:tcPr>
            <w:tcW w:w="2000" w:type="dxa"/>
            <w:shd w:val="clear" w:fill="EDF1ED"/>
          </w:tcPr>
          <w:p>
            <w:pPr>
              <w:spacing w:before="40" w:after="40"/>
              <w:ind w:firstLine="0"/>
              <w:jc w:val="center"/>
            </w:pPr>
            <w:r>
              <w:rPr>
                <w:rFonts w:ascii="Calibri" w:hAnsi="Calibri" w:eastAsia="Microsoft YaHei"/>
                <w:b/>
                <w:color w:val="2F3A2E"/>
                <w:sz w:val="20"/>
              </w:rPr>
              <w:t>系统行为</w:t>
            </w:r>
          </w:p>
        </w:tc>
        <w:tc>
          <w:tcPr>
            <w:tcW w:w="3800" w:type="dxa"/>
            <w:shd w:val="clear" w:fill="EDF1ED"/>
          </w:tcPr>
          <w:p>
            <w:pPr>
              <w:spacing w:before="40" w:after="40"/>
              <w:ind w:firstLine="0"/>
              <w:jc w:val="center"/>
            </w:pPr>
            <w:r>
              <w:rPr>
                <w:rFonts w:ascii="Calibri" w:hAnsi="Calibri" w:eastAsia="Microsoft YaHei"/>
                <w:b/>
                <w:color w:val="2F3A2E"/>
                <w:sz w:val="20"/>
              </w:rPr>
              <w:t>交互方式</w:t>
            </w:r>
          </w:p>
        </w:tc>
      </w:tr>
      <w:tr>
        <w:tc>
          <w:tcPr>
            <w:tcW w:w="1400" w:type="dxa"/>
          </w:tcPr>
          <w:p>
            <w:pPr>
              <w:spacing w:before="40" w:after="40"/>
              <w:ind w:firstLine="0"/>
              <w:jc w:val="center"/>
            </w:pPr>
            <w:r>
              <w:rPr>
                <w:rFonts w:ascii="Calibri" w:hAnsi="Calibri" w:eastAsia="Microsoft YaHei"/>
                <w:color w:val="556B55"/>
                <w:sz w:val="20"/>
              </w:rPr>
              <w:t>&gt; 0.9</w:t>
            </w:r>
          </w:p>
        </w:tc>
        <w:tc>
          <w:tcPr>
            <w:tcW w:w="2000" w:type="dxa"/>
          </w:tcPr>
          <w:p>
            <w:pPr>
              <w:spacing w:before="40" w:after="40"/>
              <w:ind w:firstLine="0"/>
              <w:jc w:val="center"/>
            </w:pPr>
            <w:r>
              <w:rPr>
                <w:rFonts w:ascii="Calibri" w:hAnsi="Calibri" w:eastAsia="Microsoft YaHei"/>
                <w:color w:val="556B55"/>
                <w:sz w:val="20"/>
              </w:rPr>
              <w:t>直接执行</w:t>
            </w:r>
          </w:p>
        </w:tc>
        <w:tc>
          <w:tcPr>
            <w:tcW w:w="3800" w:type="dxa"/>
          </w:tcPr>
          <w:p>
            <w:pPr>
              <w:spacing w:before="40" w:after="40"/>
              <w:ind w:firstLine="0"/>
              <w:jc w:val="center"/>
            </w:pPr>
            <w:r>
              <w:rPr>
                <w:rFonts w:ascii="Calibri" w:hAnsi="Calibri" w:eastAsia="Microsoft YaHei"/>
                <w:color w:val="556B55"/>
                <w:sz w:val="20"/>
              </w:rPr>
              <w:t>无交互，静默输出</w:t>
            </w:r>
          </w:p>
        </w:tc>
      </w:tr>
      <w:tr>
        <w:tc>
          <w:tcPr>
            <w:tcW w:w="1400" w:type="dxa"/>
          </w:tcPr>
          <w:p>
            <w:pPr>
              <w:spacing w:before="40" w:after="40"/>
              <w:ind w:firstLine="0"/>
              <w:jc w:val="center"/>
            </w:pPr>
            <w:r>
              <w:rPr>
                <w:rFonts w:ascii="Calibri" w:hAnsi="Calibri" w:eastAsia="Microsoft YaHei"/>
                <w:color w:val="556B55"/>
                <w:sz w:val="20"/>
              </w:rPr>
              <w:t>0.7 - 0.9</w:t>
            </w:r>
          </w:p>
        </w:tc>
        <w:tc>
          <w:tcPr>
            <w:tcW w:w="2000" w:type="dxa"/>
          </w:tcPr>
          <w:p>
            <w:pPr>
              <w:spacing w:before="40" w:after="40"/>
              <w:ind w:firstLine="0"/>
              <w:jc w:val="center"/>
            </w:pPr>
            <w:r>
              <w:rPr>
                <w:rFonts w:ascii="Calibri" w:hAnsi="Calibri" w:eastAsia="Microsoft YaHei"/>
                <w:color w:val="556B55"/>
                <w:sz w:val="20"/>
              </w:rPr>
              <w:t>简要确认</w:t>
            </w:r>
          </w:p>
        </w:tc>
        <w:tc>
          <w:tcPr>
            <w:tcW w:w="3800" w:type="dxa"/>
          </w:tcPr>
          <w:p>
            <w:pPr>
              <w:spacing w:before="40" w:after="40"/>
              <w:ind w:firstLine="0"/>
              <w:jc w:val="center"/>
            </w:pPr>
            <w:r>
              <w:rPr>
                <w:rFonts w:ascii="Calibri" w:hAnsi="Calibri" w:eastAsia="Microsoft YaHei"/>
                <w:color w:val="556B55"/>
                <w:sz w:val="20"/>
              </w:rPr>
              <w:t>提示"即将输出XX，请确认"，用户可一键确认或修改</w:t>
            </w:r>
          </w:p>
        </w:tc>
      </w:tr>
      <w:tr>
        <w:tc>
          <w:tcPr>
            <w:tcW w:w="1400" w:type="dxa"/>
          </w:tcPr>
          <w:p>
            <w:pPr>
              <w:spacing w:before="40" w:after="40"/>
              <w:ind w:firstLine="0"/>
              <w:jc w:val="center"/>
            </w:pPr>
            <w:r>
              <w:rPr>
                <w:rFonts w:ascii="Calibri" w:hAnsi="Calibri" w:eastAsia="Microsoft YaHei"/>
                <w:color w:val="556B55"/>
                <w:sz w:val="20"/>
              </w:rPr>
              <w:t>0.5 - 0.7</w:t>
            </w:r>
          </w:p>
        </w:tc>
        <w:tc>
          <w:tcPr>
            <w:tcW w:w="2000" w:type="dxa"/>
          </w:tcPr>
          <w:p>
            <w:pPr>
              <w:spacing w:before="40" w:after="40"/>
              <w:ind w:firstLine="0"/>
              <w:jc w:val="center"/>
            </w:pPr>
            <w:r>
              <w:rPr>
                <w:rFonts w:ascii="Calibri" w:hAnsi="Calibri" w:eastAsia="Microsoft YaHei"/>
                <w:color w:val="556B55"/>
                <w:sz w:val="20"/>
              </w:rPr>
              <w:t>明确反问</w:t>
            </w:r>
          </w:p>
        </w:tc>
        <w:tc>
          <w:tcPr>
            <w:tcW w:w="3800" w:type="dxa"/>
          </w:tcPr>
          <w:p>
            <w:pPr>
              <w:spacing w:before="40" w:after="40"/>
              <w:ind w:firstLine="0"/>
              <w:jc w:val="center"/>
            </w:pPr>
            <w:r>
              <w:rPr>
                <w:rFonts w:ascii="Calibri" w:hAnsi="Calibri" w:eastAsia="Microsoft YaHei"/>
                <w:color w:val="556B55"/>
                <w:sz w:val="20"/>
              </w:rPr>
              <w:t>展示2-3个候选词供用户选择，附带音频回放</w:t>
            </w:r>
          </w:p>
        </w:tc>
      </w:tr>
      <w:tr>
        <w:tc>
          <w:tcPr>
            <w:tcW w:w="1400" w:type="dxa"/>
          </w:tcPr>
          <w:p>
            <w:pPr>
              <w:spacing w:before="40" w:after="40"/>
              <w:ind w:firstLine="0"/>
              <w:jc w:val="center"/>
            </w:pPr>
            <w:r>
              <w:rPr>
                <w:rFonts w:ascii="Calibri" w:hAnsi="Calibri" w:eastAsia="Microsoft YaHei"/>
                <w:color w:val="556B55"/>
                <w:sz w:val="20"/>
              </w:rPr>
              <w:t>&lt; 0.5</w:t>
            </w:r>
          </w:p>
        </w:tc>
        <w:tc>
          <w:tcPr>
            <w:tcW w:w="2000" w:type="dxa"/>
          </w:tcPr>
          <w:p>
            <w:pPr>
              <w:spacing w:before="40" w:after="40"/>
              <w:ind w:firstLine="0"/>
              <w:jc w:val="center"/>
            </w:pPr>
            <w:r>
              <w:rPr>
                <w:rFonts w:ascii="Calibri" w:hAnsi="Calibri" w:eastAsia="Microsoft YaHei"/>
                <w:color w:val="556B55"/>
                <w:sz w:val="20"/>
              </w:rPr>
              <w:t>请求澄清</w:t>
            </w:r>
          </w:p>
        </w:tc>
        <w:tc>
          <w:tcPr>
            <w:tcW w:w="3800" w:type="dxa"/>
          </w:tcPr>
          <w:p>
            <w:pPr>
              <w:spacing w:before="40" w:after="40"/>
              <w:ind w:firstLine="0"/>
              <w:jc w:val="center"/>
            </w:pPr>
            <w:r>
              <w:rPr>
                <w:rFonts w:ascii="Calibri" w:hAnsi="Calibri" w:eastAsia="Microsoft YaHei"/>
                <w:color w:val="556B55"/>
                <w:sz w:val="20"/>
              </w:rPr>
              <w:t>暂停输出并提示"此段未能识别，请重述或输入文字"</w:t>
            </w:r>
          </w:p>
        </w:tc>
      </w:tr>
    </w:tbl>
    <w:p>
      <w:pPr>
        <w:pStyle w:val="Heading2"/>
        <w:spacing w:line="360" w:lineRule="auto"/>
        <w:ind w:firstLine="0"/>
      </w:pPr>
      <w:r/>
      <w:r>
        <w:rPr>
          <w:rFonts w:eastAsia="Microsoft YaHei"/>
          <w:rFonts w:ascii="Calibri" w:hAnsi="Calibri"/>
          <w:b/>
          <w:color w:val="2F3A2E"/>
          <w:sz w:val="28"/>
        </w:rPr>
        <w:t>8.3 类人智能校对引擎</w:t>
      </w:r>
    </w:p>
    <w:p>
      <w:pPr>
        <w:spacing w:line="360" w:lineRule="auto"/>
        <w:ind w:firstLine="420"/>
      </w:pPr>
      <w:r/>
      <w:r>
        <w:rPr>
          <w:rFonts w:eastAsia="Microsoft YaHei"/>
          <w:rFonts w:ascii="Calibri" w:hAnsi="Calibri"/>
          <w:color w:val="2F3A2E"/>
          <w:sz w:val="21"/>
        </w:rPr>
        <w:t>LLM校正模块的设计目标是模拟一位经验丰富的文字校对员在审听禅修课程录音时的行为。真正的校对员不是逐字逐词地检查，而是带着对课程主题的理解、对讲师表达习惯的熟悉，以及对历史文稿的记忆来工作。系统通过以下方式模拟这种类人校对行为：参考历史转录文本识别程式化表达的变体、检测并处理口误和重复性表述、对低置信度内容保持谨慎而非强行修正。</w:t>
      </w:r>
    </w:p>
    <w:p>
      <w:pPr>
        <w:pStyle w:val="Heading3"/>
        <w:spacing w:line="360" w:lineRule="auto"/>
        <w:ind w:firstLine="0"/>
      </w:pPr>
      <w:r/>
      <w:r>
        <w:rPr>
          <w:rFonts w:eastAsia="Microsoft YaHei"/>
          <w:rFonts w:ascii="Calibri" w:hAnsi="Calibri"/>
          <w:b/>
          <w:color w:val="556B55"/>
          <w:sz w:val="24"/>
        </w:rPr>
        <w:t>8.3.1 模拟人类校对的核心能力</w:t>
      </w:r>
    </w:p>
    <w:p>
      <w:pPr>
        <w:spacing w:line="360" w:lineRule="auto"/>
        <w:ind w:firstLine="420"/>
      </w:pPr>
      <w:r/>
      <w:r>
        <w:rPr>
          <w:rFonts w:eastAsia="Microsoft YaHei"/>
          <w:rFonts w:ascii="Calibri" w:hAnsi="Calibri"/>
          <w:color w:val="2F3A2E"/>
          <w:sz w:val="21"/>
        </w:rPr>
        <w:t>历史文本参照比对——如同校对员记得讲师上周讲过类似的内容，系统查询自动挖掘的程式化表达库，识别当前转写与历史表达之间的差异。当检测到“请大家找一个舒服的姿势坐下来”时，系统发现历史文稿中更常用的表达是“请各位师兄找个舒适的姿势坐好”，两者编辑距离为8、语义相似度0.96，属于同一程式的变体。此时系统不会强制替换，而是标注：“此处为程式化表达变体，历史常用形式为：请各位师兄找个舒适的姿势坐好（请确认是否统一）”。</w:t>
      </w:r>
    </w:p>
    <w:p>
      <w:pPr>
        <w:numPr>
          <w:ilvl w:val="0"/>
          <w:numId w:val="1"/>
        </w:numPr>
        <w:spacing w:line="360" w:lineRule="auto"/>
        <w:ind w:firstLine="420"/>
      </w:pPr>
      <w:r/>
      <w:r>
        <w:rPr>
          <w:rFonts w:eastAsia="Microsoft YaHei"/>
          <w:rFonts w:ascii="Calibri" w:hAnsi="Calibri"/>
          <w:color w:val="2F3A2E"/>
          <w:sz w:val="21"/>
        </w:rPr>
        <w:t>口误与重复性表述识别——如同校对员能听出讲师的口癖和重复，系统基于字级时间戳和VAD分析检测以下口语不流畅现象：重复词（如“我们现在我们现在开始”），通过相邻短语的编辑距离检测；修正性重述（如“请大家坐好，不是，请站好”），通过否定词+重述模式识别；填充词（“嗯”“那个”“就是”），通过高频低信息词+停顿特征检测；口吃型重复（如“请请请大家”），通过单字重复模式+短时间间隔检测。系统对检测到的口误标注处理方式建议：重复词可删除重复部分，修正性重述保留最终表达并标注被修正内容，填充词根据上下文决定是否保留。</w:t>
      </w:r>
    </w:p>
    <w:p>
      <w:pPr>
        <w:numPr>
          <w:ilvl w:val="0"/>
          <w:numId w:val="1"/>
        </w:numPr>
        <w:spacing w:line="360" w:lineRule="auto"/>
        <w:ind w:firstLine="420"/>
      </w:pPr>
      <w:r/>
      <w:r>
        <w:rPr>
          <w:rFonts w:eastAsia="Microsoft YaHei"/>
          <w:rFonts w:ascii="Calibri" w:hAnsi="Calibri"/>
          <w:color w:val="2F3A2E"/>
          <w:sz w:val="21"/>
        </w:rPr>
        <w:t>思维链（Chain-of-Thought）推理校正——如同校对员会停下来思考“这里说得通吗”，系统采用多步推理而非直接替换。LLM在校正前依次思考：(1)这句话在上下文中是否通顺？(2)是否与历史文稿中的类似表达一致？(3)是口误/重复导致的错误，还是术语本身的变体？(4)如果修正，依据是什么？置信度多高？仅当校正确信度超过0.85时才执行自动修正，否则保留原识别结果并附上推理说明供用户参考。</w:t>
      </w:r>
    </w:p>
    <w:p>
      <w:pPr>
        <w:numPr>
          <w:ilvl w:val="0"/>
          <w:numId w:val="1"/>
        </w:numPr>
        <w:spacing w:line="360" w:lineRule="auto"/>
        <w:ind w:firstLine="420"/>
      </w:pPr>
      <w:r/>
      <w:r>
        <w:rPr>
          <w:rFonts w:eastAsia="Microsoft YaHei"/>
          <w:rFonts w:ascii="Calibri" w:hAnsi="Calibri"/>
          <w:color w:val="2F3A2E"/>
          <w:sz w:val="21"/>
        </w:rPr>
        <w:t>保守校正与不确定性标注——如同谨慎的校对员不会随意改动讲师的原话，系统遵循“宁可标注，不可误改”的原则。对于无法确定的内容，系统采用分级标注策略：高置信度修正直接执行并标注修改原因；中置信度修正保留原文并以批注形式提供修改建议；低置信度内容（置信度&lt;0.5）以红色标注并附问号，强制请求人工确认。所有自动修正均可一键撤销，确保用户对最终文稿的完全控制权。</w:t>
      </w:r>
    </w:p>
    <w:p>
      <w:pPr>
        <w:pStyle w:val="Heading3"/>
        <w:spacing w:line="360" w:lineRule="auto"/>
        <w:ind w:firstLine="0"/>
      </w:pPr>
      <w:r/>
      <w:r>
        <w:rPr>
          <w:rFonts w:eastAsia="Microsoft YaHei"/>
          <w:rFonts w:ascii="Calibri" w:hAnsi="Calibri"/>
          <w:b/>
          <w:color w:val="556B55"/>
          <w:sz w:val="24"/>
        </w:rPr>
        <w:t>8.3.2 类人校对的工作流程</w:t>
      </w:r>
    </w:p>
    <w:p>
      <w:pPr>
        <w:spacing w:line="360" w:lineRule="auto"/>
        <w:ind w:firstLine="420"/>
      </w:pPr>
      <w:r/>
      <w:r>
        <w:rPr>
          <w:rFonts w:eastAsia="Microsoft YaHei"/>
          <w:rFonts w:ascii="Calibri" w:hAnsi="Calibri"/>
          <w:color w:val="2F3A2E"/>
          <w:sz w:val="21"/>
        </w:rPr>
        <w:t>上下文构建——如同校对员会先通读全文把握整体脉络，系统收集ASR输出的整段转写文本、自动挖掘的程式化表达库、以及每个词的置信度分数和音频特征。LLM接收完整的段落上下文，而非孤立的句子，确保推理建立在充分的信息基础之上。</w:t>
      </w:r>
    </w:p>
    <w:p>
      <w:pPr>
        <w:numPr>
          <w:ilvl w:val="0"/>
          <w:numId w:val="1"/>
        </w:numPr>
        <w:spacing w:line="360" w:lineRule="auto"/>
        <w:ind w:firstLine="420"/>
      </w:pPr>
      <w:r/>
      <w:r>
        <w:rPr>
          <w:rFonts w:eastAsia="Microsoft YaHei"/>
          <w:rFonts w:ascii="Calibri" w:hAnsi="Calibri"/>
          <w:color w:val="2F3A2E"/>
          <w:sz w:val="21"/>
        </w:rPr>
        <w:t>模式匹配与变体识别——如同校对员记得“上次老师也是这么说的”，系统将转写文本与自动挖掘的程式化表达库进行比对。通过编辑距离和语义相似度，识别当前表达是否为已知模式的变体。对于变体表达，系统评估其与标准形式的偏离程度：编辑距离&lt;=2视为可自动归一化；编辑距离3-5标注为变体建议确认；编辑距离&gt;5但语义相似度&gt;0.9标注为创造性变体，保留原文。</w:t>
      </w:r>
    </w:p>
    <w:p>
      <w:pPr>
        <w:numPr>
          <w:ilvl w:val="0"/>
          <w:numId w:val="1"/>
        </w:numPr>
        <w:spacing w:line="360" w:lineRule="auto"/>
        <w:ind w:firstLine="420"/>
      </w:pPr>
      <w:r/>
      <w:r>
        <w:rPr>
          <w:rFonts w:eastAsia="Microsoft YaHei"/>
          <w:rFonts w:ascii="Calibri" w:hAnsi="Calibri"/>
          <w:color w:val="2F3A2E"/>
          <w:sz w:val="21"/>
        </w:rPr>
        <w:t>口误与重复检测——如同校对员会删除讲师的口误重复，系统基于规则引擎和音频特征自动检测口语不流畅：相邻重复词（“现在现在”）通过字符串匹配检测；自我修正（“请大家坐好，不对，是站好”）通过否定触发词+语义反转检测；语气词（“嗯”“啊”“那个”）通过高频停顿词表检测；口吃型重复（“请请请大家”）通过单字重复+短时间间隔检测。检测结果按类型分类处理：重复删除、修正保留最终版、语气词根据场景决定是否保留。</w:t>
      </w:r>
    </w:p>
    <w:p>
      <w:pPr>
        <w:numPr>
          <w:ilvl w:val="0"/>
          <w:numId w:val="1"/>
        </w:numPr>
        <w:spacing w:line="360" w:lineRule="auto"/>
        <w:ind w:firstLine="420"/>
      </w:pPr>
      <w:r/>
      <w:r>
        <w:rPr>
          <w:rFonts w:eastAsia="Microsoft YaHei"/>
          <w:rFonts w:ascii="Calibri" w:hAnsi="Calibri"/>
          <w:color w:val="2F3A2E"/>
          <w:sz w:val="21"/>
        </w:rPr>
        <w:t>思维链推理修正——如同校对员不会盲目修改，而是先想明白为什么改，LLM采用链式思考逐步推理：首先通读全文把握语境，然后定位疑似错误（低置信度词+语义不通顺处），接着查询程式化表达库判断是否为已知变体，再分析音频特征判断是否为口误/重复，最后综合所有证据做出修正决策并生成解释。防过纠机制确保仅当推理链条完整、校正确信度&gt;0.85时才执行自动修正，否则标注待确认并附上推理过程。</w:t>
      </w:r>
    </w:p>
    <w:p>
      <w:pPr>
        <w:numPr>
          <w:ilvl w:val="0"/>
          <w:numId w:val="1"/>
        </w:numPr>
        <w:spacing w:line="360" w:lineRule="auto"/>
        <w:ind w:firstLine="420"/>
      </w:pPr>
      <w:r/>
      <w:r>
        <w:rPr>
          <w:rFonts w:eastAsia="Microsoft YaHei"/>
          <w:rFonts w:ascii="Calibri" w:hAnsi="Calibri"/>
          <w:color w:val="2F3A2E"/>
          <w:sz w:val="21"/>
        </w:rPr>
        <w:t>保守标注与人工确认——对于推理链条不完整或置信度不足的情况，系统选择标注而非修改。标注格式为：“[此处原识别为XX，与历史常用表达YY（相似度Z%）有差异，上下文推断可能为YY，请确认]”。所有标注以Word批注形式嵌入文档，不影响正文排版。用户可在校对界面一键接受或拒绝每个标注建议，接受/拒绝的记录自动纳入反馈学习池。</w:t>
      </w:r>
    </w:p>
    <w:p>
      <w:pPr>
        <w:numPr>
          <w:ilvl w:val="0"/>
          <w:numId w:val="1"/>
        </w:numPr>
        <w:ind w:firstLine="0"/>
      </w:pPr>
      <w:r>
        <w:t>防过纠机制：LLM校正设置严格的防过纠规则——仅当校正确信度超过0.85时才执行自动修正，否则保持原识别结果并标注待确认</w:t>
      </w:r>
    </w:p>
    <w:p>
      <w:pPr>
        <w:pStyle w:val="Heading3"/>
        <w:spacing w:line="360" w:lineRule="auto"/>
        <w:ind w:firstLine="0"/>
      </w:pPr>
      <w:r/>
      <w:r>
        <w:rPr>
          <w:rFonts w:eastAsia="Microsoft YaHei"/>
          <w:rFonts w:ascii="Calibri" w:hAnsi="Calibri"/>
          <w:b/>
          <w:color w:val="556B55"/>
          <w:sz w:val="24"/>
        </w:rPr>
        <w:t>8.3.3 本地LLM部署方案</w:t>
      </w:r>
    </w:p>
    <w:p>
      <w:pPr>
        <w:spacing w:line="360" w:lineRule="auto"/>
        <w:ind w:firstLine="420"/>
      </w:pPr>
      <w:r/>
      <w:r>
        <w:rPr>
          <w:rFonts w:eastAsia="Microsoft YaHei"/>
          <w:rFonts w:ascii="Calibri" w:hAnsi="Calibri"/>
          <w:color w:val="2F3A2E"/>
          <w:sz w:val="21"/>
        </w:rPr>
        <w:t>大语言模型采用云端集中部署为主、本地轻量部署为辅的混合方案：云端部署Qwen3.6-27B提供高精度校正服务，本地部署Qwen2.5-1.5B提供基础校正和离线兜底。</w:t>
      </w:r>
    </w:p>
    <w:tbl>
      <w:tblPr>
        <w:tblW w:w="5000" w:type="pct"/>
        <w:tblBorders>
          <w:top w:val="single" w:color="4A6741" w:sz="12"/>
          <w:left w:val="nil"/>
          <w:bottom w:val="single" w:color="4A6741" w:sz="12"/>
          <w:right w:val="nil"/>
          <w:insideH w:val="single" w:color="D5DDD5" w:sz="4"/>
        </w:tblBorders>
      </w:tblPr>
      <w:tblGrid>
        <w:gridCol w:w="1800"/>
        <w:gridCol w:w="1400"/>
        <w:gridCol w:w="1400"/>
        <w:gridCol w:w="2600"/>
      </w:tblGrid>
      <w:tr>
        <w:trPr>
          <w:tblHeader/>
        </w:trPr>
        <w:tc>
          <w:tcPr>
            <w:tcW w:w="1800" w:type="dxa"/>
            <w:shd w:val="clear" w:fill="EDF1ED"/>
          </w:tcPr>
          <w:p>
            <w:pPr>
              <w:spacing w:before="40" w:after="40"/>
              <w:ind w:firstLine="0"/>
              <w:jc w:val="center"/>
            </w:pPr>
            <w:r>
              <w:rPr>
                <w:rFonts w:ascii="Calibri" w:hAnsi="Calibri" w:eastAsia="Microsoft YaHei"/>
                <w:b/>
                <w:color w:val="2F3A2E"/>
                <w:sz w:val="20"/>
              </w:rPr>
              <w:t>模型</w:t>
            </w:r>
          </w:p>
        </w:tc>
        <w:tc>
          <w:tcPr>
            <w:tcW w:w="1400" w:type="dxa"/>
            <w:shd w:val="clear" w:fill="EDF1ED"/>
          </w:tcPr>
          <w:p>
            <w:pPr>
              <w:spacing w:before="40" w:after="40"/>
              <w:ind w:firstLine="0"/>
              <w:jc w:val="center"/>
            </w:pPr>
            <w:r>
              <w:rPr>
                <w:rFonts w:ascii="Calibri" w:hAnsi="Calibri" w:eastAsia="Microsoft YaHei"/>
                <w:b/>
                <w:color w:val="2F3A2E"/>
                <w:sz w:val="20"/>
              </w:rPr>
              <w:t>显存需求</w:t>
            </w:r>
          </w:p>
        </w:tc>
        <w:tc>
          <w:tcPr>
            <w:tcW w:w="1400" w:type="dxa"/>
            <w:shd w:val="clear" w:fill="EDF1ED"/>
          </w:tcPr>
          <w:p>
            <w:pPr>
              <w:spacing w:before="40" w:after="40"/>
              <w:ind w:firstLine="0"/>
              <w:jc w:val="center"/>
            </w:pPr>
            <w:r>
              <w:rPr>
                <w:rFonts w:ascii="Calibri" w:hAnsi="Calibri" w:eastAsia="Microsoft YaHei"/>
                <w:b/>
                <w:color w:val="2F3A2E"/>
                <w:sz w:val="20"/>
              </w:rPr>
              <w:t>推理速度</w:t>
            </w:r>
          </w:p>
        </w:tc>
        <w:tc>
          <w:tcPr>
            <w:tcW w:w="2600" w:type="dxa"/>
            <w:shd w:val="clear" w:fill="EDF1ED"/>
          </w:tcPr>
          <w:p>
            <w:pPr>
              <w:spacing w:before="40" w:after="40"/>
              <w:ind w:firstLine="0"/>
              <w:jc w:val="center"/>
            </w:pPr>
            <w:r>
              <w:rPr>
                <w:rFonts w:ascii="Calibri" w:hAnsi="Calibri" w:eastAsia="Microsoft YaHei"/>
                <w:b/>
                <w:color w:val="2F3A2E"/>
                <w:sz w:val="20"/>
              </w:rPr>
              <w:t>适用场景</w:t>
            </w:r>
          </w:p>
        </w:tc>
      </w:tr>
      <w:tr>
        <w:tc>
          <w:tcPr>
            <w:tcW w:w="1800" w:type="dxa"/>
          </w:tcPr>
          <w:p>
            <w:pPr>
              <w:spacing w:before="40" w:after="40"/>
              <w:ind w:firstLine="0"/>
              <w:jc w:val="center"/>
            </w:pPr>
            <w:r>
              <w:rPr>
                <w:rFonts w:ascii="Calibri" w:hAnsi="Calibri" w:eastAsia="Microsoft YaHei"/>
                <w:color w:val="556B55"/>
                <w:sz w:val="20"/>
              </w:rPr>
              <w:t>Qwen2.5-7B-Int4</w:t>
            </w:r>
          </w:p>
        </w:tc>
        <w:tc>
          <w:tcPr>
            <w:tcW w:w="1400" w:type="dxa"/>
          </w:tcPr>
          <w:p>
            <w:pPr>
              <w:spacing w:before="40" w:after="40"/>
              <w:ind w:firstLine="0"/>
              <w:jc w:val="center"/>
            </w:pPr>
            <w:r>
              <w:rPr>
                <w:rFonts w:ascii="Calibri" w:hAnsi="Calibri" w:eastAsia="Microsoft YaHei"/>
                <w:color w:val="556B55"/>
                <w:sz w:val="20"/>
              </w:rPr>
              <w:t>8GB</w:t>
            </w:r>
          </w:p>
        </w:tc>
        <w:tc>
          <w:tcPr>
            <w:tcW w:w="1400" w:type="dxa"/>
          </w:tcPr>
          <w:p>
            <w:pPr>
              <w:spacing w:before="40" w:after="40"/>
              <w:ind w:firstLine="0"/>
              <w:jc w:val="center"/>
            </w:pPr>
            <w:r>
              <w:rPr>
                <w:rFonts w:ascii="Calibri" w:hAnsi="Calibri" w:eastAsia="Microsoft YaHei"/>
                <w:color w:val="556B55"/>
                <w:sz w:val="20"/>
              </w:rPr>
              <w:t>30 tok/s</w:t>
            </w:r>
          </w:p>
        </w:tc>
        <w:tc>
          <w:tcPr>
            <w:tcW w:w="2600" w:type="dxa"/>
          </w:tcPr>
          <w:p>
            <w:pPr>
              <w:spacing w:before="40" w:after="40"/>
              <w:ind w:firstLine="0"/>
              <w:jc w:val="center"/>
            </w:pPr>
            <w:r>
              <w:rPr>
                <w:rFonts w:ascii="Calibri" w:hAnsi="Calibri" w:eastAsia="Microsoft YaHei"/>
                <w:color w:val="556B55"/>
                <w:sz w:val="20"/>
              </w:rPr>
              <w:t>主力校正模型（推荐）</w:t>
            </w:r>
          </w:p>
        </w:tc>
      </w:tr>
      <w:tr>
        <w:tc>
          <w:tcPr>
            <w:tcW w:w="1800" w:type="dxa"/>
          </w:tcPr>
          <w:p>
            <w:pPr>
              <w:spacing w:before="40" w:after="40"/>
              <w:ind w:firstLine="0"/>
              <w:jc w:val="center"/>
            </w:pPr>
            <w:r>
              <w:rPr>
                <w:rFonts w:ascii="Calibri" w:hAnsi="Calibri" w:eastAsia="Microsoft YaHei"/>
                <w:color w:val="556B55"/>
                <w:sz w:val="20"/>
              </w:rPr>
              <w:t>ChatGLM3-6B-GGUF</w:t>
            </w:r>
          </w:p>
        </w:tc>
        <w:tc>
          <w:tcPr>
            <w:tcW w:w="1400" w:type="dxa"/>
          </w:tcPr>
          <w:p>
            <w:pPr>
              <w:spacing w:before="40" w:after="40"/>
              <w:ind w:firstLine="0"/>
              <w:jc w:val="center"/>
            </w:pPr>
            <w:r>
              <w:rPr>
                <w:rFonts w:ascii="Calibri" w:hAnsi="Calibri" w:eastAsia="Microsoft YaHei"/>
                <w:color w:val="556B55"/>
                <w:sz w:val="20"/>
              </w:rPr>
              <w:t>6GB</w:t>
            </w:r>
          </w:p>
        </w:tc>
        <w:tc>
          <w:tcPr>
            <w:tcW w:w="1400" w:type="dxa"/>
          </w:tcPr>
          <w:p>
            <w:pPr>
              <w:spacing w:before="40" w:after="40"/>
              <w:ind w:firstLine="0"/>
              <w:jc w:val="center"/>
            </w:pPr>
            <w:r>
              <w:rPr>
                <w:rFonts w:ascii="Calibri" w:hAnsi="Calibri" w:eastAsia="Microsoft YaHei"/>
                <w:color w:val="556B55"/>
                <w:sz w:val="20"/>
              </w:rPr>
              <w:t>20 tok/s</w:t>
            </w:r>
          </w:p>
        </w:tc>
        <w:tc>
          <w:tcPr>
            <w:tcW w:w="2600" w:type="dxa"/>
          </w:tcPr>
          <w:p>
            <w:pPr>
              <w:spacing w:before="40" w:after="40"/>
              <w:ind w:firstLine="0"/>
              <w:jc w:val="center"/>
            </w:pPr>
            <w:r>
              <w:rPr>
                <w:rFonts w:ascii="Calibri" w:hAnsi="Calibri" w:eastAsia="Microsoft YaHei"/>
                <w:color w:val="556B55"/>
                <w:sz w:val="20"/>
              </w:rPr>
              <w:t>备选主力（中文优化好）</w:t>
            </w:r>
          </w:p>
        </w:tc>
      </w:tr>
      <w:tr>
        <w:tc>
          <w:tcPr>
            <w:tcW w:w="1800" w:type="dxa"/>
          </w:tcPr>
          <w:p>
            <w:pPr>
              <w:spacing w:before="40" w:after="40"/>
              <w:ind w:firstLine="0"/>
              <w:jc w:val="center"/>
            </w:pPr>
            <w:r>
              <w:rPr>
                <w:rFonts w:ascii="Calibri" w:hAnsi="Calibri" w:eastAsia="Microsoft YaHei"/>
                <w:color w:val="556B55"/>
                <w:sz w:val="20"/>
              </w:rPr>
              <w:t>DeepSeek-R1-Distill-1.5B</w:t>
            </w:r>
          </w:p>
        </w:tc>
        <w:tc>
          <w:tcPr>
            <w:tcW w:w="1400" w:type="dxa"/>
          </w:tcPr>
          <w:p>
            <w:pPr>
              <w:spacing w:before="40" w:after="40"/>
              <w:ind w:firstLine="0"/>
              <w:jc w:val="center"/>
            </w:pPr>
            <w:r>
              <w:rPr>
                <w:rFonts w:ascii="Calibri" w:hAnsi="Calibri" w:eastAsia="Microsoft YaHei"/>
                <w:color w:val="556B55"/>
                <w:sz w:val="20"/>
              </w:rPr>
              <w:t>4GB</w:t>
            </w:r>
          </w:p>
        </w:tc>
        <w:tc>
          <w:tcPr>
            <w:tcW w:w="1400" w:type="dxa"/>
          </w:tcPr>
          <w:p>
            <w:pPr>
              <w:spacing w:before="40" w:after="40"/>
              <w:ind w:firstLine="0"/>
              <w:jc w:val="center"/>
            </w:pPr>
            <w:r>
              <w:rPr>
                <w:rFonts w:ascii="Calibri" w:hAnsi="Calibri" w:eastAsia="Microsoft YaHei"/>
                <w:color w:val="556B55"/>
                <w:sz w:val="20"/>
              </w:rPr>
              <w:t>50 tok/s</w:t>
            </w:r>
          </w:p>
        </w:tc>
        <w:tc>
          <w:tcPr>
            <w:tcW w:w="2600" w:type="dxa"/>
          </w:tcPr>
          <w:p>
            <w:pPr>
              <w:spacing w:before="40" w:after="40"/>
              <w:ind w:firstLine="0"/>
              <w:jc w:val="center"/>
            </w:pPr>
            <w:r>
              <w:rPr>
                <w:rFonts w:ascii="Calibri" w:hAnsi="Calibri" w:eastAsia="Microsoft YaHei"/>
                <w:color w:val="556B55"/>
                <w:sz w:val="20"/>
              </w:rPr>
              <w:t>轻量快速校正</w:t>
            </w:r>
          </w:p>
        </w:tc>
      </w:tr>
      <w:tr>
        <w:tc>
          <w:tcPr>
            <w:tcW w:w="1800" w:type="dxa"/>
          </w:tcPr>
          <w:p>
            <w:pPr>
              <w:spacing w:before="40" w:after="40"/>
              <w:ind w:firstLine="0"/>
              <w:jc w:val="center"/>
            </w:pPr>
            <w:r>
              <w:rPr>
                <w:rFonts w:ascii="Calibri" w:hAnsi="Calibri" w:eastAsia="Microsoft YaHei"/>
                <w:color w:val="556B55"/>
                <w:sz w:val="20"/>
              </w:rPr>
              <w:t>Qwen2.5-14B-Int4</w:t>
            </w:r>
          </w:p>
        </w:tc>
        <w:tc>
          <w:tcPr>
            <w:tcW w:w="1400" w:type="dxa"/>
          </w:tcPr>
          <w:p>
            <w:pPr>
              <w:spacing w:before="40" w:after="40"/>
              <w:ind w:firstLine="0"/>
              <w:jc w:val="center"/>
            </w:pPr>
            <w:r>
              <w:rPr>
                <w:rFonts w:ascii="Calibri" w:hAnsi="Calibri" w:eastAsia="Microsoft YaHei"/>
                <w:color w:val="556B55"/>
                <w:sz w:val="20"/>
              </w:rPr>
              <w:t>12GB</w:t>
            </w:r>
          </w:p>
        </w:tc>
        <w:tc>
          <w:tcPr>
            <w:tcW w:w="1400" w:type="dxa"/>
          </w:tcPr>
          <w:p>
            <w:pPr>
              <w:spacing w:before="40" w:after="40"/>
              <w:ind w:firstLine="0"/>
              <w:jc w:val="center"/>
            </w:pPr>
            <w:r>
              <w:rPr>
                <w:rFonts w:ascii="Calibri" w:hAnsi="Calibri" w:eastAsia="Microsoft YaHei"/>
                <w:color w:val="556B55"/>
                <w:sz w:val="20"/>
              </w:rPr>
              <w:t>18 tok/s</w:t>
            </w:r>
          </w:p>
        </w:tc>
        <w:tc>
          <w:tcPr>
            <w:tcW w:w="2600" w:type="dxa"/>
          </w:tcPr>
          <w:p>
            <w:pPr>
              <w:spacing w:before="40" w:after="40"/>
              <w:ind w:firstLine="0"/>
              <w:jc w:val="center"/>
            </w:pPr>
            <w:r>
              <w:rPr>
                <w:rFonts w:ascii="Calibri" w:hAnsi="Calibri" w:eastAsia="Microsoft YaHei"/>
                <w:color w:val="556B55"/>
                <w:sz w:val="20"/>
              </w:rPr>
              <w:t>高精度复杂推理场景</w:t>
            </w:r>
          </w:p>
        </w:tc>
      </w:tr>
    </w:tbl>
    <w:p>
      <w:r>
        <w:t>推荐采用Qwen2.5-7B-Int4量化版本作为主力校正模型，在RTX 3060（12GB显存）上推理速度可达30 tokens/秒，处理一段300字的转写文本仅需约10秒。对于无GPU设备，可使用ChatGLM3-6B-GGUF格式通过CPU推理（速度约5 tokens/秒，适合非实时场景）。</w:t>
      </w:r>
    </w:p>
    <w:p>
      <w:r>
        <w:t>LLM校正模块与ASR引擎通过RESTful API解耦，可独立升级和替换。当发现LLM校正引入新错误时，可通过调整prompt模板或切换模型版本快速修复，无需重新部署整个系统。</w:t>
      </w:r>
    </w:p>
    <w:p>
      <w:pPr>
        <w:pStyle w:val="Heading1"/>
      </w:pPr>
      <w:r>
        <w:rPr>
          <w:rFonts w:ascii="Calibri" w:hAnsi="Calibri" w:eastAsia="Microsoft YaHei"/>
          <w:b/>
          <w:color w:val="4A6741"/>
          <w:sz w:val="36"/>
        </w:rPr>
        <w:t>九、历史音频-文本对的模型训练</w:t>
      </w:r>
    </w:p>
    <w:p>
      <w:pPr>
        <w:spacing w:line="360" w:lineRule="auto"/>
        <w:ind w:firstLine="420"/>
      </w:pPr>
      <w:r>
        <w:rPr>
          <w:rFonts w:ascii="Calibri" w:hAnsi="Calibri" w:eastAsia="Microsoft YaHei"/>
          <w:color w:val="2F3A2E"/>
          <w:sz w:val="21"/>
        </w:rPr>
        <w:t>禅修机构积累了大量历史课程的音频文件以及对应的人工精校转录文稿。这些数据是训练领域专用ASR模型的宝贵资产。通过将已有音频与对齐文本用于模型微调，可以显著提升系统对特定讲师发音习惯、禅修术语和课程语境的识别能力。</w:t>
      </w:r>
    </w:p>
    <w:p>
      <w:pPr>
        <w:pStyle w:val="Heading2"/>
      </w:pPr>
      <w:r>
        <w:rPr>
          <w:rFonts w:ascii="Calibri" w:hAnsi="Calibri" w:eastAsia="Microsoft YaHei"/>
          <w:b/>
          <w:color w:val="2F3A2E"/>
          <w:sz w:val="28"/>
        </w:rPr>
        <w:t>9.1 数据准备与音频-文本对齐</w:t>
      </w:r>
    </w:p>
    <w:p>
      <w:pPr>
        <w:spacing w:line="360" w:lineRule="auto"/>
        <w:ind w:firstLine="420"/>
      </w:pPr>
      <w:r>
        <w:rPr>
          <w:rFonts w:ascii="Calibri" w:hAnsi="Calibri" w:eastAsia="Microsoft YaHei"/>
          <w:color w:val="2F3A2E"/>
          <w:sz w:val="21"/>
        </w:rPr>
        <w:t>利用历史数据训练模型的首要挑战是：已有的转录文稿通常不包含时间戳信息，无法直接与音频逐句对应。因此需要先进行音频-文本对齐（Forced Alignment），将整篇文稿与音频在时间轴上映射。系统提供以下对齐方案：</w:t>
      </w:r>
    </w:p>
    <w:p>
      <w:pPr>
        <w:numPr>
          <w:ilvl w:val="0"/>
          <w:numId w:val="1"/>
        </w:numPr>
        <w:spacing w:line="360" w:lineRule="auto"/>
        <w:ind w:firstLine="0"/>
      </w:pPr>
      <w:r>
        <w:rPr>
          <w:rFonts w:ascii="Calibri" w:hAnsi="Calibri" w:eastAsia="Microsoft YaHei"/>
          <w:color w:val="2F3A2E"/>
          <w:sz w:val="21"/>
        </w:rPr>
        <w:t>Montreal Forced Aligner（MFA）：基于HMM-GMM的成熟对齐工具，支持中文，精度可达毫秒级。需要预训练声学模型和发音词典，适合批量处理大量历史音频。</w:t>
      </w:r>
    </w:p>
    <w:p>
      <w:pPr>
        <w:numPr>
          <w:ilvl w:val="0"/>
          <w:numId w:val="1"/>
        </w:numPr>
        <w:spacing w:line="360" w:lineRule="auto"/>
        <w:ind w:firstLine="0"/>
      </w:pPr>
      <w:r>
        <w:rPr>
          <w:rFonts w:ascii="Calibri" w:hAnsi="Calibri" w:eastAsia="Microsoft YaHei"/>
          <w:color w:val="2F3A2E"/>
          <w:sz w:val="21"/>
        </w:rPr>
        <w:t>CTC Forced Alignment：利用Wav2Vec2等CTC模型的emission概率进行对齐，无需额外词典。适合快速原型验证，对长音频需要分段处理以避免漂移累积。</w:t>
      </w:r>
    </w:p>
    <w:p>
      <w:pPr>
        <w:numPr>
          <w:ilvl w:val="0"/>
          <w:numId w:val="1"/>
        </w:numPr>
        <w:spacing w:line="360" w:lineRule="auto"/>
        <w:ind w:firstLine="0"/>
      </w:pPr>
      <w:r>
        <w:rPr>
          <w:rFonts w:ascii="Calibri" w:hAnsi="Calibri" w:eastAsia="Microsoft YaHei"/>
          <w:color w:val="2F3A2E"/>
          <w:sz w:val="21"/>
        </w:rPr>
        <w:t>Whisper字级时间戳辅助对齐：先用Whisper生成带字级时间戳的初步转写，再通过动态时间规整（DTW）算法将已有文稿与Whisper的转写结果对齐，映射到Whisper的时间轴。此方法对精度要求不是极致高的场景最为便捷。</w:t>
      </w:r>
    </w:p>
    <w:p>
      <w:pPr>
        <w:numPr>
          <w:ilvl w:val="0"/>
          <w:numId w:val="1"/>
        </w:numPr>
        <w:spacing w:line="360" w:lineRule="auto"/>
        <w:ind w:firstLine="0"/>
      </w:pPr>
      <w:r>
        <w:rPr>
          <w:rFonts w:ascii="Calibri" w:hAnsi="Calibri" w:eastAsia="Microsoft YaHei"/>
          <w:color w:val="2F3A2E"/>
          <w:sz w:val="21"/>
        </w:rPr>
        <w:t>FunASR内置对齐功能：SenseVoice/Paraformer模型支持输出token级别的开始/结束时间，可直接用于与已有文稿的逐句对齐。</w:t>
      </w:r>
    </w:p>
    <w:p>
      <w:pPr>
        <w:spacing w:line="360" w:lineRule="auto"/>
        <w:ind w:firstLine="420"/>
      </w:pPr>
      <w:r>
        <w:rPr>
          <w:rFonts w:ascii="Calibri" w:hAnsi="Calibri" w:eastAsia="Microsoft YaHei"/>
          <w:color w:val="2F3A2E"/>
          <w:sz w:val="21"/>
        </w:rPr>
        <w:t>对齐完成后，数据格式化为模型训练所需的标准结构：每条记录包含音频文件路径、采样率（16kHz）、文本转录、以及可选的说话人ID和时间段信息。以下为不同数据量的训练策略：</w:t>
      </w:r>
    </w:p>
    <w:p>
      <w:pPr>
        <w:pStyle w:val="Heading2"/>
      </w:pPr>
      <w:r>
        <w:rPr>
          <w:rFonts w:ascii="Calibri" w:hAnsi="Calibri" w:eastAsia="Microsoft YaHei"/>
          <w:b/>
          <w:color w:val="2F3A2E"/>
          <w:sz w:val="28"/>
        </w:rPr>
        <w:t>9.2 模型微调技术方案</w:t>
      </w:r>
    </w:p>
    <w:p>
      <w:pPr>
        <w:spacing w:line="360" w:lineRule="auto"/>
        <w:ind w:firstLine="420"/>
      </w:pPr>
      <w:r>
        <w:rPr>
          <w:rFonts w:ascii="Calibri" w:hAnsi="Calibri" w:eastAsia="Microsoft YaHei"/>
          <w:color w:val="2F3A2E"/>
          <w:sz w:val="21"/>
        </w:rPr>
        <w:t>对齐数据准备好后，采用以下技术方案对ASR模型进行领域适配微调：</w:t>
      </w:r>
    </w:p>
    <w:p>
      <w:pPr>
        <w:pStyle w:val="Heading3"/>
      </w:pPr>
      <w:r>
        <w:rPr>
          <w:rFonts w:ascii="Calibri" w:hAnsi="Calibri" w:eastAsia="Microsoft YaHei"/>
          <w:b/>
          <w:color w:val="556B55"/>
          <w:sz w:val="24"/>
        </w:rPr>
        <w:t>9.2.1 Whisper微调</w:t>
      </w:r>
    </w:p>
    <w:p>
      <w:pPr>
        <w:spacing w:line="360" w:lineRule="auto"/>
        <w:ind w:firstLine="420"/>
      </w:pPr>
      <w:r>
        <w:rPr>
          <w:rFonts w:ascii="Calibri" w:hAnsi="Calibri" w:eastAsia="Microsoft YaHei"/>
          <w:color w:val="2F3A2E"/>
          <w:sz w:val="21"/>
        </w:rPr>
        <w:t>通过Hugging Face Transformers框架对Whisper进行监督微调。加载预训练的WhisperProcessor和WhisperForConditionalGeneration，将音频数据转换为input_features，文本标签转换为token IDs。训练参数建议使用：学习率1e-5，batch_size=4，梯度累积8步，warmup_steps=500，fp16混合精度训练。在RTX 3080（16GB显存）上，每1000小时数据约需训练6-8小时。</w:t>
      </w:r>
    </w:p>
    <w:p>
      <w:pPr>
        <w:pStyle w:val="Heading3"/>
      </w:pPr>
      <w:r>
        <w:rPr>
          <w:rFonts w:ascii="Calibri" w:hAnsi="Calibri" w:eastAsia="Microsoft YaHei"/>
          <w:b/>
          <w:color w:val="556B55"/>
          <w:sz w:val="24"/>
        </w:rPr>
        <w:t>9.2.2 FunASR/SenseVoice微调</w:t>
      </w:r>
    </w:p>
    <w:p>
      <w:pPr>
        <w:spacing w:line="360" w:lineRule="auto"/>
        <w:ind w:firstLine="420"/>
      </w:pPr>
      <w:r>
        <w:rPr>
          <w:rFonts w:ascii="Calibri" w:hAnsi="Calibri" w:eastAsia="Microsoft YaHei"/>
          <w:color w:val="2F3A2E"/>
          <w:sz w:val="21"/>
        </w:rPr>
        <w:t>FunASR框架提供完整的微调流程。使用finetune.sh脚本，指定预训练模型（如paraformer-zh或sensevoice-small）、训练数据路径和输出目录。FunASR的数据格式要求为：train.txt和valid.txt，每行包含音频路径和对应转录文本，以空格分隔。FunASR微调对数据质量要求较高，建议提前清理文本中的特殊字符并统一标点格式。</w:t>
      </w:r>
    </w:p>
    <w:p>
      <w:pPr>
        <w:pStyle w:val="Heading3"/>
      </w:pPr>
      <w:r>
        <w:rPr>
          <w:rFonts w:ascii="Calibri" w:hAnsi="Calibri" w:eastAsia="Microsoft YaHei"/>
          <w:b/>
          <w:color w:val="556B55"/>
          <w:sz w:val="24"/>
        </w:rPr>
        <w:t>9.2.3 训练流程自动化</w:t>
      </w:r>
    </w:p>
    <w:p>
      <w:pPr>
        <w:spacing w:line="360" w:lineRule="auto"/>
        <w:ind w:firstLine="420"/>
      </w:pPr>
      <w:r>
        <w:rPr>
          <w:rFonts w:ascii="Calibri" w:hAnsi="Calibri" w:eastAsia="Microsoft YaHei"/>
          <w:color w:val="2F3A2E"/>
          <w:sz w:val="21"/>
        </w:rPr>
        <w:t>系统内置训练任务管理器，用户仅需上传音频文件夹和对应的文本文件（或Word文档），系统自动完成：格式转换、VAD分段、音频-文本对齐、数据集划分、模型微调、效果评估。整个流程通过可视化界面一键触发，无需命令行操作。训练过程中实时展示loss曲线和验证集WER/CER指标。</w:t>
      </w:r>
    </w:p>
    <w:p>
      <w:pPr>
        <w:pStyle w:val="Heading2"/>
      </w:pPr>
      <w:r>
        <w:rPr>
          <w:rFonts w:ascii="Calibri" w:hAnsi="Calibri" w:eastAsia="Microsoft YaHei"/>
          <w:b/>
          <w:color w:val="2F3A2E"/>
          <w:sz w:val="28"/>
        </w:rPr>
        <w:t>9.3 训练效果评估与迭代</w:t>
      </w:r>
    </w:p>
    <w:p>
      <w:pPr>
        <w:spacing w:line="360" w:lineRule="auto"/>
        <w:ind w:firstLine="420"/>
      </w:pPr>
      <w:r>
        <w:rPr>
          <w:rFonts w:ascii="Calibri" w:hAnsi="Calibri" w:eastAsia="Microsoft YaHei"/>
          <w:color w:val="2F3A2E"/>
          <w:sz w:val="21"/>
        </w:rPr>
        <w:t>每次训练完成后，系统自动在held-out测试集上评估模型性能，生成对比报告（与基线模型的WER/CER对比、术语识别准确率对比、不同音频质量的识别率对比）。用户可选择将新模型部署为默认模型，或与旧模型并行运行进行A/B测试。训练效果持续追踪，形成数据积累、模型训练、效果验证、数据扩充的正向循环。</w:t>
      </w:r>
    </w:p>
    <w:p>
      <w:pPr>
        <w:pStyle w:val="Heading1"/>
      </w:pPr>
      <w:r>
        <w:rPr>
          <w:rFonts w:ascii="Calibri" w:hAnsi="Calibri" w:eastAsia="Microsoft YaHei"/>
          <w:b/>
          <w:color w:val="4A6741"/>
          <w:sz w:val="36"/>
        </w:rPr>
        <w:t>十、定制化Word文档输出</w:t>
      </w:r>
    </w:p>
    <w:p>
      <w:pPr>
        <w:spacing w:line="360" w:lineRule="auto"/>
        <w:ind w:firstLine="420"/>
      </w:pPr>
      <w:r>
        <w:rPr>
          <w:rFonts w:ascii="Calibri" w:hAnsi="Calibri" w:eastAsia="Microsoft YaHei"/>
          <w:color w:val="2F3A2E"/>
          <w:sz w:val="21"/>
        </w:rPr>
        <w:t>转写完成后的内容需要以规范的Word文档形式交付给编辑者和发布团队。不同用途的文稿有不同的排版要求——课程讲义需要标题层级分明、法会谈稿需要引文特殊标注、公众号推文需要段落简洁易读。系统提供基于范文学习和规则驱动的双模式排版方案，让用户能够按照既定格式规范自动输出Word文稿。</w:t>
      </w:r>
    </w:p>
    <w:p>
      <w:pPr>
        <w:pStyle w:val="Heading2"/>
      </w:pPr>
      <w:r>
        <w:rPr>
          <w:rFonts w:ascii="Calibri" w:hAnsi="Calibri" w:eastAsia="Microsoft YaHei"/>
          <w:b/>
          <w:color w:val="2F3A2E"/>
          <w:sz w:val="28"/>
        </w:rPr>
        <w:t>10.1 双模式排版方案</w:t>
      </w:r>
    </w:p>
    <w:p>
      <w:pPr>
        <w:spacing w:line="360" w:lineRule="auto"/>
        <w:ind w:firstLine="420"/>
      </w:pPr>
      <w:r>
        <w:rPr>
          <w:rFonts w:ascii="Calibri" w:hAnsi="Calibri" w:eastAsia="Microsoft YaHei"/>
          <w:color w:val="2F3A2E"/>
          <w:sz w:val="21"/>
        </w:rPr>
        <w:t>系统提供两种文档排版模式，覆盖从灵活到严格的不同需求：</w:t>
      </w:r>
    </w:p>
    <w:p>
      <w:pPr>
        <w:pStyle w:val="Heading3"/>
      </w:pPr>
      <w:r>
        <w:rPr>
          <w:rFonts w:ascii="Calibri" w:hAnsi="Calibri" w:eastAsia="Microsoft YaHei"/>
          <w:b/>
          <w:color w:val="556B55"/>
          <w:sz w:val="24"/>
        </w:rPr>
        <w:t>10.1.1 范文学习模式</w:t>
      </w:r>
    </w:p>
    <w:p>
      <w:pPr>
        <w:spacing w:line="360" w:lineRule="auto"/>
        <w:ind w:firstLine="420"/>
      </w:pPr>
      <w:r>
        <w:rPr>
          <w:rFonts w:ascii="Calibri" w:hAnsi="Calibri" w:eastAsia="Microsoft YaHei"/>
          <w:color w:val="2F3A2E"/>
          <w:sz w:val="21"/>
        </w:rPr>
        <w:t>用户上传一份排版好的范文Word文档，系统自动分析并提取其中的样式特征，形成模板配置文件。具体提取内容包括：</w:t>
      </w:r>
    </w:p>
    <w:p>
      <w:pPr>
        <w:numPr>
          <w:ilvl w:val="0"/>
          <w:numId w:val="1"/>
        </w:numPr>
        <w:spacing w:line="360" w:lineRule="auto"/>
        <w:ind w:firstLine="0"/>
      </w:pPr>
      <w:r>
        <w:rPr>
          <w:rFonts w:ascii="Calibri" w:hAnsi="Calibri" w:eastAsia="Microsoft YaHei"/>
          <w:color w:val="2F3A2E"/>
          <w:sz w:val="21"/>
        </w:rPr>
        <w:t>标题样式：各级标题的字体、字号、颜色、加粗状态、段前段后间距</w:t>
      </w:r>
    </w:p>
    <w:p>
      <w:pPr>
        <w:numPr>
          <w:ilvl w:val="0"/>
          <w:numId w:val="1"/>
        </w:numPr>
        <w:spacing w:line="360" w:lineRule="auto"/>
        <w:ind w:firstLine="0"/>
      </w:pPr>
      <w:r>
        <w:rPr>
          <w:rFonts w:ascii="Calibri" w:hAnsi="Calibri" w:eastAsia="Microsoft YaHei"/>
          <w:color w:val="2F3A2E"/>
          <w:sz w:val="21"/>
        </w:rPr>
        <w:t>正文样式：正文字体、字号、行距、首行缩进、段间距</w:t>
      </w:r>
    </w:p>
    <w:p>
      <w:pPr>
        <w:numPr>
          <w:ilvl w:val="0"/>
          <w:numId w:val="1"/>
        </w:numPr>
        <w:spacing w:line="360" w:lineRule="auto"/>
        <w:ind w:firstLine="0"/>
      </w:pPr>
      <w:r>
        <w:rPr>
          <w:rFonts w:ascii="Calibri" w:hAnsi="Calibri" w:eastAsia="Microsoft YaHei"/>
          <w:color w:val="2F3A2E"/>
          <w:sz w:val="21"/>
        </w:rPr>
        <w:t>特殊元素：引用块、偈颂、注释框的边框样式和背景色</w:t>
      </w:r>
    </w:p>
    <w:p>
      <w:pPr>
        <w:numPr>
          <w:ilvl w:val="0"/>
          <w:numId w:val="1"/>
        </w:numPr>
        <w:spacing w:line="360" w:lineRule="auto"/>
        <w:ind w:firstLine="0"/>
      </w:pPr>
      <w:r>
        <w:rPr>
          <w:rFonts w:ascii="Calibri" w:hAnsi="Calibri" w:eastAsia="Microsoft YaHei"/>
          <w:color w:val="2F3A2E"/>
          <w:sz w:val="21"/>
        </w:rPr>
        <w:t>列表格式：项目符号类型、编号格式、缩进层级</w:t>
      </w:r>
    </w:p>
    <w:p>
      <w:pPr>
        <w:numPr>
          <w:ilvl w:val="0"/>
          <w:numId w:val="1"/>
        </w:numPr>
        <w:spacing w:line="360" w:lineRule="auto"/>
        <w:ind w:firstLine="0"/>
      </w:pPr>
      <w:r>
        <w:rPr>
          <w:rFonts w:ascii="Calibri" w:hAnsi="Calibri" w:eastAsia="Microsoft YaHei"/>
          <w:color w:val="2F3A2E"/>
          <w:sz w:val="21"/>
        </w:rPr>
        <w:t>页面设置：页边距、纸张大小、页眉页脚样式</w:t>
      </w:r>
    </w:p>
    <w:p>
      <w:pPr>
        <w:spacing w:line="360" w:lineRule="auto"/>
        <w:ind w:firstLine="420"/>
      </w:pPr>
      <w:r>
        <w:rPr>
          <w:rFonts w:ascii="Calibri" w:hAnsi="Calibri" w:eastAsia="Microsoft YaHei"/>
          <w:color w:val="2F3A2E"/>
          <w:sz w:val="21"/>
        </w:rPr>
        <w:t>提取完成后，系统将样式特征保存为JSON格式的模板配置文件。后续转写内容可直接套用该模板，生成与范文排版一致的Word文档。支持保存多个模板并在导出时自由切换。</w:t>
      </w:r>
    </w:p>
    <w:p>
      <w:pPr>
        <w:pStyle w:val="Heading3"/>
      </w:pPr>
      <w:r>
        <w:rPr>
          <w:rFonts w:ascii="Calibri" w:hAnsi="Calibri" w:eastAsia="Microsoft YaHei"/>
          <w:b/>
          <w:color w:val="556B55"/>
          <w:sz w:val="24"/>
        </w:rPr>
        <w:t>10.1.2 规则驱动模式</w:t>
      </w:r>
    </w:p>
    <w:p>
      <w:pPr>
        <w:spacing w:line="360" w:lineRule="auto"/>
        <w:ind w:firstLine="420"/>
      </w:pPr>
      <w:r>
        <w:rPr>
          <w:rFonts w:ascii="Calibri" w:hAnsi="Calibri" w:eastAsia="Microsoft YaHei"/>
          <w:color w:val="2F3A2E"/>
          <w:sz w:val="21"/>
        </w:rPr>
        <w:t>对于没有现成范文的场景，系统提供可视化的排版规则编辑器。用户通过界面勾选和填写参数，定义输出文档的排版规范：</w:t>
      </w:r>
    </w:p>
    <w:p>
      <w:pPr>
        <w:numPr>
          <w:ilvl w:val="0"/>
          <w:numId w:val="1"/>
        </w:numPr>
        <w:spacing w:line="360" w:lineRule="auto"/>
        <w:ind w:firstLine="0"/>
      </w:pPr>
      <w:r>
        <w:rPr>
          <w:rFonts w:ascii="Calibri" w:hAnsi="Calibri" w:eastAsia="Microsoft YaHei"/>
          <w:color w:val="2F3A2E"/>
          <w:sz w:val="21"/>
        </w:rPr>
        <w:t>基础规则：正文宋体/微软雅黑、字号小四/五号、行距1.5倍/固定值22磅</w:t>
      </w:r>
    </w:p>
    <w:p>
      <w:pPr>
        <w:numPr>
          <w:ilvl w:val="0"/>
          <w:numId w:val="1"/>
        </w:numPr>
        <w:spacing w:line="360" w:lineRule="auto"/>
        <w:ind w:firstLine="0"/>
      </w:pPr>
      <w:r>
        <w:rPr>
          <w:rFonts w:ascii="Calibri" w:hAnsi="Calibri" w:eastAsia="Microsoft YaHei"/>
          <w:color w:val="2F3A2E"/>
          <w:sz w:val="21"/>
        </w:rPr>
        <w:t>标题层级：最多支持6级标题，分别设置字体、字号、颜色、是否自动编号</w:t>
      </w:r>
    </w:p>
    <w:p>
      <w:pPr>
        <w:numPr>
          <w:ilvl w:val="0"/>
          <w:numId w:val="1"/>
        </w:numPr>
        <w:spacing w:line="360" w:lineRule="auto"/>
        <w:ind w:firstLine="0"/>
      </w:pPr>
      <w:r>
        <w:rPr>
          <w:rFonts w:ascii="Calibri" w:hAnsi="Calibri" w:eastAsia="Microsoft YaHei"/>
          <w:color w:val="2F3A2E"/>
          <w:sz w:val="21"/>
        </w:rPr>
        <w:t>特殊标记：用户自定义的关键词触发特定样式（如经名自动加书名号并斜体、禅师名自动加特殊前缀）</w:t>
      </w:r>
    </w:p>
    <w:p>
      <w:pPr>
        <w:numPr>
          <w:ilvl w:val="0"/>
          <w:numId w:val="1"/>
        </w:numPr>
        <w:spacing w:line="360" w:lineRule="auto"/>
        <w:ind w:firstLine="0"/>
      </w:pPr>
      <w:r>
        <w:rPr>
          <w:rFonts w:ascii="Calibri" w:hAnsi="Calibri" w:eastAsia="Microsoft YaHei"/>
          <w:color w:val="2F3A2E"/>
          <w:sz w:val="21"/>
        </w:rPr>
        <w:t>段落类型：正文、引用、偈颂、问答、注释等不同段落类型分别设置样式</w:t>
      </w:r>
    </w:p>
    <w:p>
      <w:pPr>
        <w:numPr>
          <w:ilvl w:val="0"/>
          <w:numId w:val="1"/>
        </w:numPr>
        <w:spacing w:line="360" w:lineRule="auto"/>
        <w:ind w:firstLine="0"/>
      </w:pPr>
      <w:r>
        <w:rPr>
          <w:rFonts w:ascii="Calibri" w:hAnsi="Calibri" w:eastAsia="Microsoft YaHei"/>
          <w:color w:val="2F3A2E"/>
          <w:sz w:val="21"/>
        </w:rPr>
        <w:t>导出选项：是否包含封面页、目录页、页眉页脚、水印等</w:t>
      </w:r>
    </w:p>
    <w:p>
      <w:pPr>
        <w:spacing w:line="360" w:lineRule="auto"/>
        <w:ind w:firstLine="420"/>
      </w:pPr>
      <w:r>
        <w:rPr>
          <w:rFonts w:ascii="Calibri" w:hAnsi="Calibri" w:eastAsia="Microsoft YaHei"/>
          <w:color w:val="2F3A2E"/>
          <w:sz w:val="21"/>
        </w:rPr>
        <w:t>规则设置支持导入导出为YAML格式文件，便于团队内共享统一的排版标准。</w:t>
      </w:r>
    </w:p>
    <w:p>
      <w:pPr>
        <w:pStyle w:val="Heading2"/>
      </w:pPr>
      <w:r>
        <w:rPr>
          <w:rFonts w:ascii="Calibri" w:hAnsi="Calibri" w:eastAsia="Microsoft YaHei"/>
          <w:b/>
          <w:color w:val="2F3A2E"/>
          <w:sz w:val="28"/>
        </w:rPr>
        <w:t>10.2 基于python-docx-template的模板引擎</w:t>
      </w:r>
    </w:p>
    <w:p>
      <w:pPr>
        <w:spacing w:line="360" w:lineRule="auto"/>
        <w:ind w:firstLine="420"/>
      </w:pPr>
      <w:r>
        <w:rPr>
          <w:rFonts w:ascii="Calibri" w:hAnsi="Calibri" w:eastAsia="Microsoft YaHei"/>
          <w:color w:val="2F3A2E"/>
          <w:sz w:val="21"/>
        </w:rPr>
        <w:t>系统的Word文档生成核心基于python-docx-template（docxtpl）库。该库将Jinja2模板引擎与python-docx结合，实现了样式与内容的分离。模板制作过程完全在Microsoft Word中完成——用户在Word中设计好版式，在需要动态内容的位置插入Jinja2标签（如{{title}}、{{content}}、{% for section in sections %}），保存后即可作为模板使用。</w:t>
      </w:r>
    </w:p>
    <w:p>
      <w:pPr>
        <w:spacing w:line="360" w:lineRule="auto"/>
        <w:ind w:firstLine="420"/>
      </w:pPr>
      <w:r>
        <w:rPr>
          <w:rFonts w:ascii="Calibri" w:hAnsi="Calibri" w:eastAsia="Microsoft YaHei"/>
          <w:color w:val="2F3A2E"/>
          <w:sz w:val="21"/>
        </w:rPr>
        <w:t>对于转写场景的特殊需求，系统对docxtpl进行了扩展：</w:t>
      </w:r>
    </w:p>
    <w:p>
      <w:pPr>
        <w:numPr>
          <w:ilvl w:val="0"/>
          <w:numId w:val="1"/>
        </w:numPr>
        <w:spacing w:line="360" w:lineRule="auto"/>
        <w:ind w:firstLine="0"/>
      </w:pPr>
      <w:r>
        <w:rPr>
          <w:rFonts w:ascii="Calibri" w:hAnsi="Calibri" w:eastAsia="Microsoft YaHei"/>
          <w:color w:val="2F3A2E"/>
          <w:sz w:val="21"/>
        </w:rPr>
        <w:t>RichText支持：转写文本中的高置信度/低置信度标记可映射为Word中的不同文字颜色或底纹</w:t>
      </w:r>
    </w:p>
    <w:p>
      <w:pPr>
        <w:numPr>
          <w:ilvl w:val="0"/>
          <w:numId w:val="1"/>
        </w:numPr>
        <w:spacing w:line="360" w:lineRule="auto"/>
        <w:ind w:firstLine="0"/>
      </w:pPr>
      <w:r>
        <w:rPr>
          <w:rFonts w:ascii="Calibri" w:hAnsi="Calibri" w:eastAsia="Microsoft YaHei"/>
          <w:color w:val="2F3A2E"/>
          <w:sz w:val="21"/>
        </w:rPr>
        <w:t>段落级样式控制：根据内容类型（标题/正文/偈颂/问答）自动应用不同的段落样式</w:t>
      </w:r>
    </w:p>
    <w:p>
      <w:pPr>
        <w:numPr>
          <w:ilvl w:val="0"/>
          <w:numId w:val="1"/>
        </w:numPr>
        <w:spacing w:line="360" w:lineRule="auto"/>
        <w:ind w:firstLine="0"/>
      </w:pPr>
      <w:r>
        <w:rPr>
          <w:rFonts w:ascii="Calibri" w:hAnsi="Calibri" w:eastAsia="Microsoft YaHei"/>
          <w:color w:val="2F3A2E"/>
          <w:sz w:val="21"/>
        </w:rPr>
        <w:t>时间戳嵌入：可选择将句子级时间戳以页边批注或行内括号形式嵌入文档</w:t>
      </w:r>
    </w:p>
    <w:p>
      <w:pPr>
        <w:numPr>
          <w:ilvl w:val="0"/>
          <w:numId w:val="1"/>
        </w:numPr>
        <w:spacing w:line="360" w:lineRule="auto"/>
        <w:ind w:firstLine="0"/>
      </w:pPr>
      <w:r>
        <w:rPr>
          <w:rFonts w:ascii="Calibri" w:hAnsi="Calibri" w:eastAsia="Microsoft YaHei"/>
          <w:color w:val="2F3A2E"/>
          <w:sz w:val="21"/>
        </w:rPr>
        <w:t>多说话人标注：不同说话人的发言以不同颜色或前缀区分，便于后期编辑识别</w:t>
      </w:r>
    </w:p>
    <w:p>
      <w:pPr>
        <w:numPr>
          <w:ilvl w:val="0"/>
          <w:numId w:val="1"/>
        </w:numPr>
        <w:spacing w:line="360" w:lineRule="auto"/>
        <w:ind w:firstLine="0"/>
      </w:pPr>
      <w:r>
        <w:rPr>
          <w:rFonts w:ascii="Calibri" w:hAnsi="Calibri" w:eastAsia="Microsoft YaHei"/>
          <w:color w:val="2F3A2E"/>
          <w:sz w:val="21"/>
        </w:rPr>
        <w:t>批注保留：人机协作确认阶段的低置信度标注可选择保留为Word批注，方便编辑者重点关注</w:t>
      </w:r>
    </w:p>
    <w:p>
      <w:pPr>
        <w:pStyle w:val="Heading2"/>
      </w:pPr>
      <w:r>
        <w:rPr>
          <w:rFonts w:ascii="Calibri" w:hAnsi="Calibri" w:eastAsia="Microsoft YaHei"/>
          <w:b/>
          <w:color w:val="2F3A2E"/>
          <w:sz w:val="28"/>
        </w:rPr>
        <w:t>10.3 转写后智能排版处理</w:t>
      </w:r>
    </w:p>
    <w:p>
      <w:pPr>
        <w:spacing w:line="360" w:lineRule="auto"/>
        <w:ind w:firstLine="420"/>
      </w:pPr>
      <w:r>
        <w:rPr>
          <w:rFonts w:ascii="Calibri" w:hAnsi="Calibri" w:eastAsia="Microsoft YaHei"/>
          <w:color w:val="2F3A2E"/>
          <w:sz w:val="21"/>
        </w:rPr>
        <w:t>从原始转写文本到最终Word文档的生成过程中，系统执行以下智能排版处理：</w:t>
      </w:r>
    </w:p>
    <w:p>
      <w:pPr>
        <w:numPr>
          <w:ilvl w:val="0"/>
          <w:numId w:val="1"/>
        </w:numPr>
        <w:spacing w:line="360" w:lineRule="auto"/>
        <w:ind w:firstLine="0"/>
      </w:pPr>
      <w:r>
        <w:rPr>
          <w:rFonts w:ascii="Calibri" w:hAnsi="Calibri" w:eastAsia="Microsoft YaHei"/>
          <w:color w:val="2F3A2E"/>
          <w:sz w:val="21"/>
        </w:rPr>
        <w:t>自动标题识别：基于规则（关键词匹配：各位师兄、今天、接下来）和LLM推理，自动识别段落中的标题层级并应用对应样式</w:t>
      </w:r>
    </w:p>
    <w:p>
      <w:pPr>
        <w:numPr>
          <w:ilvl w:val="0"/>
          <w:numId w:val="1"/>
        </w:numPr>
        <w:spacing w:line="360" w:lineRule="auto"/>
        <w:ind w:firstLine="0"/>
      </w:pPr>
      <w:r>
        <w:rPr>
          <w:rFonts w:ascii="Calibri" w:hAnsi="Calibri" w:eastAsia="Microsoft YaHei"/>
          <w:color w:val="2F3A2E"/>
          <w:sz w:val="21"/>
        </w:rPr>
        <w:t>偈颂格式化处理：通过正则表达式识别偈颂文本（通常为四字/五字/七字的整齐排列），自动应用偈颂专用样式（居中、缩进、特殊字体）</w:t>
      </w:r>
    </w:p>
    <w:p>
      <w:pPr>
        <w:numPr>
          <w:ilvl w:val="0"/>
          <w:numId w:val="1"/>
        </w:numPr>
        <w:spacing w:line="360" w:lineRule="auto"/>
        <w:ind w:firstLine="0"/>
      </w:pPr>
      <w:r>
        <w:rPr>
          <w:rFonts w:ascii="Calibri" w:hAnsi="Calibri" w:eastAsia="Microsoft YaHei"/>
          <w:color w:val="2F3A2E"/>
          <w:sz w:val="21"/>
        </w:rPr>
        <w:t>引文自动标注：与术语库联动，识别佛经引文和禅师语录，自动添加书名号、斜体或引用块样式</w:t>
      </w:r>
    </w:p>
    <w:p>
      <w:pPr>
        <w:numPr>
          <w:ilvl w:val="0"/>
          <w:numId w:val="1"/>
        </w:numPr>
        <w:spacing w:line="360" w:lineRule="auto"/>
        <w:ind w:firstLine="0"/>
      </w:pPr>
      <w:r>
        <w:rPr>
          <w:rFonts w:ascii="Calibri" w:hAnsi="Calibri" w:eastAsia="Microsoft YaHei"/>
          <w:color w:val="2F3A2E"/>
          <w:sz w:val="21"/>
        </w:rPr>
        <w:t>问答格式分离：自动识别对话场景中的问答结构，以Q/A前缀或表格形式区分不同说话人</w:t>
      </w:r>
    </w:p>
    <w:p>
      <w:pPr>
        <w:numPr>
          <w:ilvl w:val="0"/>
          <w:numId w:val="1"/>
        </w:numPr>
        <w:spacing w:line="360" w:lineRule="auto"/>
        <w:ind w:firstLine="0"/>
      </w:pPr>
      <w:r>
        <w:rPr>
          <w:rFonts w:ascii="Calibri" w:hAnsi="Calibri" w:eastAsia="Microsoft YaHei"/>
          <w:color w:val="2F3A2E"/>
          <w:sz w:val="21"/>
        </w:rPr>
        <w:t>分页优化：根据内容逻辑（章节边界、偈颂完整性）智能插入分页符，避免不恰当的页面断裂</w:t>
      </w:r>
    </w:p>
    <w:p>
      <w:pPr>
        <w:pStyle w:val="Heading2"/>
      </w:pPr>
      <w:r>
        <w:rPr>
          <w:rFonts w:ascii="Calibri" w:hAnsi="Calibri" w:eastAsia="Microsoft YaHei"/>
          <w:b/>
          <w:color w:val="2F3A2E"/>
          <w:sz w:val="28"/>
        </w:rPr>
        <w:t>10.4 模板库与团队共享</w:t>
      </w:r>
    </w:p>
    <w:p>
      <w:pPr>
        <w:pStyle w:val="Normal"/>
        <w:spacing w:line="360" w:lineRule="auto"/>
        <w:ind w:firstLine="420"/>
      </w:pPr>
      <w:r>
        <w:rPr>
          <w:rFonts w:eastAsia="Microsoft YaHei"/>
          <w:rFonts w:ascii="Calibri" w:hAnsi="Calibri"/>
          <w:b w:val="0"/>
          <w:color w:val="2F3A2E"/>
          <w:sz w:val="21"/>
        </w:rPr>
        <w:t>章节结构可视化与输出——系统自动生成文档的章节大纲视图，以树形结构展示各级标题的层级关系。用户可在此视图中拖拽调整章节顺序、合并或拆分章节。确认后的章节结构直接驱动Word文档的生成：自动生成目录页、章节编号、页眉页脚中的章节标题等。对于系列课程，系统支持跨文稿的章节结构比对，识别出不同期课程的共同章节（如'课前引导''回向偈'等），并在输出中标注为新章节或沿用既有结构。</w:t>
      </w:r>
    </w:p>
    <w:p>
      <w:pPr>
        <w:pStyle w:val="Normal"/>
        <w:spacing w:line="360" w:lineRule="auto"/>
        <w:ind w:firstLine="420"/>
      </w:pPr>
      <w:r>
        <w:rPr>
          <w:rFonts w:eastAsia="Microsoft YaHei"/>
          <w:rFonts w:ascii="Calibri" w:hAnsi="Calibri"/>
          <w:b w:val="0"/>
          <w:color w:val="2F3A2E"/>
          <w:sz w:val="21"/>
        </w:rPr>
        <w:t>层级关系构建——系统根据标题之间的语义相似度和上下位关系推断层级。例如检测到'一、正念禅修''1.1 呼吸法''1.1.1 数息法'的递进关系时，自动构建三级章节结构。对于扁平化的转写文本（无明确标题），系统基于主题转换检测结果推断章节边界，并根据段落间的主题包含关系推导层级深度。生成的章节结构支持用户手动微调，调整结果反馈用于优化层级推断模型。</w:t>
      </w:r>
    </w:p>
    <w:p>
      <w:pPr>
        <w:pStyle w:val="Normal"/>
        <w:spacing w:line="360" w:lineRule="auto"/>
        <w:ind w:firstLine="420"/>
      </w:pPr>
      <w:r>
        <w:rPr>
          <w:rFonts w:eastAsia="Microsoft YaHei"/>
          <w:rFonts w:ascii="Calibri" w:hAnsi="Calibri"/>
          <w:b w:val="0"/>
          <w:color w:val="2F3A2E"/>
          <w:sz w:val="21"/>
        </w:rPr>
        <w:t>标题自动识别——系统通过多信号融合识别课程中的章节标题。语音信号：讲师在说标题时通常语速较慢、停顿较长、语调有仪式感；文本信号：标题包含开场词（'今天我们来''接下来''今天课程的主题是'）和格式特征（'第X章''第X节'）；语义信号：标题句的信息密度高于正文，且后文内容围绕其展开。三信号融合后，系统输出候选标题列表并按置信度排序，用户可一键确认或调整。</w:t>
      </w:r>
    </w:p>
    <w:p>
      <w:pPr>
        <w:pStyle w:val="Heading2"/>
        <w:spacing w:line="360" w:lineRule="auto"/>
        <w:ind w:firstLine="0"/>
      </w:pPr>
      <w:r>
        <w:rPr>
          <w:rFonts w:eastAsia="Microsoft YaHei"/>
          <w:rFonts w:ascii="Calibri" w:hAnsi="Calibri"/>
          <w:b/>
          <w:color w:val="2F3A2E"/>
          <w:sz w:val="28"/>
        </w:rPr>
        <w:t>11.4 自动分章节</w:t>
      </w:r>
    </w:p>
    <w:p>
      <w:pPr>
        <w:pStyle w:val="Normal"/>
        <w:spacing w:line="360" w:lineRule="auto"/>
        <w:ind w:firstLine="420"/>
      </w:pPr>
      <w:r>
        <w:rPr>
          <w:rFonts w:eastAsia="Microsoft YaHei"/>
          <w:rFonts w:ascii="Calibri" w:hAnsi="Calibri"/>
          <w:b w:val="0"/>
          <w:color w:val="2F3A2E"/>
          <w:sz w:val="21"/>
        </w:rPr>
        <w:t>人机协作分段确认——自动分段结果以可视化方式呈现：段落边界以虚线标注，鼠标悬停显示分段依据（PPL变化值/主题转换概率/LLM推理）。用户可拖拽调整边界、合并相邻段落、或手动插入新边界。所有人工调整记录进入反馈池，用于微调语义分割模型的阈值参数。对于禅修课程这类结构化内容，系统学习人工调整的模式（如'课前引导'段通常独立成段），逐步提升后续课程的自动分段准确率。</w:t>
      </w:r>
    </w:p>
    <w:p>
      <w:pPr>
        <w:pStyle w:val="Normal"/>
        <w:spacing w:line="360" w:lineRule="auto"/>
        <w:ind w:firstLine="420"/>
      </w:pPr>
      <w:r>
        <w:rPr>
          <w:rFonts w:eastAsia="Microsoft YaHei"/>
          <w:rFonts w:ascii="Calibri" w:hAnsi="Calibri"/>
          <w:b w:val="0"/>
          <w:color w:val="2F3A2E"/>
          <w:sz w:val="21"/>
        </w:rPr>
        <w:t>话题转换检测（Topic Segmentation）——系统利用BERT+TextSeg模型检测文本中的话题转换边界。具体方法为：将连续的句子对输入BERT编码器，输出两句之间的主题连贯性分数；当连贯性分数低于阈值（如0.3）且前后句子属于不同BERTopic主题簇时，判定为话题转换点。话题转换检测结果与PPL分割点交叉验证：同时被两种方法标记的位置作为高置信度段落边界；仅被单一方法标记的位置作为候选边界，需LLM进一步确认。此技术特别适用于开放式对话和答疑环节的主题切分。</w:t>
      </w:r>
    </w:p>
    <w:p>
      <w:pPr>
        <w:pStyle w:val="Normal"/>
        <w:spacing w:line="360" w:lineRule="auto"/>
        <w:ind w:firstLine="420"/>
      </w:pPr>
      <w:r>
        <w:rPr>
          <w:rFonts w:eastAsia="Microsoft YaHei"/>
          <w:rFonts w:ascii="Calibri" w:hAnsi="Calibri"/>
          <w:b w:val="0"/>
          <w:color w:val="2F3A2E"/>
          <w:sz w:val="21"/>
        </w:rPr>
        <w:t>基于LLM的动态语义分段——系统利用大语言模型的上下文理解能力进行精细化的段落分割。具体实现采用Few-Shot Prompting：用户提供2-3个人工分段的范例，LLM学习其分段风格（如'每讲到一个新方法就另起一段''偈颂单独成段'等隐含规则），然后将相同规则应用于新文本。为降低LLM调用成本，系统先用基于PPL（困惑度）的轻量方法做粗分段，仅在粗分段边界附近（前后3句）调用LLM进行精修。对于禅修课程，LLM特别擅长识别'开示→引导→答疑'的结构转换点，这些位置往往是人类校对员分段的关键依据。</w:t>
      </w:r>
    </w:p>
    <w:p>
      <w:pPr>
        <w:pStyle w:val="Heading2"/>
        <w:spacing w:line="360" w:lineRule="auto"/>
        <w:ind w:firstLine="0"/>
      </w:pPr>
      <w:r>
        <w:rPr>
          <w:rFonts w:eastAsia="Microsoft YaHei"/>
          <w:rFonts w:ascii="Calibri" w:hAnsi="Calibri"/>
          <w:b/>
          <w:color w:val="2F3A2E"/>
          <w:sz w:val="28"/>
        </w:rPr>
        <w:t>11.3 自动分段落</w:t>
      </w:r>
    </w:p>
    <w:p>
      <w:pPr>
        <w:pStyle w:val="Normal"/>
        <w:spacing w:line="360" w:lineRule="auto"/>
        <w:ind w:firstLine="420"/>
      </w:pPr>
      <w:r>
        <w:rPr>
          <w:rFonts w:eastAsia="Microsoft YaHei"/>
          <w:rFonts w:ascii="Calibri" w:hAnsi="Calibri"/>
          <w:b w:val="0"/>
          <w:color w:val="2F3A2E"/>
          <w:sz w:val="21"/>
        </w:rPr>
        <w:t>主题关联图谱——系统构建课程内容的主题关系网络：节点为主题，边的权重为主题间的共现频率和语义相似度。图谱直观展示课程的知识结构：核心主题（节点大、边多）处于中心位置，辅助主题围绕核心展开。用户可交互式探索主题关系，点击节点查看该主题下的所有原文片段和时间戳。主题图谱支持导出为可视化图片嵌入Word文档，便于快速概览课程全貌。对于系列课程，跨期主题图谱对比可揭示教学重点的演进轨迹。</w:t>
      </w:r>
    </w:p>
    <w:p>
      <w:pPr>
        <w:pStyle w:val="Normal"/>
        <w:spacing w:line="360" w:lineRule="auto"/>
        <w:ind w:firstLine="420"/>
      </w:pPr>
      <w:r>
        <w:rPr>
          <w:rFonts w:eastAsia="Microsoft YaHei"/>
          <w:rFonts w:ascii="Calibri" w:hAnsi="Calibri"/>
          <w:b w:val="0"/>
          <w:color w:val="2F3A2E"/>
          <w:sz w:val="21"/>
        </w:rPr>
        <w:t>主题摘要生成——对每个BERTopic聚类出的主题簇，系统调用本地LLM生成简洁的主题摘要。Prompt设计采用多层级策略：一级摘要（一句话）用于章节标题，二级摘要（50字）用于段落导读，三级摘要（200字）用于全文概览。LLM在生成摘要时参考主题簇内的关键词分布和代表性句子，确保摘要准确反映主题核心内容。摘要与原文双向关联：点击摘要跳转对应原文位置，原文段落旁显示所属主题标签。</w:t>
      </w:r>
    </w:p>
    <w:p>
      <w:pPr>
        <w:pStyle w:val="Normal"/>
        <w:spacing w:line="360" w:lineRule="auto"/>
        <w:ind w:firstLine="420"/>
      </w:pPr>
      <w:r>
        <w:rPr>
          <w:rFonts w:eastAsia="Microsoft YaHei"/>
          <w:rFonts w:ascii="Calibri" w:hAnsi="Calibri"/>
          <w:b w:val="0"/>
          <w:color w:val="2F3A2E"/>
          <w:sz w:val="21"/>
        </w:rPr>
        <w:t>BERTopic主题聚类——系统采用BERTopic框架对转写文本进行无监督主题建模。处理流程：首先使用Chinese-BERT-wwm对文本进行语义嵌入，将每个句子映射为高维向量；然后通过UMAP降维至低维空间，保留全局语义结构；接着使用HDBSCAN算法进行密度聚类，自动确定主题数量（无需预设）；最后通过c-TF-IDF计算每个主题簇的特征关键词，生成为主题标签。对于禅修课程，BERTopic可自动识别出'呼吸法''身体扫描''慈悲观''四念处'等主题，聚类精度在200小时以上的语料上可达85%以上。主题数量随数据量增加自适应增长，确保既不遗漏细分主题也不产生碎片化聚类。</w:t>
      </w:r>
    </w:p>
    <w:p>
      <w:pPr>
        <w:pStyle w:val="Heading2"/>
        <w:spacing w:line="360" w:lineRule="auto"/>
        <w:ind w:firstLine="0"/>
      </w:pPr>
      <w:r>
        <w:rPr>
          <w:rFonts w:eastAsia="Microsoft YaHei"/>
          <w:rFonts w:ascii="Calibri" w:hAnsi="Calibri"/>
          <w:b/>
          <w:color w:val="2F3A2E"/>
          <w:sz w:val="28"/>
        </w:rPr>
        <w:t>11.2 按主题总结</w:t>
      </w:r>
    </w:p>
    <w:p>
      <w:pPr>
        <w:pStyle w:val="Normal"/>
        <w:spacing w:line="360" w:lineRule="auto"/>
        <w:ind w:firstLine="420"/>
      </w:pPr>
      <w:r>
        <w:rPr>
          <w:rFonts w:eastAsia="Microsoft YaHei"/>
          <w:rFonts w:ascii="Calibri" w:hAnsi="Calibri"/>
          <w:b w:val="0"/>
          <w:color w:val="2F3A2E"/>
          <w:sz w:val="21"/>
        </w:rPr>
        <w:t>时间线摘要生成——对按时间段聚合后的内容，系统调用本地LLM生成每个时段的摘要。摘要生成遵循三层递进结构：时段标题（如'上午课程：正念呼吸法入门'，20字以内）、时段概要（100字左右，概括核心教学要点）、关键点列表（3-5条 bullet points）。LLM在生成时自动引用时间戳，如'10:15 讲解呼吸法基本姿势'，便于读者定位原文。时间线摘要支持多种输出格式：嵌于Word文档首页的概览表格、独立的时间线PDF、以及可交互的HTML时间线（点击跳转音频对应位置）。</w:t>
      </w:r>
    </w:p>
    <w:p>
      <w:pPr>
        <w:pStyle w:val="Normal"/>
        <w:spacing w:line="360" w:lineRule="auto"/>
        <w:ind w:firstLine="420"/>
      </w:pPr>
      <w:r>
        <w:rPr>
          <w:rFonts w:eastAsia="Microsoft YaHei"/>
          <w:rFonts w:ascii="Calibri" w:hAnsi="Calibri"/>
          <w:b w:val="0"/>
          <w:color w:val="2F3A2E"/>
          <w:sz w:val="21"/>
        </w:rPr>
        <w:t>停顿检测自然分段——利用VAD（语音活动检测）输出的静音段信息，识别课程中的自然停顿点。长停顿（&gt;3秒）通常对应段落边界或过渡；超长停顿（&gt;10秒）通常对应章节切换或练习环节。系统将停顿检测结果与语义分析结果交叉验证：若长停顿处同时发生话题转换，则标记为高置信度分段点；若仅有停顿而无话题转换，则标记为呼吸停顿，不作为分段依据。此方法对禅修课程尤为有效——引导练习中的静默期与讲解期的切换清晰可辨。</w:t>
      </w:r>
    </w:p>
    <w:p>
      <w:pPr>
        <w:pStyle w:val="Normal"/>
        <w:spacing w:line="360" w:lineRule="auto"/>
        <w:ind w:firstLine="420"/>
      </w:pPr>
      <w:r>
        <w:rPr>
          <w:rFonts w:eastAsia="Microsoft YaHei"/>
          <w:rFonts w:ascii="Calibri" w:hAnsi="Calibri"/>
          <w:b w:val="0"/>
          <w:color w:val="2F3A2E"/>
          <w:sz w:val="21"/>
        </w:rPr>
        <w:t>时间段自动划分——系统根据音频时间戳信息自动划分课程的时间结构。基础划分基于绝对时间：将整段录音按自然时间段划分为'上午课程''下午课程''晚上答疑'等，划分依据为录音开始时间和持续时长（如9:00-12:00为上午，14:00-17:00为下午）。对于多文件批量处理，系统根据文件名中的日期和时间信息自动排序并分组。进阶划分结合内容分析：检测每个时间段的开始标记语（如'各位师兄早上好'暗示上午开始），以及内容密度变化（从高密度讲解到低密度引导练习的转换暗示段落结束）。</w:t>
      </w:r>
    </w:p>
    <w:p>
      <w:pPr>
        <w:pStyle w:val="Heading2"/>
        <w:spacing w:line="360" w:lineRule="auto"/>
        <w:ind w:firstLine="0"/>
      </w:pPr>
      <w:r>
        <w:rPr>
          <w:rFonts w:eastAsia="Microsoft YaHei"/>
          <w:rFonts w:ascii="Calibri" w:hAnsi="Calibri"/>
          <w:b/>
          <w:color w:val="2F3A2E"/>
          <w:sz w:val="28"/>
        </w:rPr>
        <w:t>11.1 按时间总结</w:t>
      </w:r>
    </w:p>
    <w:p>
      <w:pPr>
        <w:pStyle w:val="Normal"/>
        <w:spacing w:line="360" w:lineRule="auto"/>
        <w:ind w:firstLine="420"/>
      </w:pPr>
      <w:r>
        <w:rPr>
          <w:rFonts w:eastAsia="Microsoft YaHei"/>
          <w:rFonts w:ascii="Calibri" w:hAnsi="Calibri"/>
          <w:b w:val="0"/>
          <w:color w:val="2F3A2E"/>
          <w:sz w:val="21"/>
        </w:rPr>
        <w:t>转写完成后的原始文本通常是一大段连续的流水账，缺乏结构化组织。系统提供智能总结与文档结构化功能，自动从时间维度、主题维度对内容进行组织和提炼，并依据语义自动切分段落和章节，最终输出结构清晰、层次分明的Word文档。整个过程无需人工干预，但保留人机协作调整的空间。</w:t>
      </w:r>
    </w:p>
    <w:p>
      <w:pPr>
        <w:pStyle w:val="Heading1"/>
        <w:spacing w:line="360" w:lineRule="auto"/>
        <w:ind w:firstLine="0"/>
      </w:pPr>
      <w:r>
        <w:rPr>
          <w:rFonts w:eastAsia="Microsoft YaHei"/>
          <w:rFonts w:ascii="Calibri" w:hAnsi="Calibri"/>
          <w:b/>
          <w:color w:val="4A6741"/>
          <w:sz w:val="36"/>
        </w:rPr>
        <w:t>十一、智能总结与文档结构化</w:t>
      </w:r>
    </w:p>
    <w:p>
      <w:pPr>
        <w:pStyle w:val="Heading2"/>
        <w:spacing w:line="360" w:lineRule="auto"/>
        <w:ind w:firstLine="0"/>
      </w:pPr>
      <w:r/>
      <w:r>
        <w:rPr>
          <w:rFonts w:eastAsia="Microsoft YaHei"/>
          <w:rFonts w:ascii="Calibri" w:hAnsi="Calibri"/>
          <w:b/>
          <w:color w:val="2F3A2E"/>
          <w:sz w:val="28"/>
        </w:rPr>
        <w:t>12.4 多用户协同校对与角色权限</w:t>
      </w:r>
    </w:p>
    <w:p>
      <w:pPr>
        <w:spacing w:line="360" w:lineRule="auto"/>
        <w:ind w:firstLine="420"/>
      </w:pPr>
      <w:r>
        <w:rPr>
          <w:rFonts w:eastAsia="Microsoft YaHei"/>
          <w:rFonts w:ascii="Calibri" w:hAnsi="Calibri"/>
          <w:color w:val="2F3A2E"/>
          <w:sz w:val="21"/>
        </w:rPr>
        <w:t>集中式服务天然支持多用户协同工作流。系统内置RBAC（基于角色的访问控制）权限模型，定义三种核心角色：转录员（上传音频、查看转写结果、执行基础校对）、校对审核员（执行深度校对、触发人机协作确认、审核他人校对结果）、系统管理员（管理用户账户、触发模型微调、配置服务参数）。同一篇文稿可分配多名校对员并行处理不同段落，审核员统一把关后定稿。所有操作记录完整审计日志（谁在何时做了什么修改），确保责任可追溯。校对过程中的分歧（如两名校对员对同一处修改意见不一致）自动标记为冲突，由审核员裁决。此设计使大型课程（如七天禅修营）可由多名义工协作完成转写，效率提升3-5倍。</w:t>
      </w:r>
    </w:p>
    <w:p>
      <w:pPr>
        <w:pStyle w:val="Heading2"/>
        <w:spacing w:line="360" w:lineRule="auto"/>
        <w:ind w:firstLine="0"/>
      </w:pPr>
      <w:r/>
      <w:r>
        <w:rPr>
          <w:rFonts w:eastAsia="Microsoft YaHei"/>
          <w:rFonts w:ascii="Calibri" w:hAnsi="Calibri"/>
          <w:b/>
          <w:color w:val="2F3A2E"/>
          <w:sz w:val="28"/>
        </w:rPr>
        <w:t>12.3 模型统一管理：聚合反馈、持续训练</w:t>
      </w:r>
    </w:p>
    <w:p>
      <w:pPr>
        <w:pStyle w:val="Heading3"/>
        <w:spacing w:line="360" w:lineRule="auto"/>
        <w:ind w:firstLine="0"/>
      </w:pPr>
      <w:r/>
      <w:r>
        <w:rPr>
          <w:rFonts w:eastAsia="Microsoft YaHei"/>
          <w:rFonts w:ascii="Calibri" w:hAnsi="Calibri"/>
          <w:b/>
          <w:color w:val="556B55"/>
          <w:sz w:val="24"/>
        </w:rPr>
        <w:t>12.3.3 模型版本与灰度发布</w:t>
      </w:r>
    </w:p>
    <w:p>
      <w:pPr>
        <w:spacing w:line="360" w:lineRule="auto"/>
        <w:ind w:firstLine="420"/>
      </w:pPr>
      <w:r>
        <w:rPr>
          <w:rFonts w:eastAsia="Microsoft YaHei"/>
          <w:rFonts w:ascii="Calibri" w:hAnsi="Calibri"/>
          <w:color w:val="2F3A2E"/>
          <w:sz w:val="21"/>
        </w:rPr>
        <w:t>云端模型采用版本化管理和灰度发布策略。每次微调后生成新版本（如v2.1.0），旧版本保留可回滚。新模型先发布给10%的用户进行A/B测试，比较WER/CER/用户满意度等指标，验证通过后逐步扩大至100%。LoRA Adapter支持热切换——推理服务无需重启即可加载新Adapter，切换过程零停机。版本历史完整记录每版模型的训练数据、超参数、效果指标，便于追溯和复现。</w:t>
      </w:r>
    </w:p>
    <w:p>
      <w:pPr>
        <w:pStyle w:val="Heading3"/>
        <w:spacing w:line="360" w:lineRule="auto"/>
        <w:ind w:firstLine="0"/>
      </w:pPr>
      <w:r/>
      <w:r>
        <w:rPr>
          <w:rFonts w:eastAsia="Microsoft YaHei"/>
          <w:rFonts w:ascii="Calibri" w:hAnsi="Calibri"/>
          <w:b/>
          <w:color w:val="556B55"/>
          <w:sz w:val="24"/>
        </w:rPr>
        <w:t>12.3.2 反馈聚合与集中微调</w:t>
      </w:r>
    </w:p>
    <w:p>
      <w:pPr>
        <w:spacing w:line="360" w:lineRule="auto"/>
        <w:ind w:firstLine="420"/>
      </w:pPr>
      <w:r>
        <w:rPr>
          <w:rFonts w:eastAsia="Microsoft YaHei"/>
          <w:rFonts w:ascii="Calibri" w:hAnsi="Calibri"/>
          <w:color w:val="2F3A2E"/>
          <w:sz w:val="21"/>
        </w:rPr>
        <w:t>所有用户的校对反馈实时汇聚到云端反馈数据库。当累积的纠错数据达到阈值（如1000条新样本或50小时新音频）时，系统自动触发集中式微调流程：自动挖掘的程式化表达库和历史转录文本作为领域知识注入，用户的纠错记录作为监督信号，通过LoRA技术对云端ASR模型进行增量更新。微调完成后，新LoRA Adapter推送给所有在线用户，本地模型在下一次联网同步时自动更新。这种集中训练、分发共享的模式确保所有用户始终使用同一版本的最优模型，避免了每人微调导致的模型碎片化问题。</w:t>
      </w:r>
    </w:p>
    <w:p>
      <w:pPr>
        <w:pStyle w:val="Heading3"/>
        <w:spacing w:line="360" w:lineRule="auto"/>
        <w:ind w:firstLine="0"/>
      </w:pPr>
      <w:r/>
      <w:r>
        <w:rPr>
          <w:rFonts w:eastAsia="Microsoft YaHei"/>
          <w:rFonts w:ascii="Calibri" w:hAnsi="Calibri"/>
          <w:b/>
          <w:color w:val="556B55"/>
          <w:sz w:val="24"/>
        </w:rPr>
        <w:t>12.3.1 云端-本地模型同步</w:t>
      </w:r>
    </w:p>
    <w:p>
      <w:pPr>
        <w:spacing w:line="360" w:lineRule="auto"/>
        <w:ind w:firstLine="420"/>
      </w:pPr>
      <w:r>
        <w:rPr>
          <w:rFonts w:eastAsia="Microsoft YaHei"/>
          <w:rFonts w:ascii="Calibri" w:hAnsi="Calibri"/>
          <w:color w:val="2F3A2E"/>
          <w:sz w:val="21"/>
        </w:rPr>
        <w:t>云端GPU服务器部署高精度ASR模型（Whisper large-v3-turbo + SenseVoice Large + LoRA领域Adapter）和LLM校正模型（Qwen3.6-27B），提供统一的高精度转写服务。客户端分为两类：在线客户端（调用云端API，享受最新最优模型）和离线客户端（本地运行轻量模型：SenseVoice Small + LoRA量化Adapter，保障基础可用性）。当网络恢复时，客户端自动检测云端模型版本：若云端有新版本（通过ETag或版本号比对），仅下载增量差异（LoRA Adapter通常仅几十MB），采用差分压缩（bsdiff/zstd）进一步减小传输体积，实现分钟级模型更新。同步过程对用户透明，后台静默完成，不影响当前工作。</w:t>
      </w:r>
    </w:p>
    <w:p>
      <w:pPr>
        <w:spacing w:line="360" w:lineRule="auto"/>
        <w:ind w:firstLine="0"/>
      </w:pPr>
      <w:r>
        <w:rPr>
          <w:rFonts w:eastAsia="Microsoft YaHei"/>
          <w:rFonts w:ascii="Calibri" w:hAnsi="Calibri"/>
          <w:b/>
          <w:color w:val="2F3A2E"/>
          <w:sz w:val="28"/>
        </w:rPr>
        <w:t>11.4 集中式GPU服务部署</w:t>
      </w:r>
    </w:p>
    <w:p>
      <w:pPr>
        <w:pStyle w:val="Heading2"/>
        <w:spacing w:line="360" w:lineRule="auto"/>
        <w:ind w:firstLine="0"/>
      </w:pPr>
      <w:r/>
      <w:r>
        <w:rPr>
          <w:rFonts w:eastAsia="Microsoft YaHei"/>
          <w:rFonts w:ascii="Calibri" w:hAnsi="Calibri"/>
          <w:b/>
          <w:color w:val="2F3A2E"/>
          <w:sz w:val="28"/>
        </w:rPr>
        <w:t>12.2 容错与降级机制</w:t>
      </w:r>
    </w:p>
    <w:p>
      <w:pPr>
        <w:pStyle w:val="Normal"/>
        <w:spacing w:line="360" w:lineRule="auto"/>
        <w:ind w:firstLine="420"/>
      </w:pPr>
      <w:r>
        <w:rPr>
          <w:rFonts w:eastAsia="Microsoft YaHei"/>
          <w:rFonts w:ascii="Calibri" w:hAnsi="Calibri"/>
          <w:b w:val="0"/>
          <w:color w:val="2F3A2E"/>
          <w:sz w:val="21"/>
        </w:rPr>
        <w:t>系统采用多层次容错策略确保服务连续性。网络中断检测（超时3秒×3次重试）后自动切换至本地轻量模型，切换过程保存当前进度，网络恢复后自动续传。GPU节点故障时自动漂移任务至备用节点，结合JetStream前缀缓存确保已处理部分不重复计算。本地模型作为最终兜底：SenseVoice Small（234M参数）可在纯CPU环境下运行，转写速度约为云端的1/5但功能完整，术语识别率仍可达85%以上。所有降级操作对用户透明，界面仅显示轻量提示（如"当前使用本地模型，精度略有降低"）。</w:t>
      </w:r>
    </w:p>
    <w:p>
      <w:pPr>
        <w:spacing w:line="360" w:lineRule="auto"/>
        <w:ind w:firstLine="0"/>
      </w:pPr>
      <w:r>
        <w:rPr>
          <w:rFonts w:eastAsia="Microsoft YaHei"/>
          <w:rFonts w:ascii="Calibri" w:hAnsi="Calibri"/>
          <w:b/>
          <w:color w:val="556B55"/>
          <w:sz w:val="24"/>
        </w:rPr>
        <w:t>11.4.2 多租户隔离与任务调度</w:t>
      </w:r>
    </w:p>
    <w:p>
      <w:pPr>
        <w:pStyle w:val="Normal"/>
        <w:spacing w:line="360" w:lineRule="auto"/>
        <w:ind w:firstLine="420"/>
      </w:pPr>
      <w:r>
        <w:rPr>
          <w:rFonts w:eastAsia="Microsoft YaHei"/>
          <w:rFonts w:ascii="Calibri" w:hAnsi="Calibri"/>
          <w:b w:val="0"/>
          <w:color w:val="2F3A2E"/>
          <w:sz w:val="21"/>
        </w:rPr>
        <w:t>采用多租户架构确保机构间数据隔离。每个机构拥有独立的数据空间（Namespace），音频文件、转写结果、校对记录、模式库均通过机构ID隔离存储。GPU任务调度采用动态优先级策略：实时转写请求高优先级（低延迟），批量离线转写中等优先级（吞吐优先），模型微调低优先级（后台执行）。同一机构内的任务支持GPU并行加速：SenseVoice实时任务和Whisper批量任务分别调度至不同GPU实例，通过JetStream引擎共享vLLM GPU计算资源，支持混合任务并发。单节点（8×A100）可同时处理4条实时流+2条批量任务，满足百人规模机构使用。</w:t>
      </w:r>
    </w:p>
    <w:p>
      <w:pPr>
        <w:spacing w:line="360" w:lineRule="auto"/>
        <w:ind w:firstLine="0"/>
      </w:pPr>
      <w:r>
        <w:rPr>
          <w:rFonts w:eastAsia="Microsoft YaHei"/>
          <w:rFonts w:ascii="Calibri" w:hAnsi="Calibri"/>
          <w:b/>
          <w:color w:val="556B55"/>
          <w:sz w:val="24"/>
        </w:rPr>
        <w:t>11.4.1 微服务架构设计</w:t>
      </w:r>
    </w:p>
    <w:p>
      <w:pPr>
        <w:pStyle w:val="Normal"/>
        <w:spacing w:line="360" w:lineRule="auto"/>
        <w:ind w:firstLine="420"/>
      </w:pPr>
      <w:r>
        <w:rPr>
          <w:rFonts w:eastAsia="Microsoft YaHei"/>
          <w:rFonts w:ascii="Calibri" w:hAnsi="Calibri"/>
          <w:b w:val="0"/>
          <w:color w:val="2F3A2E"/>
          <w:sz w:val="21"/>
        </w:rPr>
        <w:t>云端服务采用容器化微服务架构，核心组件包括：API网关（统一入口、鉴权限流）、实时转写服务（WebSocket长连接、SenseVoice流式推理）、批量转写服务（消息队列异步处理、Whisper整段推理）、LLM校正服务（Qwen3.6推理、模式匹配、口误检测）、模式挖掘服务（AutoPhrase增量挖掘、N-gram变体聚类）、模型管理服务（LoRA训练、版本管理、灰度发布）、用户与权限服务（RBAC、审计日志）、数据存储服务（对象存储、向量数据库、关系数据库）。服务间通过gRPC通信，共享Redis缓存集群和PostgreSQL主从数据库。GPU推理节点通过K8s HPA自动扩缩容，负载高峰时自动扩展GPU实例。</w:t>
      </w:r>
    </w:p>
    <w:p>
      <w:pPr>
        <w:spacing w:line="360" w:lineRule="auto"/>
        <w:ind w:firstLine="0"/>
      </w:pPr>
      <w:r>
        <w:rPr>
          <w:rFonts w:eastAsia="Microsoft YaHei"/>
          <w:rFonts w:ascii="Calibri" w:hAnsi="Calibri"/>
          <w:b/>
          <w:color w:val="2F3A2E"/>
          <w:sz w:val="28"/>
        </w:rPr>
        <w:t>11.4 集中式GPU服务部署</w:t>
      </w:r>
    </w:p>
    <w:p>
      <w:pPr>
        <w:spacing w:line="360" w:lineRule="auto"/>
        <w:ind w:firstLine="0"/>
      </w:pPr>
      <w:r>
        <w:rPr>
          <w:rFonts w:eastAsia="Microsoft YaHei"/>
          <w:rFonts w:ascii="Calibri" w:hAnsi="Calibri"/>
          <w:b/>
          <w:color w:val="2F3A2E"/>
          <w:sz w:val="28"/>
        </w:rPr>
        <w:t>11.3 客户端：轻量模型与无缝切换</w:t>
      </w:r>
    </w:p>
    <w:p>
      <w:pPr>
        <w:pStyle w:val="Normal"/>
        <w:spacing w:line="360" w:lineRule="auto"/>
        <w:ind w:firstLine="420"/>
      </w:pPr>
      <w:r>
        <w:rPr>
          <w:rFonts w:eastAsia="Microsoft YaHei"/>
          <w:rFonts w:ascii="Calibri" w:hAnsi="Calibri"/>
          <w:b w:val="0"/>
          <w:color w:val="2F3A2E"/>
          <w:sz w:val="21"/>
        </w:rPr>
        <w:t>客户端支持跨平台部署（Windows/Mac/Linux/Web），核心设计原则为"云端优先、本地兜底"。在线模式下，客户端通过REST API调用云端转写服务，同时缓存云端返回的程式化表达库和LoRA Adapter。离线模式下，客户端自动切换至本地SenseVoice Small模型和缓存的LoRA Adapter，功能完整性不受影响（转写、校对、导出均可正常使用），仅精度略有降低。网络状态由客户端后台线程实时监测（每5秒ping云端），切换过程透明无感：实时转写流在网络中断时自动续接至本地模型，已转写部分不丢失。客户端定期（默认每小时）检测云端模型版本，有新版本时后台静默下载增量更新（LoRA Adapter通常&lt;50MB），下载完成后提示用户重启以应用更新。所有本地操作记录（校对修改、模式标记）在联网后自动同步至云端，纳入集中式反馈池参与模型优化。</w:t>
      </w:r>
    </w:p>
    <w:p>
      <w:pPr>
        <w:spacing w:line="360" w:lineRule="auto"/>
        <w:ind w:firstLine="0"/>
      </w:pPr>
      <w:r>
        <w:rPr>
          <w:rFonts w:eastAsia="Microsoft YaHei"/>
          <w:rFonts w:ascii="Calibri" w:hAnsi="Calibri"/>
          <w:b/>
          <w:color w:val="2F3A2E"/>
          <w:sz w:val="28"/>
        </w:rPr>
        <w:t>11.2 数据安全与隐私保护</w:t>
      </w:r>
    </w:p>
    <w:p>
      <w:pPr>
        <w:pStyle w:val="Normal"/>
        <w:spacing w:line="360" w:lineRule="auto"/>
        <w:ind w:firstLine="420"/>
      </w:pPr>
      <w:r>
        <w:rPr>
          <w:rFonts w:eastAsia="Microsoft YaHei"/>
          <w:rFonts w:ascii="Calibri" w:hAnsi="Calibri"/>
          <w:b w:val="0"/>
          <w:color w:val="2F3A2E"/>
          <w:sz w:val="21"/>
        </w:rPr>
        <w:t>虽然采用集中式服务架构，数据安全与隐私保护仍是核心设计原则。音频文件上传采用HTTPS/TLS 1.3加密传输，服务端存储采用AES-256加密。机构数据严格隔离：每个机构拥有独立的数据Namespace，API请求必须携带机构Token，跨机构数据访问在数据库层面被禁止。用户权限采用RBAC模型，转录员只能访问自己被分配的文稿，校对审核员可访问本机构所有文稿，系统管理员拥有全部权限。审计日志完整记录所有数据访问和修改操作，支持合规审计。对于高度敏感的内容，支持私有部署模式：整个服务栈部署在机构内网，数据完全不离开机构网络，仅模型更新包从外网同步。本地客户端的缓存数据同样加密存储，设备丢失不泄露敏感信息。</w:t>
      </w:r>
    </w:p>
    <w:p>
      <w:pPr>
        <w:spacing w:line="360" w:lineRule="auto"/>
        <w:ind w:firstLine="0"/>
      </w:pPr>
      <w:r>
        <w:rPr>
          <w:rFonts w:eastAsia="Microsoft YaHei"/>
          <w:rFonts w:ascii="Calibri" w:hAnsi="Calibri"/>
          <w:b/>
          <w:color w:val="2F3A2E"/>
          <w:sz w:val="28"/>
        </w:rPr>
        <w:t>11.1 整体架构设计</w:t>
      </w:r>
    </w:p>
    <w:p>
      <w:pPr>
        <w:pStyle w:val="Normal"/>
        <w:spacing w:line="360" w:lineRule="auto"/>
        <w:ind w:firstLine="420"/>
      </w:pPr>
      <w:r>
        <w:rPr>
          <w:rFonts w:eastAsia="Microsoft YaHei"/>
          <w:rFonts w:ascii="Calibri" w:hAnsi="Calibri"/>
          <w:b w:val="0"/>
          <w:color w:val="2F3A2E"/>
          <w:sz w:val="21"/>
        </w:rPr>
        <w:t>系统采用云-端混合架构（Hybrid Cloud-Edge Architecture），由三个核心层组成：云端服务层（Cloud Layer）——部署在机构GPU服务器或私有云上的微服务集群，提供高精度ASR推理、LLM校正、模式挖掘、模型训练等计算密集型服务；网络传输层（Sync Layer）——负责云端与客户端之间的数据同步、模型分发、反馈聚合，采用增量同步策略最小化带宽占用；客户端层（Client Layer）——运行在各用户设备上的轻量应用，支持在线调用云端API和离线本地推理，提供转写、校对、导出等完整功能。架构设计遵循"计算在云端、体验在本地"的原则：GPU密集型推理统一在云端完成，客户端负责交互呈现和本地兜底，确保任何网络条件下用户都能获得可用的转写体验。</w:t>
      </w:r>
    </w:p>
    <w:p>
      <w:pPr>
        <w:spacing w:line="360" w:lineRule="auto"/>
        <w:ind w:firstLine="420"/>
      </w:pPr>
      <w:r>
        <w:rPr>
          <w:rFonts w:eastAsia="Microsoft YaHei"/>
          <w:rFonts w:ascii="Calibri" w:hAnsi="Calibri"/>
          <w:color w:val="2F3A2E"/>
          <w:sz w:val="21"/>
        </w:rPr>
        <w:t>随着项目从个人工具演进为机构级服务，架构需要从纯本地模式升级为云-端混合模式。集中式GPU服务器提供统一的转写服务，用户通过轻量客户端访问，无需每人配备高性能设备。所有用户的校对反馈汇聚到云端，由统一模型训练管道处理，避免每人微调导致的模型碎片化。同时保留本地运行能力作为离线兜底，确保网络中断时转写工作不中断。</w:t>
      </w:r>
    </w:p>
    <w:p>
      <w:pPr>
        <w:pStyle w:val="Heading1"/>
        <w:spacing w:line="360" w:lineRule="auto"/>
        <w:ind w:firstLine="0"/>
      </w:pPr>
      <w:r>
        <w:rPr>
          <w:rFonts w:eastAsia="Microsoft YaHei"/>
          <w:rFonts w:ascii="Calibri" w:hAnsi="Calibri"/>
          <w:b/>
          <w:color w:val="4A6741"/>
          <w:sz w:val="36"/>
        </w:rPr>
        <w:t>十二、云-端混合架构与集中式服务</w:t>
      </w:r>
    </w:p>
    <w:p>
      <w:pPr>
        <w:pStyle w:val="Heading1"/>
      </w:pPr>
      <w:r>
        <w:t>十三、实施路线图</w:t>
      </w:r>
      <w:bookmarkStart w:name="_Toc009" w:id="10"/>
      <w:bookmarkEnd w:id="10"/>
    </w:p>
    <w:tbl>
      <w:tblPr>
        <w:tblW w:w="5000" w:type="pct"/>
        <w:tblBorders>
          <w:top w:val="single" w:color="4A6741" w:sz="12"/>
          <w:left w:val="nil"/>
          <w:bottom w:val="single" w:color="4A6741" w:sz="12"/>
          <w:right w:val="nil"/>
          <w:insideH w:val="single" w:color="D5DDD5" w:sz="4"/>
        </w:tblBorders>
      </w:tblPr>
      <w:tblGrid>
        <w:gridCol w:w="1200"/>
        <w:gridCol w:w="1600"/>
        <w:gridCol w:w="4400"/>
      </w:tblGrid>
      <w:tr>
        <w:trPr>
          <w:tblHeader/>
        </w:trPr>
        <w:tc>
          <w:tcPr>
            <w:tcW w:w="1200" w:type="dxa"/>
            <w:shd w:val="clear" w:fill="EDF1ED"/>
          </w:tcPr>
          <w:p>
            <w:pPr>
              <w:spacing w:before="40" w:after="40"/>
              <w:ind w:firstLine="0"/>
              <w:jc w:val="center"/>
            </w:pPr>
            <w:r>
              <w:rPr>
                <w:rFonts w:ascii="Calibri" w:hAnsi="Calibri" w:eastAsia="Microsoft YaHei"/>
                <w:b/>
                <w:color w:val="2F3A2E"/>
                <w:sz w:val="20"/>
              </w:rPr>
              <w:t>阶段</w:t>
            </w:r>
          </w:p>
        </w:tc>
        <w:tc>
          <w:tcPr>
            <w:tcW w:w="1600" w:type="dxa"/>
            <w:shd w:val="clear" w:fill="EDF1ED"/>
          </w:tcPr>
          <w:p>
            <w:pPr>
              <w:spacing w:before="40" w:after="40"/>
              <w:ind w:firstLine="0"/>
              <w:jc w:val="center"/>
            </w:pPr>
            <w:r>
              <w:rPr>
                <w:rFonts w:ascii="Calibri" w:hAnsi="Calibri" w:eastAsia="Microsoft YaHei"/>
                <w:b/>
                <w:color w:val="2F3A2E"/>
                <w:sz w:val="20"/>
              </w:rPr>
              <w:t>周期</w:t>
            </w:r>
          </w:p>
        </w:tc>
        <w:tc>
          <w:tcPr>
            <w:tcW w:w="4400" w:type="dxa"/>
            <w:shd w:val="clear" w:fill="EDF1ED"/>
          </w:tcPr>
          <w:p>
            <w:pPr>
              <w:spacing w:before="40" w:after="40"/>
              <w:ind w:firstLine="0"/>
              <w:jc w:val="center"/>
            </w:pPr>
            <w:r>
              <w:rPr>
                <w:rFonts w:ascii="Calibri" w:hAnsi="Calibri" w:eastAsia="Microsoft YaHei"/>
                <w:b/>
                <w:color w:val="2F3A2E"/>
                <w:sz w:val="20"/>
              </w:rPr>
              <w:t>关键交付物</w:t>
            </w:r>
          </w:p>
        </w:tc>
      </w:tr>
      <w:tr>
        <w:tc>
          <w:tcPr>
            <w:tcW w:w="1200" w:type="dxa"/>
          </w:tcPr>
          <w:p>
            <w:pPr>
              <w:spacing w:before="40" w:after="40"/>
              <w:ind w:firstLine="0"/>
              <w:jc w:val="center"/>
            </w:pPr>
            <w:r>
              <w:rPr>
                <w:rFonts w:ascii="Calibri" w:hAnsi="Calibri" w:eastAsia="Microsoft YaHei"/>
                <w:color w:val="556B55"/>
                <w:sz w:val="20"/>
              </w:rPr>
              <w:t>第一阶段</w:t>
            </w:r>
          </w:p>
        </w:tc>
        <w:tc>
          <w:tcPr>
            <w:tcW w:w="1600" w:type="dxa"/>
          </w:tcPr>
          <w:p>
            <w:pPr>
              <w:spacing w:before="40" w:after="40"/>
              <w:ind w:firstLine="0"/>
              <w:jc w:val="center"/>
            </w:pPr>
            <w:r>
              <w:rPr>
                <w:rFonts w:ascii="Calibri" w:hAnsi="Calibri" w:eastAsia="Microsoft YaHei"/>
                <w:color w:val="556B55"/>
                <w:sz w:val="20"/>
              </w:rPr>
              <w:t>第1-2周</w:t>
            </w:r>
          </w:p>
        </w:tc>
        <w:tc>
          <w:tcPr>
            <w:tcW w:w="4400" w:type="dxa"/>
          </w:tcPr>
          <w:p>
            <w:pPr>
              <w:spacing w:before="40" w:after="40"/>
              <w:ind w:firstLine="0"/>
              <w:jc w:val="center"/>
            </w:pPr>
            <w:r>
              <w:rPr>
                <w:rFonts w:ascii="Calibri" w:hAnsi="Calibri" w:eastAsia="Microsoft YaHei"/>
                <w:color w:val="556B55"/>
                <w:sz w:val="20"/>
              </w:rPr>
              <w:t>基础转写功能：本地部署FunASR + 基础WebUI + 音频上传与转录</w:t>
            </w:r>
          </w:p>
        </w:tc>
      </w:tr>
      <w:tr>
        <w:tc>
          <w:tcPr>
            <w:tcW w:w="1200" w:type="dxa"/>
          </w:tcPr>
          <w:p>
            <w:pPr>
              <w:spacing w:before="40" w:after="40"/>
              <w:ind w:firstLine="0"/>
              <w:jc w:val="center"/>
            </w:pPr>
            <w:r>
              <w:rPr>
                <w:rFonts w:ascii="Calibri" w:hAnsi="Calibri" w:eastAsia="Microsoft YaHei"/>
                <w:color w:val="556B55"/>
                <w:sz w:val="20"/>
              </w:rPr>
              <w:t>第二阶段</w:t>
            </w:r>
          </w:p>
        </w:tc>
        <w:tc>
          <w:tcPr>
            <w:tcW w:w="1600" w:type="dxa"/>
          </w:tcPr>
          <w:p>
            <w:pPr>
              <w:spacing w:before="40" w:after="40"/>
              <w:ind w:firstLine="0"/>
              <w:jc w:val="center"/>
            </w:pPr>
            <w:r>
              <w:rPr>
                <w:rFonts w:ascii="Calibri" w:hAnsi="Calibri" w:eastAsia="Microsoft YaHei"/>
                <w:color w:val="556B55"/>
                <w:sz w:val="20"/>
              </w:rPr>
              <w:t>第3-4周</w:t>
            </w:r>
          </w:p>
        </w:tc>
        <w:tc>
          <w:tcPr>
            <w:tcW w:w="4400" w:type="dxa"/>
          </w:tcPr>
          <w:p>
            <w:pPr>
              <w:spacing w:before="40" w:after="40"/>
              <w:ind w:firstLine="0"/>
              <w:jc w:val="center"/>
            </w:pPr>
            <w:r>
              <w:rPr>
                <w:rFonts w:ascii="Calibri" w:hAnsi="Calibri" w:eastAsia="Microsoft YaHei"/>
                <w:color w:val="556B55"/>
                <w:sz w:val="20"/>
              </w:rPr>
              <w:t>术语优化：热词系统上线 + 禅修核心术语库导入 + 标点修正</w:t>
            </w:r>
          </w:p>
        </w:tc>
      </w:tr>
      <w:tr>
        <w:tc>
          <w:tcPr>
            <w:tcW w:w="1200" w:type="dxa"/>
          </w:tcPr>
          <w:p>
            <w:pPr>
              <w:spacing w:before="40" w:after="40"/>
              <w:ind w:firstLine="0"/>
              <w:jc w:val="center"/>
            </w:pPr>
            <w:r>
              <w:rPr>
                <w:rFonts w:ascii="Calibri" w:hAnsi="Calibri" w:eastAsia="Microsoft YaHei"/>
                <w:color w:val="556B55"/>
                <w:sz w:val="20"/>
              </w:rPr>
              <w:t>第三阶段</w:t>
            </w:r>
          </w:p>
        </w:tc>
        <w:tc>
          <w:tcPr>
            <w:tcW w:w="1600" w:type="dxa"/>
          </w:tcPr>
          <w:p>
            <w:pPr>
              <w:spacing w:before="40" w:after="40"/>
              <w:ind w:firstLine="0"/>
              <w:jc w:val="center"/>
            </w:pPr>
            <w:r>
              <w:rPr>
                <w:rFonts w:ascii="Calibri" w:hAnsi="Calibri" w:eastAsia="Microsoft YaHei"/>
                <w:color w:val="556B55"/>
                <w:sz w:val="20"/>
              </w:rPr>
              <w:t>第5-8周</w:t>
            </w:r>
          </w:p>
        </w:tc>
        <w:tc>
          <w:tcPr>
            <w:tcW w:w="4400" w:type="dxa"/>
          </w:tcPr>
          <w:p>
            <w:pPr>
              <w:spacing w:before="40" w:after="40"/>
              <w:ind w:firstLine="0"/>
              <w:jc w:val="center"/>
            </w:pPr>
            <w:r>
              <w:rPr>
                <w:rFonts w:ascii="Calibri" w:hAnsi="Calibri" w:eastAsia="Microsoft YaHei"/>
                <w:color w:val="556B55"/>
                <w:sz w:val="20"/>
              </w:rPr>
              <w:t>校对系统：同步播放编辑 + 时间戳修正 + 多格式导出</w:t>
            </w:r>
          </w:p>
        </w:tc>
      </w:tr>
      <w:tr>
        <w:tc>
          <w:tcPr>
            <w:tcW w:w="1200" w:type="dxa"/>
          </w:tcPr>
          <w:p>
            <w:pPr>
              <w:spacing w:before="40" w:after="40"/>
              <w:ind w:firstLine="0"/>
              <w:jc w:val="center"/>
            </w:pPr>
            <w:r>
              <w:rPr>
                <w:rFonts w:ascii="Calibri" w:hAnsi="Calibri" w:eastAsia="Microsoft YaHei"/>
                <w:color w:val="556B55"/>
                <w:sz w:val="20"/>
              </w:rPr>
              <w:t>第四阶段</w:t>
            </w:r>
          </w:p>
        </w:tc>
        <w:tc>
          <w:tcPr>
            <w:tcW w:w="1600" w:type="dxa"/>
          </w:tcPr>
          <w:p>
            <w:pPr>
              <w:spacing w:before="40" w:after="40"/>
              <w:ind w:firstLine="0"/>
              <w:jc w:val="center"/>
            </w:pPr>
            <w:r>
              <w:rPr>
                <w:rFonts w:ascii="Calibri" w:hAnsi="Calibri" w:eastAsia="Microsoft YaHei"/>
                <w:color w:val="556B55"/>
                <w:sz w:val="20"/>
              </w:rPr>
              <w:t>第9-10周</w:t>
            </w:r>
          </w:p>
        </w:tc>
        <w:tc>
          <w:tcPr>
            <w:tcW w:w="4400" w:type="dxa"/>
          </w:tcPr>
          <w:p>
            <w:pPr>
              <w:spacing w:before="40" w:after="40"/>
              <w:ind w:firstLine="0"/>
              <w:jc w:val="center"/>
            </w:pPr>
            <w:r>
              <w:rPr>
                <w:rFonts w:ascii="Calibri" w:hAnsi="Calibri" w:eastAsia="Microsoft YaHei"/>
                <w:color w:val="556B55"/>
                <w:sz w:val="20"/>
              </w:rPr>
              <w:t>实时转写：Paraformer-Streaming部署 + WebSocket服务 + 麦克风实时识别</w:t>
            </w:r>
          </w:p>
        </w:tc>
      </w:tr>
      <w:tr>
        <w:tc>
          <w:tcPr>
            <w:tcW w:w="1200" w:type="dxa"/>
          </w:tcPr>
          <w:p>
            <w:pPr>
              <w:spacing w:before="40" w:after="40"/>
              <w:ind w:firstLine="0"/>
              <w:jc w:val="center"/>
            </w:pPr>
            <w:r>
              <w:rPr>
                <w:rFonts w:ascii="Calibri" w:hAnsi="Calibri" w:eastAsia="Microsoft YaHei"/>
                <w:color w:val="556B55"/>
                <w:sz w:val="20"/>
              </w:rPr>
              <w:t>第五阶段</w:t>
            </w:r>
          </w:p>
        </w:tc>
        <w:tc>
          <w:tcPr>
            <w:tcW w:w="1600" w:type="dxa"/>
          </w:tcPr>
          <w:p>
            <w:pPr>
              <w:spacing w:before="40" w:after="40"/>
              <w:ind w:firstLine="0"/>
              <w:jc w:val="center"/>
            </w:pPr>
            <w:r>
              <w:rPr>
                <w:rFonts w:ascii="Calibri" w:hAnsi="Calibri" w:eastAsia="Microsoft YaHei"/>
                <w:color w:val="556B55"/>
                <w:sz w:val="20"/>
              </w:rPr>
              <w:t>第11-12周</w:t>
            </w:r>
          </w:p>
        </w:tc>
        <w:tc>
          <w:tcPr>
            <w:tcW w:w="4400" w:type="dxa"/>
          </w:tcPr>
          <w:p>
            <w:pPr>
              <w:spacing w:before="40" w:after="40"/>
              <w:ind w:firstLine="0"/>
              <w:jc w:val="center"/>
            </w:pPr>
            <w:r>
              <w:rPr>
                <w:rFonts w:ascii="Calibri" w:hAnsi="Calibri" w:eastAsia="Microsoft YaHei"/>
                <w:color w:val="556B55"/>
                <w:sz w:val="20"/>
              </w:rPr>
              <w:t>反馈闭环：纠错数据采集 + LoRA微调流程 + 自动模型更新</w:t>
            </w:r>
          </w:p>
        </w:tc>
      </w:tr>
      <w:tr>
        <w:tc>
          <w:tcPr>
            <w:tcW w:w="1200" w:type="dxa"/>
          </w:tcPr>
          <w:p>
            <w:pPr>
              <w:spacing w:before="40" w:after="40"/>
              <w:ind w:firstLine="0"/>
              <w:jc w:val="center"/>
            </w:pPr>
            <w:r>
              <w:rPr>
                <w:rFonts w:ascii="Calibri" w:hAnsi="Calibri" w:eastAsia="Microsoft YaHei"/>
                <w:color w:val="556B55"/>
                <w:sz w:val="20"/>
              </w:rPr>
              <w:t>第六阶段</w:t>
            </w:r>
          </w:p>
        </w:tc>
        <w:tc>
          <w:tcPr>
            <w:tcW w:w="1600" w:type="dxa"/>
          </w:tcPr>
          <w:p>
            <w:pPr>
              <w:spacing w:before="40" w:after="40"/>
              <w:ind w:firstLine="0"/>
              <w:jc w:val="center"/>
            </w:pPr>
            <w:r>
              <w:rPr>
                <w:rFonts w:ascii="Calibri" w:hAnsi="Calibri" w:eastAsia="Microsoft YaHei"/>
                <w:color w:val="556B55"/>
                <w:sz w:val="20"/>
              </w:rPr>
              <w:t>第13-24周</w:t>
            </w:r>
          </w:p>
        </w:tc>
        <w:tc>
          <w:tcPr>
            <w:tcW w:w="4400" w:type="dxa"/>
          </w:tcPr>
          <w:p>
            <w:pPr>
              <w:spacing w:before="40" w:after="40"/>
              <w:ind w:firstLine="0"/>
              <w:jc w:val="center"/>
            </w:pPr>
            <w:r>
              <w:rPr>
                <w:rFonts w:ascii="Calibri" w:hAnsi="Calibri" w:eastAsia="Microsoft YaHei"/>
                <w:color w:val="556B55"/>
                <w:sz w:val="20"/>
              </w:rPr>
              <w:t>持续优化：术语库扩展 + 多说话人分离 + 实时/离线协同优化</w:t>
            </w:r>
          </w:p>
        </w:tc>
      </w:tr>
    </w:tbl>
    <w:p>
      <w:r>
        <w:t>整体项目预计3个月完成基础功能上线（含实时转写与大模型校正），6个月达到可用状态（术语识别率&gt;90%、实时延迟&lt;500ms、LLM校正覆盖率&gt;80%），12个月实现自主学习闭环的完整运转。建议采用敏捷开发模式，每两周交付一个可用版本，优先保证转写核心功能的稳定运行，实时转写在第四阶段并行启动，大模型校正模块在第三阶段同步开发。</w:t>
      </w:r>
    </w:p>
    <w:p>
      <w:pPr>
        <w:sectPr>
          <w:headerReference w:type="default" r:id="R779ac3b6800f47ad"/>
          <w:footerReference w:type="default" r:id="Rf81d42f67d274730"/>
          <w:pgSz w:w="11906" w:h="16838"/>
          <w:pgMar w:top="1800" w:right="1440" w:bottom="1440" w:left="1440" w:header="720" w:footer="720"/>
        </w:sectPr>
      </w:pPr>
    </w:p>
    <w:p>
      <w:pPr>
        <w:spacing w:before="7000"/>
        <w:jc w:val="center"/>
      </w:pPr>
      <w:r>
        <w:rPr>
          <w:rFonts w:ascii="Calibri" w:hAnsi="Calibri" w:eastAsia="Microsoft YaHei"/>
          <w:b/>
          <w:color w:val="4A6741"/>
          <w:sz w:val="48"/>
        </w:rPr>
        <w:t>精进不息</w:t>
      </w:r>
    </w:p>
    <w:p>
      <w:pPr>
        <w:spacing w:before="400"/>
        <w:jc w:val="center"/>
      </w:pPr>
      <w:r>
        <w:rPr>
          <w:rFonts w:ascii="Calibri" w:hAnsi="Calibri" w:eastAsia="Microsoft YaHei"/>
          <w:color w:val="556B55"/>
          <w:sz w:val="22"/>
        </w:rPr>
        <w:t>以技术辅助修行，以智慧利益众生</w:t>
      </w:r>
    </w:p>
    <w:p>
      <w:pPr>
        <w:spacing w:before="200"/>
        <w:jc w:val="center"/>
      </w:pPr>
      <w:r>
        <w:rPr>
          <w:rFonts w:ascii="Calibri" w:hAnsi="Calibri" w:eastAsia="Microsoft YaHei"/>
          <w:color w:val="8A9A8A"/>
          <w:sz w:val="18"/>
        </w:rPr>
        <w:t>如是我闻 | 2025年5月</w:t>
      </w:r>
    </w:p>
    <w:tbl>
      <w:tblPr>
        <w:tblW w:type="pct" w:w="5000"/>
        <w:tblBorders>
          <w:top w:val="single" w:color="4A6741" w:sz="12"/>
          <w:left w:val="nil" w:color="auto" w:sz="0"/>
          <w:bottom w:val="single" w:color="4A6741" w:sz="12"/>
          <w:right w:val="nil" w:color="auto" w:sz="0"/>
          <w:insideH w:val="single" w:color="D5DDD5" w:sz="4"/>
          <w:insideV w:val="nil" w:color="auto" w:sz="0"/>
        </w:tblBorders>
        <w:tblLook w:firstColumn="1" w:firstRow="1" w:lastColumn="0" w:lastRow="0" w:noHBand="0" w:noVBand="1" w:val="04A0"/>
      </w:tblPr>
      <w:tblGrid>
        <w:gridCol w:w="1800"/>
        <w:gridCol w:w="1800"/>
        <w:gridCol w:w="1800"/>
        <w:gridCol w:w="1800"/>
      </w:tblGrid>
      <w:tr>
        <w:tc>
          <w:tcPr>
            <w:tcW w:type="dxa" w:w="1800"/>
            <w:tcW w:w="1800" w:type="dxa"/>
            <w:shd w:val="clear" w:fill="EDF1ED"/>
          </w:tcPr>
          <w:p>
            <w:pPr>
              <w:spacing w:before="40" w:after="40"/>
              <w:ind w:firstLine="0"/>
              <w:jc w:val="center"/>
            </w:pPr>
            <w:r/>
            <w:r>
              <w:rPr>
                <w:rFonts w:eastAsia="Microsoft YaHei"/>
                <w:rFonts w:ascii="Calibri" w:hAnsi="Calibri"/>
                <w:b/>
                <w:color w:val="2F3A2E"/>
                <w:sz w:val="20"/>
              </w:rPr>
              <w:t>数据量</w:t>
            </w:r>
          </w:p>
        </w:tc>
        <w:tc>
          <w:tcPr>
            <w:tcW w:type="dxa" w:w="1800"/>
            <w:tcW w:w="1800" w:type="dxa"/>
            <w:shd w:val="clear" w:fill="EDF1ED"/>
          </w:tcPr>
          <w:p>
            <w:pPr>
              <w:spacing w:before="40" w:after="40"/>
              <w:ind w:firstLine="0"/>
              <w:jc w:val="center"/>
            </w:pPr>
            <w:r/>
            <w:r>
              <w:rPr>
                <w:rFonts w:eastAsia="Microsoft YaHei"/>
                <w:rFonts w:ascii="Calibri" w:hAnsi="Calibri"/>
                <w:b/>
                <w:color w:val="2F3A2E"/>
                <w:sz w:val="20"/>
              </w:rPr>
              <w:t>对齐方案</w:t>
            </w:r>
          </w:p>
        </w:tc>
        <w:tc>
          <w:tcPr>
            <w:tcW w:type="dxa" w:w="1800"/>
            <w:tcW w:w="1800" w:type="dxa"/>
            <w:shd w:val="clear" w:fill="EDF1ED"/>
          </w:tcPr>
          <w:p>
            <w:pPr>
              <w:spacing w:before="40" w:after="40"/>
              <w:ind w:firstLine="0"/>
              <w:jc w:val="center"/>
            </w:pPr>
            <w:r/>
            <w:r>
              <w:rPr>
                <w:rFonts w:eastAsia="Microsoft YaHei"/>
                <w:rFonts w:ascii="Calibri" w:hAnsi="Calibri"/>
                <w:b/>
                <w:color w:val="2F3A2E"/>
                <w:sz w:val="20"/>
              </w:rPr>
              <w:t>训练策略</w:t>
            </w:r>
          </w:p>
        </w:tc>
        <w:tc>
          <w:tcPr>
            <w:tcW w:type="dxa" w:w="1800"/>
            <w:tcW w:w="1800" w:type="dxa"/>
            <w:shd w:val="clear" w:fill="EDF1ED"/>
          </w:tcPr>
          <w:p>
            <w:pPr>
              <w:spacing w:before="40" w:after="40"/>
              <w:ind w:firstLine="0"/>
              <w:jc w:val="center"/>
            </w:pPr>
            <w:r/>
            <w:r>
              <w:rPr>
                <w:rFonts w:eastAsia="Microsoft YaHei"/>
                <w:rFonts w:ascii="Calibri" w:hAnsi="Calibri"/>
                <w:b/>
                <w:color w:val="2F3A2E"/>
                <w:sz w:val="20"/>
              </w:rPr>
              <w:t>预期效果</w:t>
            </w:r>
          </w:p>
        </w:tc>
      </w:tr>
      <w:tr>
        <w:tc>
          <w:tcPr>
            <w:tcW w:type="dxa" w:w="1800"/>
            <w:tcW w:w="1800" w:type="dxa"/>
          </w:tcPr>
          <w:p>
            <w:pPr>
              <w:spacing w:before="40" w:after="40"/>
              <w:ind w:firstLine="0"/>
              <w:jc w:val="center"/>
            </w:pPr>
            <w:r/>
            <w:r>
              <w:rPr>
                <w:rFonts w:eastAsia="Microsoft YaHei"/>
                <w:rFonts w:ascii="Calibri" w:hAnsi="Calibri"/>
                <w:color w:val="556B55"/>
                <w:sz w:val="20"/>
              </w:rPr>
              <w:t>&lt; 10小时</w:t>
            </w:r>
          </w:p>
        </w:tc>
        <w:tc>
          <w:tcPr>
            <w:tcW w:type="dxa" w:w="1800"/>
            <w:tcW w:w="1800" w:type="dxa"/>
          </w:tcPr>
          <w:p>
            <w:pPr>
              <w:spacing w:before="40" w:after="40"/>
              <w:ind w:firstLine="0"/>
              <w:jc w:val="center"/>
            </w:pPr>
            <w:r/>
            <w:r>
              <w:rPr>
                <w:rFonts w:eastAsia="Microsoft YaHei"/>
                <w:rFonts w:ascii="Calibri" w:hAnsi="Calibri"/>
                <w:color w:val="556B55"/>
                <w:sz w:val="20"/>
              </w:rPr>
              <w:t>Whisper字级+DTW</w:t>
            </w:r>
          </w:p>
        </w:tc>
        <w:tc>
          <w:tcPr>
            <w:tcW w:type="dxa" w:w="1800"/>
            <w:tcW w:w="1800" w:type="dxa"/>
          </w:tcPr>
          <w:p>
            <w:pPr>
              <w:spacing w:before="40" w:after="40"/>
              <w:ind w:firstLine="0"/>
              <w:jc w:val="center"/>
            </w:pPr>
            <w:r/>
            <w:r>
              <w:rPr>
                <w:rFonts w:eastAsia="Microsoft YaHei"/>
                <w:rFonts w:ascii="Calibri" w:hAnsi="Calibri"/>
                <w:color w:val="556B55"/>
                <w:sz w:val="20"/>
              </w:rPr>
              <w:t>热词注入即可</w:t>
            </w:r>
          </w:p>
        </w:tc>
        <w:tc>
          <w:tcPr>
            <w:tcW w:type="dxa" w:w="1800"/>
            <w:tcW w:w="1800" w:type="dxa"/>
          </w:tcPr>
          <w:p>
            <w:pPr>
              <w:spacing w:before="40" w:after="40"/>
              <w:ind w:firstLine="0"/>
              <w:jc w:val="center"/>
            </w:pPr>
            <w:r/>
            <w:r>
              <w:rPr>
                <w:rFonts w:eastAsia="Microsoft YaHei"/>
                <w:rFonts w:ascii="Calibri" w:hAnsi="Calibri"/>
                <w:color w:val="556B55"/>
                <w:sz w:val="20"/>
              </w:rPr>
              <w:t>术语识别率70%-&gt;85%</w:t>
            </w:r>
          </w:p>
        </w:tc>
      </w:tr>
      <w:tr>
        <w:tc>
          <w:tcPr>
            <w:tcW w:type="dxa" w:w="1800"/>
            <w:tcW w:w="1800" w:type="dxa"/>
          </w:tcPr>
          <w:p>
            <w:pPr>
              <w:spacing w:before="40" w:after="40"/>
              <w:ind w:firstLine="0"/>
              <w:jc w:val="center"/>
            </w:pPr>
            <w:r/>
            <w:r>
              <w:rPr>
                <w:rFonts w:eastAsia="Microsoft YaHei"/>
                <w:rFonts w:ascii="Calibri" w:hAnsi="Calibri"/>
                <w:color w:val="556B55"/>
                <w:sz w:val="20"/>
              </w:rPr>
              <w:t>10-50小时</w:t>
            </w:r>
          </w:p>
        </w:tc>
        <w:tc>
          <w:tcPr>
            <w:tcW w:type="dxa" w:w="1800"/>
            <w:tcW w:w="1800" w:type="dxa"/>
          </w:tcPr>
          <w:p>
            <w:pPr>
              <w:spacing w:before="40" w:after="40"/>
              <w:ind w:firstLine="0"/>
              <w:jc w:val="center"/>
            </w:pPr>
            <w:r/>
            <w:r>
              <w:rPr>
                <w:rFonts w:eastAsia="Microsoft YaHei"/>
                <w:rFonts w:ascii="Calibri" w:hAnsi="Calibri"/>
                <w:color w:val="556B55"/>
                <w:sz w:val="20"/>
              </w:rPr>
              <w:t>MFA或CTC对齐</w:t>
            </w:r>
          </w:p>
        </w:tc>
        <w:tc>
          <w:tcPr>
            <w:tcW w:type="dxa" w:w="1800"/>
            <w:tcW w:w="1800" w:type="dxa"/>
          </w:tcPr>
          <w:p>
            <w:pPr>
              <w:spacing w:before="40" w:after="40"/>
              <w:ind w:firstLine="0"/>
              <w:jc w:val="center"/>
            </w:pPr>
            <w:r/>
            <w:r>
              <w:rPr>
                <w:rFonts w:eastAsia="Microsoft YaHei"/>
                <w:rFonts w:ascii="Calibri" w:hAnsi="Calibri"/>
                <w:color w:val="556B55"/>
                <w:sz w:val="20"/>
              </w:rPr>
              <w:t>LoRA微调声学模型</w:t>
            </w:r>
          </w:p>
        </w:tc>
        <w:tc>
          <w:tcPr>
            <w:tcW w:type="dxa" w:w="1800"/>
            <w:tcW w:w="1800" w:type="dxa"/>
          </w:tcPr>
          <w:p>
            <w:pPr>
              <w:spacing w:before="40" w:after="40"/>
              <w:ind w:firstLine="0"/>
              <w:jc w:val="center"/>
            </w:pPr>
            <w:r/>
            <w:r>
              <w:rPr>
                <w:rFonts w:eastAsia="Microsoft YaHei"/>
                <w:rFonts w:ascii="Calibri" w:hAnsi="Calibri"/>
                <w:color w:val="556B55"/>
                <w:sz w:val="20"/>
              </w:rPr>
              <w:t>术语识别率85%-&gt;93%</w:t>
            </w:r>
          </w:p>
        </w:tc>
      </w:tr>
      <w:tr>
        <w:tc>
          <w:tcPr>
            <w:tcW w:type="dxa" w:w="1800"/>
            <w:tcW w:w="1800" w:type="dxa"/>
          </w:tcPr>
          <w:p>
            <w:pPr>
              <w:spacing w:before="40" w:after="40"/>
              <w:ind w:firstLine="0"/>
              <w:jc w:val="center"/>
            </w:pPr>
            <w:r/>
            <w:r>
              <w:rPr>
                <w:rFonts w:eastAsia="Microsoft YaHei"/>
                <w:rFonts w:ascii="Calibri" w:hAnsi="Calibri"/>
                <w:color w:val="556B55"/>
                <w:sz w:val="20"/>
              </w:rPr>
              <w:t>50-200小时</w:t>
            </w:r>
          </w:p>
        </w:tc>
        <w:tc>
          <w:tcPr>
            <w:tcW w:type="dxa" w:w="1800"/>
            <w:tcW w:w="1800" w:type="dxa"/>
          </w:tcPr>
          <w:p>
            <w:pPr>
              <w:spacing w:before="40" w:after="40"/>
              <w:ind w:firstLine="0"/>
              <w:jc w:val="center"/>
            </w:pPr>
            <w:r/>
            <w:r>
              <w:rPr>
                <w:rFonts w:eastAsia="Microsoft YaHei"/>
                <w:rFonts w:ascii="Calibri" w:hAnsi="Calibri"/>
                <w:color w:val="556B55"/>
                <w:sz w:val="20"/>
              </w:rPr>
              <w:t>MFA精对齐</w:t>
            </w:r>
          </w:p>
        </w:tc>
        <w:tc>
          <w:tcPr>
            <w:tcW w:type="dxa" w:w="1800"/>
            <w:tcW w:w="1800" w:type="dxa"/>
          </w:tcPr>
          <w:p>
            <w:pPr>
              <w:spacing w:before="40" w:after="40"/>
              <w:ind w:firstLine="0"/>
              <w:jc w:val="center"/>
            </w:pPr>
            <w:r/>
            <w:r>
              <w:rPr>
                <w:rFonts w:eastAsia="Microsoft YaHei"/>
                <w:rFonts w:ascii="Calibri" w:hAnsi="Calibri"/>
                <w:color w:val="556B55"/>
                <w:sz w:val="20"/>
              </w:rPr>
              <w:t>全量微调+语言模型</w:t>
            </w:r>
          </w:p>
        </w:tc>
        <w:tc>
          <w:tcPr>
            <w:tcW w:type="dxa" w:w="1800"/>
            <w:tcW w:w="1800" w:type="dxa"/>
          </w:tcPr>
          <w:p>
            <w:pPr>
              <w:spacing w:before="40" w:after="40"/>
              <w:ind w:firstLine="0"/>
              <w:jc w:val="center"/>
            </w:pPr>
            <w:r/>
            <w:r>
              <w:rPr>
                <w:rFonts w:eastAsia="Microsoft YaHei"/>
                <w:rFonts w:ascii="Calibri" w:hAnsi="Calibri"/>
                <w:color w:val="556B55"/>
                <w:sz w:val="20"/>
              </w:rPr>
              <w:t>术语识别率93%-&gt;97%</w:t>
            </w:r>
          </w:p>
        </w:tc>
      </w:tr>
      <w:tr>
        <w:tc>
          <w:tcPr>
            <w:tcW w:type="dxa" w:w="1800"/>
            <w:tcW w:w="1800" w:type="dxa"/>
          </w:tcPr>
          <w:p>
            <w:pPr>
              <w:spacing w:before="40" w:after="40"/>
              <w:ind w:firstLine="0"/>
              <w:jc w:val="center"/>
            </w:pPr>
            <w:r/>
            <w:r>
              <w:rPr>
                <w:rFonts w:eastAsia="Microsoft YaHei"/>
                <w:rFonts w:ascii="Calibri" w:hAnsi="Calibri"/>
                <w:color w:val="556B55"/>
                <w:sz w:val="20"/>
              </w:rPr>
              <w:t>&gt; 200小时</w:t>
            </w:r>
          </w:p>
        </w:tc>
        <w:tc>
          <w:tcPr>
            <w:tcW w:type="dxa" w:w="1800"/>
            <w:tcW w:w="1800" w:type="dxa"/>
          </w:tcPr>
          <w:p>
            <w:pPr>
              <w:spacing w:before="40" w:after="40"/>
              <w:ind w:firstLine="0"/>
              <w:jc w:val="center"/>
            </w:pPr>
            <w:r/>
            <w:r>
              <w:rPr>
                <w:rFonts w:eastAsia="Microsoft YaHei"/>
                <w:rFonts w:ascii="Calibri" w:hAnsi="Calibri"/>
                <w:color w:val="556B55"/>
                <w:sz w:val="20"/>
              </w:rPr>
              <w:t>多方案融合对齐</w:t>
            </w:r>
          </w:p>
        </w:tc>
        <w:tc>
          <w:tcPr>
            <w:tcW w:type="dxa" w:w="1800"/>
            <w:tcW w:w="1800" w:type="dxa"/>
          </w:tcPr>
          <w:p>
            <w:pPr>
              <w:spacing w:before="40" w:after="40"/>
              <w:ind w:firstLine="0"/>
              <w:jc w:val="center"/>
            </w:pPr>
            <w:r/>
            <w:r>
              <w:rPr>
                <w:rFonts w:eastAsia="Microsoft YaHei"/>
                <w:rFonts w:ascii="Calibri" w:hAnsi="Calibri"/>
                <w:color w:val="556B55"/>
                <w:sz w:val="20"/>
              </w:rPr>
              <w:t>从零预训练声学模型</w:t>
            </w:r>
          </w:p>
        </w:tc>
        <w:tc>
          <w:tcPr>
            <w:tcW w:type="dxa" w:w="1800"/>
            <w:tcW w:w="1800" w:type="dxa"/>
          </w:tcPr>
          <w:p>
            <w:pPr>
              <w:spacing w:before="40" w:after="40"/>
              <w:ind w:firstLine="0"/>
              <w:jc w:val="center"/>
            </w:pPr>
            <w:r/>
            <w:r>
              <w:rPr>
                <w:rFonts w:eastAsia="Microsoft YaHei"/>
                <w:rFonts w:ascii="Calibri" w:hAnsi="Calibri"/>
                <w:color w:val="556B55"/>
                <w:sz w:val="20"/>
              </w:rPr>
              <w:t>术语识别率97%-&gt;99%</w:t>
            </w:r>
          </w:p>
        </w:tc>
      </w:tr>
    </w:tbl>
    <w:p>
      <w:pPr>
        <w:spacing w:line="360" w:lineRule="auto"/>
        <w:ind w:firstLine="420"/>
      </w:pPr>
      <w:r>
        <w:rPr>
          <w:rFonts w:ascii="Calibri" w:hAnsi="Calibri" w:eastAsia="Microsoft YaHei"/>
          <w:color w:val="2F3A2E"/>
          <w:sz w:val="21"/>
        </w:rPr>
        <w:t>系统内置常用模板库，覆盖禅修领域常见的文档类型：课程讲义模板、开示文稿模板、公众号推文模板、字幕稿模板等。用户也可上传自己的范文或创建新的规则模板。所有模板以JSON/YAML文件形式存储在本地模板目录中，支持通过文件共享方式在团队内分发。建议团队指定一名排版负责人统一维护模板，确保输出文档风格的一致性。</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8A9A8A"/>
        <w:sz w:val="18"/>
      </w:rPr>
      <w:t xml:space="preserve">第 </w:t>
    </w:r>
    <w:r>
      <w:rPr>
        <w:rFonts w:ascii="Calibri" w:hAnsi="Calibri" w:eastAsia="Microsoft YaHei"/>
        <w:color w:val="8A9A8A"/>
        <w:sz w:val="18"/>
      </w:rPr>
      <w:fldChar w:fldCharType="begin"/>
    </w:r>
    <w:r>
      <w:rPr>
        <w:rFonts w:ascii="Calibri" w:hAnsi="Calibri" w:eastAsia="Microsoft YaHei"/>
        <w:color w:val="8A9A8A"/>
        <w:sz w:val="18"/>
      </w:rPr>
      <w:instrText xml:space="preserve"> PAGE </w:instrText>
    </w:r>
    <w:r>
      <w:rPr>
        <w:rFonts w:ascii="Calibri" w:hAnsi="Calibri" w:eastAsia="Microsoft YaHei"/>
        <w:color w:val="8A9A8A"/>
        <w:sz w:val="18"/>
      </w:rPr>
      <w:fldChar w:fldCharType="separate"/>
    </w:r>
    <w:r>
      <w:rPr>
        <w:rFonts w:ascii="Calibri" w:hAnsi="Calibri" w:eastAsia="Microsoft YaHei"/>
        <w:color w:val="8A9A8A"/>
        <w:sz w:val="18"/>
      </w:rPr>
      <w:t>1</w:t>
    </w:r>
    <w:r>
      <w:rPr>
        <w:rFonts w:ascii="Calibri" w:hAnsi="Calibri" w:eastAsia="Microsoft YaHei"/>
        <w:color w:val="8A9A8A"/>
        <w:sz w:val="18"/>
      </w:rPr>
      <w:fldChar w:fldCharType="end"/>
    </w:r>
    <w:r>
      <w:rPr>
        <w:rFonts w:ascii="Calibri" w:hAnsi="Calibri" w:eastAsia="Microsoft YaHei"/>
        <w:color w:val="8A9A8A"/>
        <w:sz w:val="18"/>
      </w:rPr>
      <w:t xml:space="preserve"> 页 / 共 </w:t>
    </w:r>
    <w:r>
      <w:rPr>
        <w:rFonts w:ascii="Calibri" w:hAnsi="Calibri" w:eastAsia="Microsoft YaHei"/>
        <w:color w:val="8A9A8A"/>
        <w:sz w:val="18"/>
      </w:rPr>
      <w:fldChar w:fldCharType="begin"/>
    </w:r>
    <w:r>
      <w:rPr>
        <w:rFonts w:ascii="Calibri" w:hAnsi="Calibri" w:eastAsia="Microsoft YaHei"/>
        <w:color w:val="8A9A8A"/>
        <w:sz w:val="18"/>
      </w:rPr>
      <w:instrText xml:space="preserve"> NUMPAGES </w:instrText>
    </w:r>
    <w:r>
      <w:rPr>
        <w:rFonts w:ascii="Calibri" w:hAnsi="Calibri" w:eastAsia="Microsoft YaHei"/>
        <w:color w:val="8A9A8A"/>
        <w:sz w:val="18"/>
      </w:rPr>
      <w:fldChar w:fldCharType="separate"/>
    </w:r>
    <w:r>
      <w:rPr>
        <w:rFonts w:ascii="Calibri" w:hAnsi="Calibri" w:eastAsia="Microsoft YaHei"/>
        <w:color w:val="8A9A8A"/>
        <w:sz w:val="18"/>
      </w:rPr>
      <w:t>1</w:t>
    </w:r>
    <w:r>
      <w:rPr>
        <w:rFonts w:ascii="Calibri" w:hAnsi="Calibri" w:eastAsia="Microsoft YaHei"/>
        <w:color w:val="8A9A8A"/>
        <w:sz w:val="18"/>
      </w:rPr>
      <w:fldChar w:fldCharType="end"/>
    </w:r>
    <w:r>
      <w:rPr>
        <w:rFonts w:ascii="Calibri" w:hAnsi="Calibri" w:eastAsia="Microsoft YaHei"/>
        <w:color w:val="8A9A8A"/>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http://schemas.openxmlformats.org/wordprocessingml/2006/main">
  <w:p>
    <w:pPr>
      <w:jc w:val="right"/>
    </w:pPr>
    <w:r>
      <w:rPr>
        <w:rFonts w:ascii="Calibri" w:hAnsi="Calibri" w:eastAsia="Microsoft YaHei"/>
        <w:color w:val="8A9A8A"/>
        <w:sz w:val="18"/>
      </w:rPr>
      <w:t>如是我闻 · 技术方案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2F3A2E"/>
      <w:sz w:val="21"/>
    </w:rPr>
  </w:style>
  <w:style w:type="paragraph" w:styleId="Heading1">
    <w:name w:val="heading 1"/>
    <w:basedOn w:val="Normal"/>
    <w:pPr>
      <w:keepNext/>
      <w:keepLines/>
      <w:spacing w:before="600" w:after="240"/>
      <w:ind w:firstLine="0"/>
      <w:outlineLvl w:val="0"/>
    </w:pPr>
    <w:rPr>
      <w:rFonts w:ascii="Calibri" w:hAnsi="Calibri" w:eastAsia="Microsoft YaHei"/>
      <w:b/>
      <w:color w:val="4A6741"/>
      <w:sz w:val="36"/>
    </w:rPr>
  </w:style>
  <w:style w:type="paragraph" w:styleId="Heading2">
    <w:name w:val="heading 2"/>
    <w:basedOn w:val="Normal"/>
    <w:pPr>
      <w:keepNext/>
      <w:keepLines/>
      <w:spacing w:before="400" w:after="160"/>
      <w:ind w:firstLine="0"/>
      <w:outlineLvl w:val="1"/>
    </w:pPr>
    <w:rPr>
      <w:rFonts w:ascii="Calibri" w:hAnsi="Calibri" w:eastAsia="Microsoft YaHei"/>
      <w:b/>
      <w:color w:val="2F3A2E"/>
      <w:sz w:val="28"/>
    </w:rPr>
  </w:style>
  <w:style w:type="paragraph" w:styleId="Heading3">
    <w:name w:val="heading 3"/>
    <w:basedOn w:val="Normal"/>
    <w:pPr>
      <w:keepNext/>
      <w:keepLines/>
      <w:spacing w:before="280" w:after="120"/>
      <w:ind w:firstLine="0"/>
      <w:outlineLvl w:val="2"/>
    </w:pPr>
    <w:rPr>
      <w:rFonts w:ascii="Calibri" w:hAnsi="Calibri" w:eastAsia="Microsoft YaHei"/>
      <w:b/>
      <w:color w:val="556B55"/>
      <w:sz w:val="24"/>
    </w:rPr>
  </w:style>
  <w:style w:type="paragraph" w:styleId="Caption">
    <w:name w:val="Caption"/>
    <w:basedOn w:val="Normal"/>
    <w:pPr>
      <w:spacing w:before="60" w:after="320"/>
      <w:ind w:firstLine="0"/>
      <w:jc w:val="center"/>
    </w:pPr>
    <w:rPr>
      <w:rFonts w:ascii="Calibri" w:hAnsi="Calibri" w:eastAsia="Microsoft YaHei"/>
      <w:color w:val="8A9A8A"/>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2F3A2E"/>
    </w:rPr>
  </w:style>
  <w:style w:type="paragraph" w:styleId="TOC2">
    <w:name w:val="toc 2"/>
    <w:basedOn w:val="Normal"/>
    <w:pPr>
      <w:tabs>
        <w:tab w:val="right" w:leader="dot" w:pos="9350"/>
      </w:tabs>
      <w:spacing w:before="60" w:after="60"/>
      <w:ind w:left="360" w:firstLine="0"/>
    </w:pPr>
    <w:rPr>
      <w:rFonts w:ascii="Calibri" w:hAnsi="Calibri" w:eastAsia="Microsoft YaHei"/>
      <w:color w:val="556B55"/>
    </w:rPr>
  </w:style>
  <w:style w:type="paragraph" w:styleId="TOC3">
    <w:name w:val="toc 3"/>
    <w:basedOn w:val="Normal"/>
    <w:pPr>
      <w:tabs>
        <w:tab w:val="right" w:leader="dot" w:pos="9350"/>
      </w:tabs>
      <w:spacing w:before="60" w:after="60"/>
      <w:ind w:left="720" w:firstLine="0"/>
    </w:pPr>
    <w:rPr>
      <w:rFonts w:ascii="Calibri" w:hAnsi="Calibri" w:eastAsia="Microsoft YaHei"/>
      <w:color w:val="556B55"/>
    </w:rPr>
  </w:style>
</w:styles>
</file>

<file path=word/_rels/document.xml.rels><?xml version='1.0' encoding='UTF-8' standalone='yes'?>
<Relationships xmlns="http://schemas.openxmlformats.org/package/2006/relationships"><Relationship Id="Ra42c93422c6448d3" Type="http://schemas.openxmlformats.org/officeDocument/2006/relationships/styles" Target="styles.xml"/><Relationship Id="R08ca157bc8604417" Type="http://schemas.openxmlformats.org/officeDocument/2006/relationships/numbering" Target="numbering.xml"/><Relationship Id="Rab32794d04494225" Type="http://schemas.openxmlformats.org/officeDocument/2006/relationships/image" Target="media/image.png"/><Relationship Id="Re6eb3c90fa3d4f6c" Type="http://schemas.openxmlformats.org/officeDocument/2006/relationships/image" Target="media/image2.png"/><Relationship Id="R779ac3b6800f47ad" Type="http://schemas.openxmlformats.org/officeDocument/2006/relationships/header" Target="header1.xml"/><Relationship Id="Rf81d42f67d274730" Type="http://schemas.openxmlformats.org/officeDocument/2006/relationships/footer" Target="footer1.xml"/><Relationship Id="Rfec21337f96f404f" Type="http://schemas.openxmlformats.org/officeDocument/2006/relationships/settings" Target="settings.xml"/><Relationship Id="rId1" Type="http://schemas.openxmlformats.org/officeDocument/2006/relationships/header" Target="header2.xml"/><Relationship Id="rId2" Type="http://schemas.openxmlformats.org/officeDocument/2006/relationships/footer" Target="footer2.xml"/></Relationships>
</file>

<file path=docProps/core.xml><?xml version="1.0" encoding="utf-8"?>
<cp:coreProperties xmlns:cp="http://schemas.openxmlformats.org/package/2006/metadata/core-properties" xmlns:dc="http://purl.org/dc/elements/1.1/" xmlns:dcterms="http://purl.org/dc/terms/" xmlns:xsi="http://www.w3.org/2001/XMLSchema-instance">
  <dc:title>如是我闻 — 本地化智能语音转写系统技术方案</dc:title>
  <cp:lastModifiedBy>python-docx</cp:lastModifiedBy>
  <cp:revision>1</cp:revision>
  <dcterms:modified xsi:type="dcterms:W3CDTF">2026-05-09T04:03:24Z</dcterms:modified>
  <dc:subject>如是我闻技术方案规划书</dc:subject>
</cp:coreProperties>
</file>