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Abraham Guerrero</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Coding</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25th, 2026</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Portfolio Reflection</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the course of this class, I have learned multiple different secure coding standards that reduce the risk of vulnerabilities in software engineering projects and mitigate the cost of attacks to a system’s architecture.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By implementing a secure mindset from the beginning of a project instead of leaving security for the end of the Software Development Lifecycle, vulnerabilities are tackled before they even show up, which reduces the time between an application’s development and its deployment by tackling the testing and security stage of the SDLC right as a project is being developed instead of making it its own step. Additionally, by integrating tools in the DevSecOps sector of the CI/CD pipeline, we can ensure that vulnerabilities in our complex environment never reach untrusted hands. Implementing a zero-trust architecture is another security step in our secure coding environment. By making sure that every interaction with the system requires verification of user and device, we can fortify the Triple-A framework (Authorization, authentication, and accounting) that our application consists of.</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writing or modifying a security policy, I would first analyze the needs of the company, what language(s) we are using for development, what tools we are integrating into our system architecture, and what vulnerabilities are likely based on this. Using coding standards like the CERT C++ coding standard, I can read, analyze, and prevent likely vulnerabilities and prevent coding vulnerabilities by integrating secure coding best practices and static coding tools.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