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0A37" w14:textId="77777777" w:rsidR="00042456" w:rsidRPr="00042456" w:rsidRDefault="00042456" w:rsidP="00042456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IL"/>
          <w14:ligatures w14:val="none"/>
        </w:rPr>
        <w:t>About Dataset</w:t>
      </w:r>
    </w:p>
    <w:p w14:paraId="5F00C355" w14:textId="77777777" w:rsidR="00042456" w:rsidRPr="00042456" w:rsidRDefault="00042456" w:rsidP="0004245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 xml:space="preserve">Customer Personality Analysis involves a thorough examination of a company's optimal customer profiles. This analysis facilitates a deeper understanding of customers, enabling businesses to tailor products to meet the distinct needs, </w:t>
      </w:r>
      <w:proofErr w:type="spellStart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behaviors</w:t>
      </w:r>
      <w:proofErr w:type="spellEnd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, and concerns of various customer types.</w:t>
      </w:r>
    </w:p>
    <w:p w14:paraId="3B528E8A" w14:textId="77777777" w:rsidR="00042456" w:rsidRPr="00042456" w:rsidRDefault="00042456" w:rsidP="0004245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 xml:space="preserve">By conducting a Customer Personality Analysis, businesses can refine their products based on the preferences of specific customer segments. Rather than allocating resources to market a new product to the entire customer database, companies can identify the segments most likely to be interested in the product. Subsequently, targeted marketing efforts can be directed toward those </w:t>
      </w:r>
      <w:proofErr w:type="gramStart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particular segments</w:t>
      </w:r>
      <w:proofErr w:type="gramEnd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, optimizing resource utilization and increasing the likelihood of successful product adoption.</w:t>
      </w:r>
    </w:p>
    <w:p w14:paraId="693304DE" w14:textId="77777777" w:rsidR="00042456" w:rsidRPr="00042456" w:rsidRDefault="00042456" w:rsidP="00042456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Details of Features are as below:</w:t>
      </w:r>
    </w:p>
    <w:p w14:paraId="654EB673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Id: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 xml:space="preserve"> Unique identifier for </w:t>
      </w:r>
      <w:proofErr w:type="gramStart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each individual</w:t>
      </w:r>
      <w:proofErr w:type="gramEnd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 xml:space="preserve"> in the dataset.</w:t>
      </w:r>
    </w:p>
    <w:p w14:paraId="17BA5902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Year_Birth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birth year of the individual.</w:t>
      </w:r>
    </w:p>
    <w:p w14:paraId="62F56589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Education: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highest level of education attained by the individual.</w:t>
      </w:r>
    </w:p>
    <w:p w14:paraId="7B45215E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Marital_Status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marital status of the individual.</w:t>
      </w:r>
    </w:p>
    <w:p w14:paraId="261E02DE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Income: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annual income of the individual.</w:t>
      </w:r>
    </w:p>
    <w:p w14:paraId="6860D1E4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Kidhome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young children in the household.</w:t>
      </w:r>
    </w:p>
    <w:p w14:paraId="65611076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Teenhome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teenagers in the household.</w:t>
      </w:r>
    </w:p>
    <w:p w14:paraId="57C169A4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Dt_Customer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date when the customer was first enrolled or became a part of the company's database.</w:t>
      </w:r>
    </w:p>
    <w:p w14:paraId="31FE8C33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Recency: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days since the last purchase or interaction.</w:t>
      </w:r>
    </w:p>
    <w:p w14:paraId="0D554F48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MntWines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amount spent on wines.</w:t>
      </w:r>
    </w:p>
    <w:p w14:paraId="1CCF2CF7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MntFruits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amount spent on fruits.</w:t>
      </w:r>
    </w:p>
    <w:p w14:paraId="52FCAEDC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MntMeatProducts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amount spent on meat products.</w:t>
      </w:r>
    </w:p>
    <w:p w14:paraId="42CD116D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MntFishProducts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amount spent on fish products.</w:t>
      </w:r>
    </w:p>
    <w:p w14:paraId="502264D4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MntSweetProducts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amount spent on sweet products.</w:t>
      </w:r>
    </w:p>
    <w:p w14:paraId="5282F7E0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MntGoldProds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amount spent on gold products.</w:t>
      </w:r>
    </w:p>
    <w:p w14:paraId="056C2492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NumDealsPurchases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purchases made with a discount or as part of a deal.</w:t>
      </w:r>
    </w:p>
    <w:p w14:paraId="20C3A080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NumWebPurchases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purchases made through the company's website.</w:t>
      </w:r>
    </w:p>
    <w:p w14:paraId="0BF10F77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NumCatalogPurchases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 xml:space="preserve"> The number of purchases made through </w:t>
      </w:r>
      <w:proofErr w:type="spellStart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catalogs</w:t>
      </w:r>
      <w:proofErr w:type="spellEnd"/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.</w:t>
      </w:r>
    </w:p>
    <w:p w14:paraId="39EB0E37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NumStorePurchases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purchases made in physical stores.</w:t>
      </w:r>
    </w:p>
    <w:p w14:paraId="098D207C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NumWebVisitsMonth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The number of visits to the company's website in a month.</w:t>
      </w:r>
    </w:p>
    <w:p w14:paraId="0623F9FC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AcceptedCmp3: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accepted the third marketing campaign.</w:t>
      </w:r>
    </w:p>
    <w:p w14:paraId="2D39F038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AcceptedCmp4: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accepted the fourth marketing campaign.</w:t>
      </w:r>
    </w:p>
    <w:p w14:paraId="22C16C9D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lastRenderedPageBreak/>
        <w:t>AcceptedCmp5: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accepted the fifth marketing campaign.</w:t>
      </w:r>
    </w:p>
    <w:p w14:paraId="71707576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AcceptedCmp1: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accepted the first marketing campaign.</w:t>
      </w:r>
    </w:p>
    <w:p w14:paraId="02571314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AcceptedCmp2: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accepted the second marketing campaign.</w:t>
      </w:r>
    </w:p>
    <w:p w14:paraId="61838642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Complain: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has made a complaint.</w:t>
      </w:r>
    </w:p>
    <w:p w14:paraId="0DC28153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Z_CostContact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A constant cost associated with contacting a customer.</w:t>
      </w:r>
    </w:p>
    <w:p w14:paraId="79E8147B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proofErr w:type="spellStart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Z_Revenue</w:t>
      </w:r>
      <w:proofErr w:type="spellEnd"/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A constant revenue associated with a successful campaign response.</w:t>
      </w:r>
    </w:p>
    <w:p w14:paraId="5766AFE3" w14:textId="77777777" w:rsidR="00042456" w:rsidRPr="00042456" w:rsidRDefault="00042456" w:rsidP="00042456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</w:pPr>
      <w:r w:rsidRPr="00042456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en-IL"/>
          <w14:ligatures w14:val="none"/>
        </w:rPr>
        <w:t>Response:</w:t>
      </w:r>
      <w:r w:rsidRPr="00042456">
        <w:rPr>
          <w:rFonts w:ascii="inherit" w:eastAsia="Times New Roman" w:hAnsi="inherit" w:cs="Arial"/>
          <w:color w:val="3C4043"/>
          <w:kern w:val="0"/>
          <w:sz w:val="21"/>
          <w:szCs w:val="21"/>
          <w:lang w:eastAsia="en-IL"/>
          <w14:ligatures w14:val="none"/>
        </w:rPr>
        <w:t> Binary indicator (1 or 0) whether the individual responded to the marketing campaign.</w:t>
      </w:r>
    </w:p>
    <w:p w14:paraId="0C688736" w14:textId="77777777" w:rsidR="00042456" w:rsidRDefault="00042456"/>
    <w:sectPr w:rsidR="000424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3E3E"/>
    <w:multiLevelType w:val="multilevel"/>
    <w:tmpl w:val="106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75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56"/>
    <w:rsid w:val="0004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5587"/>
  <w15:chartTrackingRefBased/>
  <w15:docId w15:val="{8A1DD60D-3F3E-468C-BE93-0870A360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2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456"/>
    <w:rPr>
      <w:rFonts w:ascii="Times New Roman" w:eastAsia="Times New Roman" w:hAnsi="Times New Roman" w:cs="Times New Roman"/>
      <w:b/>
      <w:bCs/>
      <w:kern w:val="0"/>
      <w:sz w:val="36"/>
      <w:szCs w:val="36"/>
      <w:lang w:eastAsia="en-I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2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042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1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Showgan</dc:creator>
  <cp:keywords/>
  <dc:description/>
  <cp:lastModifiedBy>Abed Showgan</cp:lastModifiedBy>
  <cp:revision>1</cp:revision>
  <dcterms:created xsi:type="dcterms:W3CDTF">2024-01-23T21:24:00Z</dcterms:created>
  <dcterms:modified xsi:type="dcterms:W3CDTF">2024-01-23T21:24:00Z</dcterms:modified>
</cp:coreProperties>
</file>