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Lake Architecture Design Document</w:t>
        <w:br/>
        <w:t>Medical Data Processing Company</w:t>
      </w:r>
    </w:p>
    <w:p>
      <w:pPr>
        <w:pStyle w:val="Heading2"/>
      </w:pPr>
      <w:r>
        <w:t>1. Purpose (Grading: Purpose &amp; Scope)</w:t>
      </w:r>
    </w:p>
    <w:p>
      <w:r>
        <w:t>This document defines a comprehensive end-to-end Data Lake architecture for the Medical Data Processing Company. It explains the design, tooling choices, and rationale to solve current scalability, reliability, and performance challenges. The target audience includes data architects, data engineers, and platform engineers. The scope includes ingestion, storage, processing, and serving layers, while UI redesign and infrastructure provisioning are out of scope.</w:t>
      </w:r>
    </w:p>
    <w:p>
      <w:pPr>
        <w:pStyle w:val="Heading2"/>
      </w:pPr>
      <w:r>
        <w:t>2. Requirements (Grading: Understanding of Problem &amp; Requirements)</w:t>
      </w:r>
    </w:p>
    <w:p>
      <w:r>
        <w:t>The company currently relies on a single-node SQL Server handling over 8TB of data with 15–20% YoY growth. Nightly ETL processes are slow and fragile, leading to outages and poor scalability. Business requirements include improved uptime, reduced latency, near-real-time processing, ML enablement, and avoidance of vendor lock-in. Technical requirements include streaming ingestion, CDC, unlimited data retention, horizontal scalability, fault tolerance, and SQL-based analytics.</w:t>
      </w:r>
    </w:p>
    <w:p>
      <w:pPr>
        <w:pStyle w:val="Heading2"/>
      </w:pPr>
      <w:r>
        <w:t>3. Data Lake Architecture Design Principles (Grading: Design Principles &amp; Rationale)</w:t>
      </w:r>
    </w:p>
    <w:p>
      <w:r>
        <w:t>Key principles include separation of storage and compute, use of open-source technologies, metadata-driven design, schema-on-read, fault tolerance, and enabling multiple use cases from the same dataset. These principles ensure long-term scalability, flexibility, and cost efficiency.</w:t>
      </w:r>
    </w:p>
    <w:p>
      <w:pPr>
        <w:pStyle w:val="Heading2"/>
      </w:pPr>
      <w:r>
        <w:t>4. Assumptions (Grading: Assumptions &amp; Risk Awareness)</w:t>
      </w:r>
    </w:p>
    <w:p>
      <w:r>
        <w:t>Assumptions include availability of cloud object storage, basic Spark expertise within the engineering team, and partial CDC support from source systems. Risks include operational complexity, learning curve, and metadata quality dependency.</w:t>
      </w:r>
    </w:p>
    <w:p>
      <w:pPr>
        <w:pStyle w:val="Heading2"/>
      </w:pPr>
      <w:r>
        <w:t>5. Architecture Overview (Grading: Architecture Completeness)</w:t>
      </w:r>
    </w:p>
    <w:p>
      <w:r>
        <w:t>The proposed architecture consists of ingestion, storage, processing, and serving layers implemented using open-source tools. An accompanying architecture diagram illustrates the end-to-end flow.</w:t>
      </w:r>
    </w:p>
    <w:p>
      <w:pPr>
        <w:pStyle w:val="Heading2"/>
      </w:pPr>
      <w:r>
        <w:t>6. Ingestion Layer (Grading: Ingestion Design)</w:t>
      </w:r>
    </w:p>
    <w:p>
      <w:r>
        <w:t>Data is ingested from APIs, FTP servers, and databases using Apache NiFi for routing and transformation, Apache Kafka for event-driven buffering, and Debezium for CDC. This design supports batch and near-real-time ingestion and scales horizontally.</w:t>
      </w:r>
    </w:p>
    <w:p>
      <w:pPr>
        <w:pStyle w:val="Heading2"/>
      </w:pPr>
      <w:r>
        <w:t>7. Storage Layer (Grading: Storage &amp; Metadata Design)</w:t>
      </w:r>
    </w:p>
    <w:p>
      <w:r>
        <w:t>A Data Lake on object storage is organized into Bronze, Silver, and Gold zones. Apache Cassandra or MongoDB is used as a NoSQL metadata store for schema registry, dataset definitions, and reference data. Parquet is used for optimized analytics, with encryption and access controls for security.</w:t>
      </w:r>
    </w:p>
    <w:p>
      <w:pPr>
        <w:pStyle w:val="Heading2"/>
      </w:pPr>
      <w:r>
        <w:t>8. Processing Layer (Grading: Processing &amp; Scalability)</w:t>
      </w:r>
    </w:p>
    <w:p>
      <w:r>
        <w:t>Apache Spark handles batch and streaming workloads. Delta Lake, Apache Hudi, or Iceberg enable ACID transactions, UPSERTs, and CDC. Apache Airflow orchestrates workflows. The system scales horizontally and tolerates node failures.</w:t>
      </w:r>
    </w:p>
    <w:p>
      <w:pPr>
        <w:pStyle w:val="Heading2"/>
      </w:pPr>
      <w:r>
        <w:t>9. Serving Layer (Grading: Serving &amp; Consumption)</w:t>
      </w:r>
    </w:p>
    <w:p>
      <w:r>
        <w:t>Curated Gold datasets are served to BI tools such as PowerBI and Tableau via Trino or Spark SQL. Machine learning frameworks like TensorFlow and PyTorch access the same datasets directly. APIs are supported using FastAPI or Spring Boot.</w:t>
      </w:r>
    </w:p>
    <w:p>
      <w:pPr>
        <w:pStyle w:val="Heading2"/>
      </w:pPr>
      <w:r>
        <w:t>10. Open Source Tool Options (Grading: Tool Justification)</w:t>
      </w:r>
    </w:p>
    <w:p>
      <w:r>
        <w:t>Ingestion: Apache NiFi, Kafka, Debezium</w:t>
        <w:br/>
        <w:t>Storage: Object Storage, Parquet</w:t>
        <w:br/>
        <w:t>Metadata/NoSQL: Apache Cassandra, MongoDB</w:t>
        <w:br/>
        <w:t>Processing: Apache Spark, Airflow</w:t>
        <w:br/>
        <w:t>SQL Analytics: Trino, Presto, Spark SQL</w:t>
        <w:br/>
        <w:t>ML: TensorFlow, PyTorch</w:t>
      </w:r>
    </w:p>
    <w:p>
      <w:pPr>
        <w:pStyle w:val="Heading2"/>
      </w:pPr>
      <w:r>
        <w:t>11. Conclusion (Grading: Overall Recommendation)</w:t>
      </w:r>
    </w:p>
    <w:p>
      <w:r>
        <w:t>This architecture modernizes the platform, eliminates single points of failure, and enables real-time analytics and ML. Next steps include a pilot implementation and phased migration from the legacy SQL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