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52"/>
        </w:rPr>
        <w:t>Personalized Course Recommendation System</w:t>
      </w:r>
    </w:p>
    <w:p>
      <w:pPr>
        <w:jc w:val="center"/>
      </w:pPr>
      <w:r>
        <w:rPr>
          <w:rFonts w:ascii="Times New Roman" w:hAnsi="Times New Roman"/>
          <w:color w:val="505050"/>
          <w:sz w:val="36"/>
        </w:rPr>
        <w:t>A Multi-Model Machine Learning Framework</w:t>
        <w:br/>
        <w:t>for Academic Success</w:t>
      </w:r>
    </w:p>
    <w:p/>
    <w:p/>
    <w:p>
      <w:pPr>
        <w:jc w:val="center"/>
      </w:pPr>
      <w:r>
        <w:rPr>
          <w:sz w:val="28"/>
        </w:rPr>
        <w:t>Mini Project Report</w:t>
        <w:br/>
        <w:t>Recommendation Systems — Semester 6</w:t>
      </w:r>
    </w:p>
    <w:p/>
    <w:p>
      <w:pPr>
        <w:jc w:val="center"/>
      </w:pPr>
      <w:r>
        <w:rPr>
          <w:i/>
          <w:sz w:val="22"/>
        </w:rPr>
        <w:t>Based on the research paper:</w:t>
        <w:br/>
        <w:t>"Personalized Course Recommendation System: A Multi-Model Machine Learning</w:t>
        <w:br/>
        <w:t>Framework for Academic Success"</w:t>
        <w:br/>
        <w:t>by Islam &amp; Hosen (MDPI Digital, 2025)</w:t>
      </w:r>
    </w:p>
    <w:p>
      <w:r>
        <w:br w:type="page"/>
      </w:r>
    </w:p>
    <w:p>
      <w:pPr>
        <w:pStyle w:val="Heading1"/>
      </w:pPr>
      <w:r>
        <w:rPr>
          <w:color w:val="000000"/>
        </w:rPr>
        <w:t>Table of Contents</w:t>
      </w:r>
    </w:p>
    <w:p>
      <w:pPr>
        <w:spacing w:after="40"/>
      </w:pPr>
      <w:r>
        <w:t>1. Abstract</w:t>
      </w:r>
    </w:p>
    <w:p>
      <w:pPr>
        <w:spacing w:after="40"/>
      </w:pPr>
      <w:r>
        <w:t>2. Introduction</w:t>
      </w:r>
    </w:p>
    <w:p>
      <w:pPr>
        <w:spacing w:after="40"/>
      </w:pPr>
      <w:r>
        <w:t>3. Literature Review &amp; Related Work</w:t>
      </w:r>
    </w:p>
    <w:p>
      <w:pPr>
        <w:spacing w:after="40"/>
      </w:pPr>
      <w:r>
        <w:t>4. Proposed Methodology</w:t>
      </w:r>
    </w:p>
    <w:p>
      <w:pPr>
        <w:spacing w:after="40"/>
      </w:pPr>
      <w:r>
        <w:t xml:space="preserve">    4.1 Dataset Selection &amp; Description</w:t>
      </w:r>
    </w:p>
    <w:p>
      <w:pPr>
        <w:spacing w:after="40"/>
      </w:pPr>
      <w:r>
        <w:t xml:space="preserve">    4.2 Feature Engineering</w:t>
      </w:r>
    </w:p>
    <w:p>
      <w:pPr>
        <w:spacing w:after="40"/>
      </w:pPr>
      <w:r>
        <w:t xml:space="preserve">    4.3 Data Splitting Strategy</w:t>
      </w:r>
    </w:p>
    <w:p>
      <w:pPr>
        <w:spacing w:after="40"/>
      </w:pPr>
      <w:r>
        <w:t xml:space="preserve">    4.4 Local Model Framework (LMF)</w:t>
      </w:r>
    </w:p>
    <w:p>
      <w:pPr>
        <w:spacing w:after="40"/>
      </w:pPr>
      <w:r>
        <w:t xml:space="preserve">    4.5 Global Model Framework (GMF)</w:t>
      </w:r>
    </w:p>
    <w:p>
      <w:pPr>
        <w:spacing w:after="40"/>
      </w:pPr>
      <w:r>
        <w:t>5. Implementation Details</w:t>
      </w:r>
    </w:p>
    <w:p>
      <w:pPr>
        <w:spacing w:after="40"/>
      </w:pPr>
      <w:r>
        <w:t xml:space="preserve">    5.1 Step 1: Data Loading</w:t>
      </w:r>
    </w:p>
    <w:p>
      <w:pPr>
        <w:spacing w:after="40"/>
      </w:pPr>
      <w:r>
        <w:t xml:space="preserve">    5.2 Step 2: Feature Engineering</w:t>
      </w:r>
    </w:p>
    <w:p>
      <w:pPr>
        <w:spacing w:after="40"/>
      </w:pPr>
      <w:r>
        <w:t xml:space="preserve">    5.3 Step 3: Data Splitting</w:t>
      </w:r>
    </w:p>
    <w:p>
      <w:pPr>
        <w:spacing w:after="40"/>
      </w:pPr>
      <w:r>
        <w:t xml:space="preserve">    5.4 Step 4: Model Training</w:t>
      </w:r>
    </w:p>
    <w:p>
      <w:pPr>
        <w:spacing w:after="40"/>
      </w:pPr>
      <w:r>
        <w:t xml:space="preserve">    5.5 Step 5: Validation Evaluation</w:t>
      </w:r>
    </w:p>
    <w:p>
      <w:pPr>
        <w:spacing w:after="40"/>
      </w:pPr>
      <w:r>
        <w:t xml:space="preserve">    5.6 Step 6: Final Test Evaluation</w:t>
      </w:r>
    </w:p>
    <w:p>
      <w:pPr>
        <w:spacing w:after="40"/>
      </w:pPr>
      <w:r>
        <w:t xml:space="preserve">    5.7 Step 7: Hybrid Recommender</w:t>
      </w:r>
    </w:p>
    <w:p>
      <w:pPr>
        <w:spacing w:after="40"/>
      </w:pPr>
      <w:r>
        <w:t>6. Results &amp; Analysis</w:t>
      </w:r>
    </w:p>
    <w:p>
      <w:pPr>
        <w:spacing w:after="40"/>
      </w:pPr>
      <w:r>
        <w:t xml:space="preserve">    6.1 Local Model Performance</w:t>
      </w:r>
    </w:p>
    <w:p>
      <w:pPr>
        <w:spacing w:after="40"/>
      </w:pPr>
      <w:r>
        <w:t xml:space="preserve">    6.2 Global Model Performance</w:t>
      </w:r>
    </w:p>
    <w:p>
      <w:pPr>
        <w:spacing w:after="40"/>
      </w:pPr>
      <w:r>
        <w:t xml:space="preserve">    6.3 Paper vs. Our Results</w:t>
      </w:r>
    </w:p>
    <w:p>
      <w:pPr>
        <w:spacing w:after="40"/>
      </w:pPr>
      <w:r>
        <w:t xml:space="preserve">    6.4 Ranking Metrics</w:t>
      </w:r>
    </w:p>
    <w:p>
      <w:pPr>
        <w:spacing w:after="40"/>
      </w:pPr>
      <w:r>
        <w:t>7. Visualizations</w:t>
      </w:r>
    </w:p>
    <w:p>
      <w:pPr>
        <w:spacing w:after="40"/>
      </w:pPr>
      <w:r>
        <w:t>8. Conclusion</w:t>
      </w:r>
    </w:p>
    <w:p>
      <w:pPr>
        <w:spacing w:after="40"/>
      </w:pPr>
      <w:r>
        <w:t>9. Future Work</w:t>
      </w:r>
    </w:p>
    <w:p>
      <w:pPr>
        <w:spacing w:after="40"/>
      </w:pPr>
      <w:r>
        <w:t>10. References</w:t>
      </w:r>
    </w:p>
    <w:p>
      <w:r>
        <w:br w:type="page"/>
      </w:r>
    </w:p>
    <w:p>
      <w:pPr>
        <w:pStyle w:val="Heading1"/>
      </w:pPr>
      <w:r>
        <w:rPr>
          <w:color w:val="000000"/>
        </w:rPr>
        <w:t>1. Abstract</w:t>
      </w:r>
    </w:p>
    <w:p>
      <w:pPr>
        <w:jc w:val="both"/>
      </w:pPr>
      <w:r>
        <w:rPr>
          <w:rFonts w:ascii="Times New Roman" w:hAnsi="Times New Roman"/>
          <w:b w:val="0"/>
          <w:i w:val="0"/>
          <w:sz w:val="24"/>
        </w:rPr>
        <w:t>This project presents a complete replication and real-world adaptation of the hierarchical, multi-model machine learning framework proposed in the research paper "Personalized Course Recommendation System: A Multi-Model Machine Learning Framework for Academic Success" (Islam &amp; Hosen, MDPI Digital 2025). While the original authors validated their methodology using a purely synthetically generated dataset (DF4, containing 101,330 records), this project adapts the identical architecture to operate on real-world, open-source educational datasets sourced from Kaggle — specifically the Udemy Course Recommendation dataset and the College Student Management dataset.</w:t>
      </w:r>
    </w:p>
    <w:p>
      <w:pPr>
        <w:jc w:val="both"/>
      </w:pPr>
      <w:r>
        <w:rPr>
          <w:rFonts w:ascii="Times New Roman" w:hAnsi="Times New Roman"/>
          <w:b w:val="0"/>
          <w:i w:val="0"/>
          <w:sz w:val="24"/>
        </w:rPr>
        <w:t>Our implementation faithfully replicates the paper's two-layer hierarchy: a Local Model Framework (LMF) consisting of five independent predictive models (SPM, CFSM, PFM, GPM, RLM), and a Global Model Framework (GMF) using a LightGBM meta-function to synthesize all five outputs into a final, constraint-aware recommendation score. The results demonstrate that the paper's methodology scales effectively to real-world data, achieving &gt;97% prerequisite classification accuracy, &gt;91% graduation priority accuracy, and success probability prediction within a 5% margin of error.</w:t>
      </w:r>
    </w:p>
    <w:p>
      <w:r>
        <w:br w:type="page"/>
      </w:r>
    </w:p>
    <w:p>
      <w:pPr>
        <w:pStyle w:val="Heading1"/>
      </w:pPr>
      <w:r>
        <w:rPr>
          <w:color w:val="000000"/>
        </w:rPr>
        <w:t>2. Introduction</w:t>
      </w:r>
    </w:p>
    <w:p>
      <w:pPr>
        <w:jc w:val="both"/>
      </w:pPr>
      <w:r>
        <w:rPr>
          <w:rFonts w:ascii="Times New Roman" w:hAnsi="Times New Roman"/>
          <w:b w:val="0"/>
          <w:i w:val="0"/>
          <w:sz w:val="24"/>
        </w:rPr>
        <w:t>Course recommendation in higher education is a uniquely complex problem. Unlike entertainment or e-commerce recommendation systems (such as Netflix or Amazon), academic course selection is governed by rigid, non-negotiable constraints: prerequisite chains, credit load limitations, graduation requirements, and student academic capability. A student cannot simply be recommended a course because other similar students liked it — the system must verify that the student possesses the prerequisite knowledge, that the course aligns with their graduation timeline, and that adding it would not exceed their optimal workload.</w:t>
      </w:r>
    </w:p>
    <w:p>
      <w:pPr>
        <w:jc w:val="both"/>
      </w:pPr>
      <w:r>
        <w:rPr>
          <w:rFonts w:ascii="Times New Roman" w:hAnsi="Times New Roman"/>
          <w:b w:val="0"/>
          <w:i w:val="0"/>
          <w:sz w:val="24"/>
        </w:rPr>
        <w:t>Traditional recommendation approaches such as Collaborative Filtering (CF) and Content-Based Filtering (CBF) fail to capture these multi-dimensional constraints simultaneously. CF relies on user-item interaction patterns and suffers from cold-start problems, while CBF matches content features but ignores academic constraints entirely.</w:t>
      </w:r>
    </w:p>
    <w:p>
      <w:pPr>
        <w:jc w:val="both"/>
      </w:pPr>
      <w:r>
        <w:rPr>
          <w:rFonts w:ascii="Times New Roman" w:hAnsi="Times New Roman"/>
          <w:b w:val="0"/>
          <w:i w:val="0"/>
          <w:sz w:val="24"/>
        </w:rPr>
        <w:t>Islam &amp; Hosen (2025) proposed a novel hierarchical multi-model framework that decomposes the recommendation task into five independent sub-problems, each handled by a specialized machine learning model. These five local predictions are then synthesized by a global meta-model that learns the optimal weighting and interaction between constraints. This architecture allows the system to simultaneously optimize for success probability, course fit, prerequisite compliance, graduation priority, and workload management.</w:t>
      </w:r>
    </w:p>
    <w:p>
      <w:pPr>
        <w:jc w:val="both"/>
      </w:pPr>
      <w:r>
        <w:rPr>
          <w:rFonts w:ascii="Times New Roman" w:hAnsi="Times New Roman"/>
          <w:b w:val="0"/>
          <w:i w:val="0"/>
          <w:sz w:val="24"/>
        </w:rPr>
        <w:t>The objective of this project is to replicate this framework using real-world datasets instead of synthetic data, thereby validating whether the proposed methodology generalizes beyond controlled synthetic environments to the noise and complexity of authentic educational data.</w:t>
      </w:r>
    </w:p>
    <w:p>
      <w:r>
        <w:br w:type="page"/>
      </w:r>
    </w:p>
    <w:p>
      <w:pPr>
        <w:pStyle w:val="Heading1"/>
      </w:pPr>
      <w:r>
        <w:rPr>
          <w:color w:val="000000"/>
        </w:rPr>
        <w:t>3. Literature Review &amp; Related Work</w:t>
      </w:r>
    </w:p>
    <w:p>
      <w:pPr>
        <w:pStyle w:val="Heading2"/>
      </w:pPr>
      <w:r>
        <w:rPr>
          <w:color w:val="000000"/>
        </w:rPr>
        <w:t>3.1 Traditional Recommendation Systems</w:t>
      </w:r>
    </w:p>
    <w:p>
      <w:pPr>
        <w:jc w:val="both"/>
      </w:pPr>
      <w:r>
        <w:rPr>
          <w:rFonts w:ascii="Times New Roman" w:hAnsi="Times New Roman"/>
          <w:b w:val="0"/>
          <w:i w:val="0"/>
          <w:sz w:val="24"/>
        </w:rPr>
        <w:t>Recommendation systems have been extensively studied across various domains. The foundational approaches include:</w:t>
      </w:r>
    </w:p>
    <w:p>
      <w:pPr>
        <w:pStyle w:val="ListBullet"/>
        <w:ind w:left="720"/>
      </w:pPr>
      <w:r>
        <w:rPr>
          <w:rFonts w:ascii="Times New Roman" w:hAnsi="Times New Roman"/>
          <w:sz w:val="24"/>
        </w:rPr>
        <w:t>Collaborative Filtering (CF): Identifies patterns from user-item interaction matrices. Memory-based CF uses user/item similarity (cosine, Pearson), while model-based CF employs matrix factorization techniques like SVD and ALS.</w:t>
      </w:r>
    </w:p>
    <w:p>
      <w:pPr>
        <w:pStyle w:val="ListBullet"/>
        <w:ind w:left="720"/>
      </w:pPr>
      <w:r>
        <w:rPr>
          <w:rFonts w:ascii="Times New Roman" w:hAnsi="Times New Roman"/>
          <w:sz w:val="24"/>
        </w:rPr>
        <w:t>Content-Based Filtering (CBF): Recommends items whose features match the target user's profile. Relies on TF-IDF, word embeddings, or feature vectors for item representation.</w:t>
      </w:r>
    </w:p>
    <w:p>
      <w:pPr>
        <w:pStyle w:val="ListBullet"/>
        <w:ind w:left="720"/>
      </w:pPr>
      <w:r>
        <w:rPr>
          <w:rFonts w:ascii="Times New Roman" w:hAnsi="Times New Roman"/>
          <w:sz w:val="24"/>
        </w:rPr>
        <w:t>Hybrid Methods: Combine CF and CBF to address their individual limitations, often using weighted ensembles or switching strategies.</w:t>
      </w:r>
    </w:p>
    <w:p>
      <w:pPr>
        <w:pStyle w:val="Heading2"/>
      </w:pPr>
      <w:r>
        <w:rPr>
          <w:color w:val="000000"/>
        </w:rPr>
        <w:t>3.2 Course Recommendation Systems</w:t>
      </w:r>
    </w:p>
    <w:p>
      <w:pPr>
        <w:jc w:val="both"/>
      </w:pPr>
      <w:r>
        <w:rPr>
          <w:rFonts w:ascii="Times New Roman" w:hAnsi="Times New Roman"/>
          <w:b w:val="0"/>
          <w:i w:val="0"/>
          <w:sz w:val="24"/>
        </w:rPr>
        <w:t>Academic course recommendation has been explored with varying degrees of constraint awareness. Early systems used simple GPA-based filtering or keyword matching against course descriptions. More recent approaches have incorporated:</w:t>
      </w:r>
    </w:p>
    <w:p>
      <w:pPr>
        <w:pStyle w:val="ListBullet"/>
        <w:ind w:left="720"/>
      </w:pPr>
      <w:r>
        <w:rPr>
          <w:rFonts w:ascii="Times New Roman" w:hAnsi="Times New Roman"/>
          <w:sz w:val="24"/>
        </w:rPr>
        <w:t>Knowledge graph-based methods that model prerequisite chains as directed graphs.</w:t>
      </w:r>
    </w:p>
    <w:p>
      <w:pPr>
        <w:pStyle w:val="ListBullet"/>
        <w:ind w:left="720"/>
      </w:pPr>
      <w:r>
        <w:rPr>
          <w:rFonts w:ascii="Times New Roman" w:hAnsi="Times New Roman"/>
          <w:sz w:val="24"/>
        </w:rPr>
        <w:t>Deep learning approaches using recurrent neural networks (RNNs) to model sequential course enrollment patterns.</w:t>
      </w:r>
    </w:p>
    <w:p>
      <w:pPr>
        <w:pStyle w:val="ListBullet"/>
        <w:ind w:left="720"/>
      </w:pPr>
      <w:r>
        <w:rPr>
          <w:rFonts w:ascii="Times New Roman" w:hAnsi="Times New Roman"/>
          <w:sz w:val="24"/>
        </w:rPr>
        <w:t>Graph neural networks (GNNs) such as LightGCN for collaborative filtering on student-course interaction graphs.</w:t>
      </w:r>
    </w:p>
    <w:p>
      <w:pPr>
        <w:pStyle w:val="Heading2"/>
      </w:pPr>
      <w:r>
        <w:rPr>
          <w:color w:val="000000"/>
        </w:rPr>
        <w:t>3.3 The Multi-Model Framework (Islam &amp; Hosen, 2025)</w:t>
      </w:r>
    </w:p>
    <w:p>
      <w:pPr>
        <w:jc w:val="both"/>
      </w:pPr>
      <w:r>
        <w:rPr>
          <w:rFonts w:ascii="Times New Roman" w:hAnsi="Times New Roman"/>
          <w:b w:val="0"/>
          <w:i w:val="0"/>
          <w:sz w:val="24"/>
        </w:rPr>
        <w:t>The paper by Islam &amp; Hosen introduces a fundamentally different approach. Rather than building a single monolithic model, they decompose the recommendation task into five independent sub-problems, each solved by a specialized model. A global meta-model then learns to synthesize these five outputs into a unified recommendation score. This hierarchical architecture allows each model to specialize in its domain (e.g., prerequisite checking vs. workload estimation) without compromising on other dimensions.</w:t>
      </w:r>
    </w:p>
    <w:p>
      <w:pPr>
        <w:jc w:val="both"/>
      </w:pPr>
      <w:r>
        <w:rPr>
          <w:rFonts w:ascii="Times New Roman" w:hAnsi="Times New Roman"/>
          <w:b w:val="0"/>
          <w:i w:val="0"/>
          <w:sz w:val="24"/>
        </w:rPr>
        <w:t>The paper validated this approach on a synthetic dataset (DF4) containing 101,330 records with 25 features. While the results were excellent (RMSE &lt; 0.012 for regression models, &gt;99% accuracy for classifiers), the use of synthetic data left open the question of real-world generalization — which this project addresses.</w:t>
      </w:r>
    </w:p>
    <w:p>
      <w:r>
        <w:br w:type="page"/>
      </w:r>
    </w:p>
    <w:p>
      <w:pPr>
        <w:pStyle w:val="Heading1"/>
      </w:pPr>
      <w:r>
        <w:rPr>
          <w:color w:val="000000"/>
        </w:rPr>
        <w:t>4. Proposed Methodology</w:t>
      </w:r>
    </w:p>
    <w:p>
      <w:pPr>
        <w:pStyle w:val="Heading2"/>
      </w:pPr>
      <w:r>
        <w:rPr>
          <w:color w:val="000000"/>
        </w:rPr>
        <w:t>4.1 Dataset Selection &amp; Description</w:t>
      </w:r>
    </w:p>
    <w:p>
      <w:pPr>
        <w:jc w:val="both"/>
      </w:pPr>
      <w:r>
        <w:rPr>
          <w:rFonts w:ascii="Times New Roman" w:hAnsi="Times New Roman"/>
          <w:b w:val="0"/>
          <w:i w:val="0"/>
          <w:sz w:val="24"/>
        </w:rPr>
        <w:t>We evaluated six candidate datasets across two categories (Course Data and Student Data) and selected the following pair based on feature richness and compatibility:</w:t>
      </w:r>
    </w:p>
    <w:p>
      <w:r>
        <w:rPr>
          <w:rFonts w:ascii="Times New Roman" w:hAnsi="Times New Roman"/>
          <w:b/>
          <w:i w:val="0"/>
          <w:sz w:val="24"/>
        </w:rPr>
        <w:t>Course Dataset: Udemy Course Recommendation Dataset (Kaggle)</w:t>
      </w:r>
    </w:p>
    <w:p>
      <w:pPr>
        <w:pStyle w:val="ListBullet"/>
        <w:ind w:left="720"/>
      </w:pPr>
      <w:r>
        <w:rPr>
          <w:rFonts w:ascii="Times New Roman" w:hAnsi="Times New Roman"/>
          <w:sz w:val="24"/>
        </w:rPr>
        <w:t>Source: https://www.kaggle.com/datasets/evilspirit05/udemy-course-recommendation</w:t>
      </w:r>
    </w:p>
    <w:p>
      <w:pPr>
        <w:pStyle w:val="ListBullet"/>
        <w:ind w:left="720"/>
      </w:pPr>
      <w:r>
        <w:rPr>
          <w:rFonts w:ascii="Times New Roman" w:hAnsi="Times New Roman"/>
          <w:sz w:val="24"/>
        </w:rPr>
        <w:t>Contains: Course titles, subjects, difficulty levels, subscriber counts, review counts, prices, lecture counts, and content duration.</w:t>
      </w:r>
    </w:p>
    <w:p>
      <w:pPr>
        <w:pStyle w:val="ListBullet"/>
        <w:ind w:left="720"/>
      </w:pPr>
      <w:r>
        <w:rPr>
          <w:rFonts w:ascii="Times New Roman" w:hAnsi="Times New Roman"/>
          <w:sz w:val="24"/>
        </w:rPr>
        <w:t>Provides rich numeric features essential for computing course difficulty, popularity, and content richness scores.</w:t>
      </w:r>
    </w:p>
    <w:p>
      <w:r>
        <w:rPr>
          <w:rFonts w:ascii="Times New Roman" w:hAnsi="Times New Roman"/>
          <w:b/>
          <w:i w:val="0"/>
          <w:sz w:val="24"/>
        </w:rPr>
        <w:t>Student Dataset: College Student Management Dataset (Kaggle)</w:t>
      </w:r>
    </w:p>
    <w:p>
      <w:pPr>
        <w:pStyle w:val="ListBullet"/>
        <w:ind w:left="720"/>
      </w:pPr>
      <w:r>
        <w:rPr>
          <w:rFonts w:ascii="Times New Roman" w:hAnsi="Times New Roman"/>
          <w:sz w:val="24"/>
        </w:rPr>
        <w:t>Source: https://www.kaggle.com/datasets/ziya07/college-student-management-dataset</w:t>
      </w:r>
    </w:p>
    <w:p>
      <w:pPr>
        <w:pStyle w:val="ListBullet"/>
        <w:ind w:left="720"/>
      </w:pPr>
      <w:r>
        <w:rPr>
          <w:rFonts w:ascii="Times New Roman" w:hAnsi="Times New Roman"/>
          <w:sz w:val="24"/>
        </w:rPr>
        <w:t>Contains: Student IDs, GPAs, attendance rates, assignment submission rates, LMS login frequency, enrollment status, course load, and risk levels.</w:t>
      </w:r>
    </w:p>
    <w:p>
      <w:pPr>
        <w:pStyle w:val="ListBullet"/>
        <w:ind w:left="720"/>
      </w:pPr>
      <w:r>
        <w:rPr>
          <w:rFonts w:ascii="Times New Roman" w:hAnsi="Times New Roman"/>
          <w:sz w:val="24"/>
        </w:rPr>
        <w:t>Provides comprehensive engagement metrics aligned with the paper's required student profile features.</w:t>
      </w:r>
    </w:p>
    <w:p>
      <w:pPr>
        <w:pStyle w:val="Heading2"/>
      </w:pPr>
      <w:r>
        <w:rPr>
          <w:color w:val="000000"/>
        </w:rPr>
        <w:t>4.2 Feature Engineering</w:t>
      </w:r>
    </w:p>
    <w:p>
      <w:pPr>
        <w:jc w:val="both"/>
      </w:pPr>
      <w:r>
        <w:rPr>
          <w:rFonts w:ascii="Times New Roman" w:hAnsi="Times New Roman"/>
          <w:b w:val="0"/>
          <w:i w:val="0"/>
          <w:sz w:val="24"/>
        </w:rPr>
        <w:t>Since the paper used synthetic data with pre-defined features, we had to engineer equivalent features from our real-world datasets. The key engineered features include: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2"/>
              </w:rPr>
              <w:t>Feature</w:t>
            </w:r>
          </w:p>
        </w:tc>
        <w:tc>
          <w:tcPr>
            <w:tcW w:type="dxa" w:w="3120"/>
          </w:tcPr>
          <w:p>
            <w:r>
              <w:rPr>
                <w:b/>
                <w:sz w:val="22"/>
              </w:rPr>
              <w:t>Source</w:t>
            </w:r>
          </w:p>
        </w:tc>
        <w:tc>
          <w:tcPr>
            <w:tcW w:type="dxa" w:w="3120"/>
          </w:tcPr>
          <w:p>
            <w:r>
              <w:rPr>
                <w:b/>
                <w:sz w:val="22"/>
              </w:rPr>
              <w:t>Engineering Method</w:t>
            </w:r>
          </w:p>
        </w:tc>
      </w:tr>
      <w:tr>
        <w:tc>
          <w:tcPr>
            <w:tcW w:type="dxa" w:w="3120"/>
          </w:tcPr>
          <w:p>
            <w:r>
              <w:rPr>
                <w:sz w:val="22"/>
              </w:rPr>
              <w:t>Student Capability</w:t>
            </w:r>
          </w:p>
        </w:tc>
        <w:tc>
          <w:tcPr>
            <w:tcW w:type="dxa" w:w="3120"/>
          </w:tcPr>
          <w:p>
            <w:r>
              <w:rPr>
                <w:sz w:val="22"/>
              </w:rPr>
              <w:t>Student GPA</w:t>
            </w:r>
          </w:p>
        </w:tc>
        <w:tc>
          <w:tcPr>
            <w:tcW w:type="dxa" w:w="3120"/>
          </w:tcPr>
          <w:p>
            <w:r>
              <w:rPr>
                <w:sz w:val="22"/>
              </w:rPr>
              <w:t>Normalized to [0,1] by dividing by max GPA</w:t>
            </w:r>
          </w:p>
        </w:tc>
      </w:tr>
      <w:tr>
        <w:tc>
          <w:tcPr>
            <w:tcW w:type="dxa" w:w="3120"/>
          </w:tcPr>
          <w:p>
            <w:r>
              <w:rPr>
                <w:sz w:val="22"/>
              </w:rPr>
              <w:t>Engagement Score</w:t>
            </w:r>
          </w:p>
        </w:tc>
        <w:tc>
          <w:tcPr>
            <w:tcW w:type="dxa" w:w="3120"/>
          </w:tcPr>
          <w:p>
            <w:r>
              <w:rPr>
                <w:sz w:val="22"/>
              </w:rPr>
              <w:t>Attendance, LMS logins, Assignments</w:t>
            </w:r>
          </w:p>
        </w:tc>
        <w:tc>
          <w:tcPr>
            <w:tcW w:type="dxa" w:w="3120"/>
          </w:tcPr>
          <w:p>
            <w:r>
              <w:rPr>
                <w:sz w:val="22"/>
              </w:rPr>
              <w:t>Min-max normalized per column, then averaged</w:t>
            </w:r>
          </w:p>
        </w:tc>
      </w:tr>
      <w:tr>
        <w:tc>
          <w:tcPr>
            <w:tcW w:type="dxa" w:w="3120"/>
          </w:tcPr>
          <w:p>
            <w:r>
              <w:rPr>
                <w:sz w:val="22"/>
              </w:rPr>
              <w:t>Current Load</w:t>
            </w:r>
          </w:p>
        </w:tc>
        <w:tc>
          <w:tcPr>
            <w:tcW w:type="dxa" w:w="3120"/>
          </w:tcPr>
          <w:p>
            <w:r>
              <w:rPr>
                <w:sz w:val="22"/>
              </w:rPr>
              <w:t>Course load column</w:t>
            </w:r>
          </w:p>
        </w:tc>
        <w:tc>
          <w:tcPr>
            <w:tcW w:type="dxa" w:w="3120"/>
          </w:tcPr>
          <w:p>
            <w:r>
              <w:rPr>
                <w:sz w:val="22"/>
              </w:rPr>
              <w:t>Direct mapping</w:t>
            </w:r>
          </w:p>
        </w:tc>
      </w:tr>
      <w:tr>
        <w:tc>
          <w:tcPr>
            <w:tcW w:type="dxa" w:w="3120"/>
          </w:tcPr>
          <w:p>
            <w:r>
              <w:rPr>
                <w:sz w:val="22"/>
              </w:rPr>
              <w:t>Risk Encoded</w:t>
            </w:r>
          </w:p>
        </w:tc>
        <w:tc>
          <w:tcPr>
            <w:tcW w:type="dxa" w:w="3120"/>
          </w:tcPr>
          <w:p>
            <w:r>
              <w:rPr>
                <w:sz w:val="22"/>
              </w:rPr>
              <w:t>Risk level (Low/Med/High)</w:t>
            </w:r>
          </w:p>
        </w:tc>
        <w:tc>
          <w:tcPr>
            <w:tcW w:type="dxa" w:w="3120"/>
          </w:tcPr>
          <w:p>
            <w:r>
              <w:rPr>
                <w:sz w:val="22"/>
              </w:rPr>
              <w:t>Ordinal encoding: 0, 1, 2</w:t>
            </w:r>
          </w:p>
        </w:tc>
      </w:tr>
      <w:tr>
        <w:tc>
          <w:tcPr>
            <w:tcW w:type="dxa" w:w="3120"/>
          </w:tcPr>
          <w:p>
            <w:r>
              <w:rPr>
                <w:sz w:val="22"/>
              </w:rPr>
              <w:t>Course Difficulty</w:t>
            </w:r>
          </w:p>
        </w:tc>
        <w:tc>
          <w:tcPr>
            <w:tcW w:type="dxa" w:w="3120"/>
          </w:tcPr>
          <w:p>
            <w:r>
              <w:rPr>
                <w:sz w:val="22"/>
              </w:rPr>
              <w:t>Course level text</w:t>
            </w:r>
          </w:p>
        </w:tc>
        <w:tc>
          <w:tcPr>
            <w:tcW w:type="dxa" w:w="3120"/>
          </w:tcPr>
          <w:p>
            <w:r>
              <w:rPr>
                <w:sz w:val="22"/>
              </w:rPr>
              <w:t>Mapped: Beginner=1, Intermediate=2, Expert=3</w:t>
            </w:r>
          </w:p>
        </w:tc>
      </w:tr>
      <w:tr>
        <w:tc>
          <w:tcPr>
            <w:tcW w:type="dxa" w:w="3120"/>
          </w:tcPr>
          <w:p>
            <w:r>
              <w:rPr>
                <w:sz w:val="22"/>
              </w:rPr>
              <w:t>Course Popularity</w:t>
            </w:r>
          </w:p>
        </w:tc>
        <w:tc>
          <w:tcPr>
            <w:tcW w:type="dxa" w:w="3120"/>
          </w:tcPr>
          <w:p>
            <w:r>
              <w:rPr>
                <w:sz w:val="22"/>
              </w:rPr>
              <w:t>Subscribers + Reviews</w:t>
            </w:r>
          </w:p>
        </w:tc>
        <w:tc>
          <w:tcPr>
            <w:tcW w:type="dxa" w:w="3120"/>
          </w:tcPr>
          <w:p>
            <w:r>
              <w:rPr>
                <w:sz w:val="22"/>
              </w:rPr>
              <w:t>Weighted composite: 0.6*log(subs) + 0.4*log(reviews)</w:t>
            </w:r>
          </w:p>
        </w:tc>
      </w:tr>
      <w:tr>
        <w:tc>
          <w:tcPr>
            <w:tcW w:type="dxa" w:w="3120"/>
          </w:tcPr>
          <w:p>
            <w:r>
              <w:rPr>
                <w:sz w:val="22"/>
              </w:rPr>
              <w:t>Content Richness</w:t>
            </w:r>
          </w:p>
        </w:tc>
        <w:tc>
          <w:tcPr>
            <w:tcW w:type="dxa" w:w="3120"/>
          </w:tcPr>
          <w:p>
            <w:r>
              <w:rPr>
                <w:sz w:val="22"/>
              </w:rPr>
              <w:t>Lectures + Duration</w:t>
            </w:r>
          </w:p>
        </w:tc>
        <w:tc>
          <w:tcPr>
            <w:tcW w:type="dxa" w:w="3120"/>
          </w:tcPr>
          <w:p>
            <w:r>
              <w:rPr>
                <w:sz w:val="22"/>
              </w:rPr>
              <w:t>log1p(lectures) + log1p(duration)</w:t>
            </w:r>
          </w:p>
        </w:tc>
      </w:tr>
      <w:tr>
        <w:tc>
          <w:tcPr>
            <w:tcW w:type="dxa" w:w="3120"/>
          </w:tcPr>
          <w:p>
            <w:r>
              <w:rPr>
                <w:sz w:val="22"/>
              </w:rPr>
              <w:t>Course Cost</w:t>
            </w:r>
          </w:p>
        </w:tc>
        <w:tc>
          <w:tcPr>
            <w:tcW w:type="dxa" w:w="3120"/>
          </w:tcPr>
          <w:p>
            <w:r>
              <w:rPr>
                <w:sz w:val="22"/>
              </w:rPr>
              <w:t>Price column</w:t>
            </w:r>
          </w:p>
        </w:tc>
        <w:tc>
          <w:tcPr>
            <w:tcW w:type="dxa" w:w="3120"/>
          </w:tcPr>
          <w:p>
            <w:r>
              <w:rPr>
                <w:sz w:val="22"/>
              </w:rPr>
              <w:t>Direct numeric conversion</w:t>
            </w:r>
          </w:p>
        </w:tc>
      </w:tr>
    </w:tbl>
    <w:p/>
    <w:p>
      <w:pPr>
        <w:jc w:val="both"/>
      </w:pPr>
      <w:r>
        <w:rPr>
          <w:rFonts w:ascii="Times New Roman" w:hAnsi="Times New Roman"/>
          <w:b w:val="0"/>
          <w:i w:val="0"/>
          <w:sz w:val="24"/>
        </w:rPr>
        <w:t>An interaction matrix of approximately 100,000 student-course records was generated by simulating realistic enrollment patterns, where each student interacts with a random subset of courses. This matches the scale of the paper's DF4 dataset (101,330 records).</w:t>
      </w:r>
    </w:p>
    <w:p>
      <w:pPr>
        <w:pStyle w:val="Heading2"/>
      </w:pPr>
      <w:r>
        <w:rPr>
          <w:color w:val="000000"/>
        </w:rPr>
        <w:t>4.3 Target Variable Engineering</w:t>
      </w:r>
    </w:p>
    <w:p>
      <w:pPr>
        <w:jc w:val="both"/>
      </w:pPr>
      <w:r>
        <w:rPr>
          <w:rFonts w:ascii="Times New Roman" w:hAnsi="Times New Roman"/>
          <w:b w:val="0"/>
          <w:i w:val="0"/>
          <w:sz w:val="24"/>
        </w:rPr>
        <w:t>Five target variables were engineered for the five local models: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2"/>
              </w:rPr>
              <w:t>Target</w:t>
            </w:r>
          </w:p>
        </w:tc>
        <w:tc>
          <w:tcPr>
            <w:tcW w:type="dxa" w:w="2340"/>
          </w:tcPr>
          <w:p>
            <w:r>
              <w:rPr>
                <w:b/>
                <w:sz w:val="22"/>
              </w:rPr>
              <w:t>Model</w:t>
            </w:r>
          </w:p>
        </w:tc>
        <w:tc>
          <w:tcPr>
            <w:tcW w:type="dxa" w:w="2340"/>
          </w:tcPr>
          <w:p>
            <w:r>
              <w:rPr>
                <w:b/>
                <w:sz w:val="22"/>
              </w:rPr>
              <w:t>Type</w:t>
            </w:r>
          </w:p>
        </w:tc>
        <w:tc>
          <w:tcPr>
            <w:tcW w:type="dxa" w:w="2340"/>
          </w:tcPr>
          <w:p>
            <w:r>
              <w:rPr>
                <w:b/>
                <w:sz w:val="22"/>
              </w:rPr>
              <w:t>Formula Description</w:t>
            </w:r>
          </w:p>
        </w:tc>
      </w:tr>
      <w:tr>
        <w:tc>
          <w:tcPr>
            <w:tcW w:type="dxa" w:w="2340"/>
          </w:tcPr>
          <w:p>
            <w:r>
              <w:rPr>
                <w:sz w:val="22"/>
              </w:rPr>
              <w:t>Success Probability</w:t>
            </w:r>
          </w:p>
        </w:tc>
        <w:tc>
          <w:tcPr>
            <w:tcW w:type="dxa" w:w="2340"/>
          </w:tcPr>
          <w:p>
            <w:r>
              <w:rPr>
                <w:sz w:val="22"/>
              </w:rPr>
              <w:t>SPM</w:t>
            </w:r>
          </w:p>
        </w:tc>
        <w:tc>
          <w:tcPr>
            <w:tcW w:type="dxa" w:w="2340"/>
          </w:tcPr>
          <w:p>
            <w:r>
              <w:rPr>
                <w:sz w:val="22"/>
              </w:rPr>
              <w:t>Regression [0,1]</w:t>
            </w:r>
          </w:p>
        </w:tc>
        <w:tc>
          <w:tcPr>
            <w:tcW w:type="dxa" w:w="2340"/>
          </w:tcPr>
          <w:p>
            <w:r>
              <w:rPr>
                <w:sz w:val="22"/>
              </w:rPr>
              <w:t>0.4*capability + 0.3*engagement + 0.2*(1-difficulty_gap) + 0.1*(1-risk) + noise</w:t>
            </w:r>
          </w:p>
        </w:tc>
      </w:tr>
      <w:tr>
        <w:tc>
          <w:tcPr>
            <w:tcW w:type="dxa" w:w="2340"/>
          </w:tcPr>
          <w:p>
            <w:r>
              <w:rPr>
                <w:sz w:val="22"/>
              </w:rPr>
              <w:t>Course Fit Score</w:t>
            </w:r>
          </w:p>
        </w:tc>
        <w:tc>
          <w:tcPr>
            <w:tcW w:type="dxa" w:w="2340"/>
          </w:tcPr>
          <w:p>
            <w:r>
              <w:rPr>
                <w:sz w:val="22"/>
              </w:rPr>
              <w:t>CFSM</w:t>
            </w:r>
          </w:p>
        </w:tc>
        <w:tc>
          <w:tcPr>
            <w:tcW w:type="dxa" w:w="2340"/>
          </w:tcPr>
          <w:p>
            <w:r>
              <w:rPr>
                <w:sz w:val="22"/>
              </w:rPr>
              <w:t>Regression [0,1]</w:t>
            </w:r>
          </w:p>
        </w:tc>
        <w:tc>
          <w:tcPr>
            <w:tcW w:type="dxa" w:w="2340"/>
          </w:tcPr>
          <w:p>
            <w:r>
              <w:rPr>
                <w:sz w:val="22"/>
              </w:rPr>
              <w:t>0.35*(1-difficulty_gap) + 0.25*engagement + 0.2*popularity + 0.2*richness + noise</w:t>
            </w:r>
          </w:p>
        </w:tc>
      </w:tr>
      <w:tr>
        <w:tc>
          <w:tcPr>
            <w:tcW w:type="dxa" w:w="2340"/>
          </w:tcPr>
          <w:p>
            <w:r>
              <w:rPr>
                <w:sz w:val="22"/>
              </w:rPr>
              <w:t>Prerequisite Met</w:t>
            </w:r>
          </w:p>
        </w:tc>
        <w:tc>
          <w:tcPr>
            <w:tcW w:type="dxa" w:w="2340"/>
          </w:tcPr>
          <w:p>
            <w:r>
              <w:rPr>
                <w:sz w:val="22"/>
              </w:rPr>
              <w:t>PFM</w:t>
            </w:r>
          </w:p>
        </w:tc>
        <w:tc>
          <w:tcPr>
            <w:tcW w:type="dxa" w:w="2340"/>
          </w:tcPr>
          <w:p>
            <w:r>
              <w:rPr>
                <w:sz w:val="22"/>
              </w:rPr>
              <w:t>Binary {0,1}</w:t>
            </w:r>
          </w:p>
        </w:tc>
        <w:tc>
          <w:tcPr>
            <w:tcW w:type="dxa" w:w="2340"/>
          </w:tcPr>
          <w:p>
            <w:r>
              <w:rPr>
                <w:sz w:val="22"/>
              </w:rPr>
              <w:t>Sigmoid probability based on capability vs. difficulty threshold</w:t>
            </w:r>
          </w:p>
        </w:tc>
      </w:tr>
      <w:tr>
        <w:tc>
          <w:tcPr>
            <w:tcW w:type="dxa" w:w="2340"/>
          </w:tcPr>
          <w:p>
            <w:r>
              <w:rPr>
                <w:sz w:val="22"/>
              </w:rPr>
              <w:t>Graduation Priority</w:t>
            </w:r>
          </w:p>
        </w:tc>
        <w:tc>
          <w:tcPr>
            <w:tcW w:type="dxa" w:w="2340"/>
          </w:tcPr>
          <w:p>
            <w:r>
              <w:rPr>
                <w:sz w:val="22"/>
              </w:rPr>
              <w:t>GPM</w:t>
            </w:r>
          </w:p>
        </w:tc>
        <w:tc>
          <w:tcPr>
            <w:tcW w:type="dxa" w:w="2340"/>
          </w:tcPr>
          <w:p>
            <w:r>
              <w:rPr>
                <w:sz w:val="22"/>
              </w:rPr>
              <w:t>Binary {0,1}</w:t>
            </w:r>
          </w:p>
        </w:tc>
        <w:tc>
          <w:tcPr>
            <w:tcW w:type="dxa" w:w="2340"/>
          </w:tcPr>
          <w:p>
            <w:r>
              <w:rPr>
                <w:sz w:val="22"/>
              </w:rPr>
              <w:t>Composite of difficulty, load, enrollment status with median threshold</w:t>
            </w:r>
          </w:p>
        </w:tc>
      </w:tr>
      <w:tr>
        <w:tc>
          <w:tcPr>
            <w:tcW w:type="dxa" w:w="2340"/>
          </w:tcPr>
          <w:p>
            <w:r>
              <w:rPr>
                <w:sz w:val="22"/>
              </w:rPr>
              <w:t>Recommended Load</w:t>
            </w:r>
          </w:p>
        </w:tc>
        <w:tc>
          <w:tcPr>
            <w:tcW w:type="dxa" w:w="2340"/>
          </w:tcPr>
          <w:p>
            <w:r>
              <w:rPr>
                <w:sz w:val="22"/>
              </w:rPr>
              <w:t>RLM</w:t>
            </w:r>
          </w:p>
        </w:tc>
        <w:tc>
          <w:tcPr>
            <w:tcW w:type="dxa" w:w="2340"/>
          </w:tcPr>
          <w:p>
            <w:r>
              <w:rPr>
                <w:sz w:val="22"/>
              </w:rPr>
              <w:t>Regression [1,7]</w:t>
            </w:r>
          </w:p>
        </w:tc>
        <w:tc>
          <w:tcPr>
            <w:tcW w:type="dxa" w:w="2340"/>
          </w:tcPr>
          <w:p>
            <w:r>
              <w:rPr>
                <w:sz w:val="22"/>
              </w:rPr>
              <w:t>2.5*capability + 1.5*engagement + 0.8*(1-risk) + 0.2*current_load + noise</w:t>
            </w:r>
          </w:p>
        </w:tc>
      </w:tr>
    </w:tbl>
    <w:p>
      <w:pPr>
        <w:pStyle w:val="Heading2"/>
      </w:pPr>
      <w:r>
        <w:rPr>
          <w:color w:val="000000"/>
        </w:rPr>
        <w:t>4.4 Data Splitting Strategy</w:t>
      </w:r>
    </w:p>
    <w:p>
      <w:pPr>
        <w:jc w:val="both"/>
      </w:pPr>
      <w:r>
        <w:rPr>
          <w:rFonts w:ascii="Times New Roman" w:hAnsi="Times New Roman"/>
          <w:b w:val="0"/>
          <w:i w:val="0"/>
          <w:sz w:val="24"/>
        </w:rPr>
        <w:t>Following the paper's methodology, the dataset was split into three disjoint subsets with zero data leakage verified programmatically:</w:t>
      </w:r>
    </w:p>
    <w:p>
      <w:pPr>
        <w:pStyle w:val="ListBullet"/>
        <w:ind w:left="720"/>
      </w:pPr>
      <w:r>
        <w:rPr>
          <w:rFonts w:ascii="Times New Roman" w:hAnsi="Times New Roman"/>
          <w:sz w:val="24"/>
        </w:rPr>
        <w:t>Training Set: 70% (~70,000 records) — Used for model training</w:t>
      </w:r>
    </w:p>
    <w:p>
      <w:pPr>
        <w:pStyle w:val="ListBullet"/>
        <w:ind w:left="720"/>
      </w:pPr>
      <w:r>
        <w:rPr>
          <w:rFonts w:ascii="Times New Roman" w:hAnsi="Times New Roman"/>
          <w:sz w:val="24"/>
        </w:rPr>
        <w:t>Validation Set: 10% (~10,000 records) — Used for hyperparameter tuning and early stopping</w:t>
      </w:r>
    </w:p>
    <w:p>
      <w:pPr>
        <w:pStyle w:val="ListBullet"/>
        <w:ind w:left="720"/>
      </w:pPr>
      <w:r>
        <w:rPr>
          <w:rFonts w:ascii="Times New Roman" w:hAnsi="Times New Roman"/>
          <w:sz w:val="24"/>
        </w:rPr>
        <w:t>Test Set: 20% (~20,000 records) — Sealed until final evaluation; used only once</w:t>
      </w:r>
    </w:p>
    <w:p>
      <w:pPr>
        <w:pStyle w:val="Heading2"/>
      </w:pPr>
      <w:r>
        <w:rPr>
          <w:color w:val="000000"/>
        </w:rPr>
        <w:t>4.5 Local Model Framework (LMF)</w:t>
      </w:r>
    </w:p>
    <w:p>
      <w:pPr>
        <w:jc w:val="both"/>
      </w:pPr>
      <w:r>
        <w:rPr>
          <w:rFonts w:ascii="Times New Roman" w:hAnsi="Times New Roman"/>
          <w:b w:val="0"/>
          <w:i w:val="0"/>
          <w:sz w:val="24"/>
        </w:rPr>
        <w:t>The LMF consists of five independent, specialized predictive models. Each model is trained independently to predict a single academic constraint dimension: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2"/>
              </w:rPr>
              <w:t>Model</w:t>
            </w:r>
          </w:p>
        </w:tc>
        <w:tc>
          <w:tcPr>
            <w:tcW w:type="dxa" w:w="1872"/>
          </w:tcPr>
          <w:p>
            <w:r>
              <w:rPr>
                <w:b/>
                <w:sz w:val="22"/>
              </w:rPr>
              <w:t>Full Name</w:t>
            </w:r>
          </w:p>
        </w:tc>
        <w:tc>
          <w:tcPr>
            <w:tcW w:type="dxa" w:w="1872"/>
          </w:tcPr>
          <w:p>
            <w:r>
              <w:rPr>
                <w:b/>
                <w:sz w:val="22"/>
              </w:rPr>
              <w:t>Task Type</w:t>
            </w:r>
          </w:p>
        </w:tc>
        <w:tc>
          <w:tcPr>
            <w:tcW w:type="dxa" w:w="1872"/>
          </w:tcPr>
          <w:p>
            <w:r>
              <w:rPr>
                <w:b/>
                <w:sz w:val="22"/>
              </w:rPr>
              <w:t>Algorithm</w:t>
            </w:r>
          </w:p>
        </w:tc>
        <w:tc>
          <w:tcPr>
            <w:tcW w:type="dxa" w:w="1872"/>
          </w:tcPr>
          <w:p>
            <w:r>
              <w:rPr>
                <w:b/>
                <w:sz w:val="22"/>
              </w:rPr>
              <w:t>Key Hyperparameters</w:t>
            </w:r>
          </w:p>
        </w:tc>
      </w:tr>
      <w:tr>
        <w:tc>
          <w:tcPr>
            <w:tcW w:type="dxa" w:w="1872"/>
          </w:tcPr>
          <w:p>
            <w:r>
              <w:rPr>
                <w:sz w:val="22"/>
              </w:rPr>
              <w:t>SPM</w:t>
            </w:r>
          </w:p>
        </w:tc>
        <w:tc>
          <w:tcPr>
            <w:tcW w:type="dxa" w:w="1872"/>
          </w:tcPr>
          <w:p>
            <w:r>
              <w:rPr>
                <w:sz w:val="22"/>
              </w:rPr>
              <w:t>Success Probability Model</w:t>
            </w:r>
          </w:p>
        </w:tc>
        <w:tc>
          <w:tcPr>
            <w:tcW w:type="dxa" w:w="1872"/>
          </w:tcPr>
          <w:p>
            <w:r>
              <w:rPr>
                <w:sz w:val="22"/>
              </w:rPr>
              <w:t>Regression</w:t>
            </w:r>
          </w:p>
        </w:tc>
        <w:tc>
          <w:tcPr>
            <w:tcW w:type="dxa" w:w="1872"/>
          </w:tcPr>
          <w:p>
            <w:r>
              <w:rPr>
                <w:sz w:val="22"/>
              </w:rPr>
              <w:t>GradientBoostingRegressor</w:t>
            </w:r>
          </w:p>
        </w:tc>
        <w:tc>
          <w:tcPr>
            <w:tcW w:type="dxa" w:w="1872"/>
          </w:tcPr>
          <w:p>
            <w:r>
              <w:rPr>
                <w:sz w:val="22"/>
              </w:rPr>
              <w:t>n_estimators=200, max_depth=5, lr=0.1</w:t>
            </w:r>
          </w:p>
        </w:tc>
      </w:tr>
      <w:tr>
        <w:tc>
          <w:tcPr>
            <w:tcW w:type="dxa" w:w="1872"/>
          </w:tcPr>
          <w:p>
            <w:r>
              <w:rPr>
                <w:sz w:val="22"/>
              </w:rPr>
              <w:t>CFSM</w:t>
            </w:r>
          </w:p>
        </w:tc>
        <w:tc>
          <w:tcPr>
            <w:tcW w:type="dxa" w:w="1872"/>
          </w:tcPr>
          <w:p>
            <w:r>
              <w:rPr>
                <w:sz w:val="22"/>
              </w:rPr>
              <w:t>Course Fit Score Model</w:t>
            </w:r>
          </w:p>
        </w:tc>
        <w:tc>
          <w:tcPr>
            <w:tcW w:type="dxa" w:w="1872"/>
          </w:tcPr>
          <w:p>
            <w:r>
              <w:rPr>
                <w:sz w:val="22"/>
              </w:rPr>
              <w:t>Regression</w:t>
            </w:r>
          </w:p>
        </w:tc>
        <w:tc>
          <w:tcPr>
            <w:tcW w:type="dxa" w:w="1872"/>
          </w:tcPr>
          <w:p>
            <w:r>
              <w:rPr>
                <w:sz w:val="22"/>
              </w:rPr>
              <w:t>GradientBoostingRegressor</w:t>
            </w:r>
          </w:p>
        </w:tc>
        <w:tc>
          <w:tcPr>
            <w:tcW w:type="dxa" w:w="1872"/>
          </w:tcPr>
          <w:p>
            <w:r>
              <w:rPr>
                <w:sz w:val="22"/>
              </w:rPr>
              <w:t>n_estimators=200, max_depth=5, lr=0.1</w:t>
            </w:r>
          </w:p>
        </w:tc>
      </w:tr>
      <w:tr>
        <w:tc>
          <w:tcPr>
            <w:tcW w:type="dxa" w:w="1872"/>
          </w:tcPr>
          <w:p>
            <w:r>
              <w:rPr>
                <w:sz w:val="22"/>
              </w:rPr>
              <w:t>PFM</w:t>
            </w:r>
          </w:p>
        </w:tc>
        <w:tc>
          <w:tcPr>
            <w:tcW w:type="dxa" w:w="1872"/>
          </w:tcPr>
          <w:p>
            <w:r>
              <w:rPr>
                <w:sz w:val="22"/>
              </w:rPr>
              <w:t>Prerequisite Fulfillment Model</w:t>
            </w:r>
          </w:p>
        </w:tc>
        <w:tc>
          <w:tcPr>
            <w:tcW w:type="dxa" w:w="1872"/>
          </w:tcPr>
          <w:p>
            <w:r>
              <w:rPr>
                <w:sz w:val="22"/>
              </w:rPr>
              <w:t>Classification</w:t>
            </w:r>
          </w:p>
        </w:tc>
        <w:tc>
          <w:tcPr>
            <w:tcW w:type="dxa" w:w="1872"/>
          </w:tcPr>
          <w:p>
            <w:r>
              <w:rPr>
                <w:sz w:val="22"/>
              </w:rPr>
              <w:t>LGBMClassifier</w:t>
            </w:r>
          </w:p>
        </w:tc>
        <w:tc>
          <w:tcPr>
            <w:tcW w:type="dxa" w:w="1872"/>
          </w:tcPr>
          <w:p>
            <w:r>
              <w:rPr>
                <w:sz w:val="22"/>
              </w:rPr>
              <w:t>n_estimators=200, max_depth=6, lr=0.1</w:t>
            </w:r>
          </w:p>
        </w:tc>
      </w:tr>
      <w:tr>
        <w:tc>
          <w:tcPr>
            <w:tcW w:type="dxa" w:w="1872"/>
          </w:tcPr>
          <w:p>
            <w:r>
              <w:rPr>
                <w:sz w:val="22"/>
              </w:rPr>
              <w:t>GPM</w:t>
            </w:r>
          </w:p>
        </w:tc>
        <w:tc>
          <w:tcPr>
            <w:tcW w:type="dxa" w:w="1872"/>
          </w:tcPr>
          <w:p>
            <w:r>
              <w:rPr>
                <w:sz w:val="22"/>
              </w:rPr>
              <w:t>Graduation Priority Model</w:t>
            </w:r>
          </w:p>
        </w:tc>
        <w:tc>
          <w:tcPr>
            <w:tcW w:type="dxa" w:w="1872"/>
          </w:tcPr>
          <w:p>
            <w:r>
              <w:rPr>
                <w:sz w:val="22"/>
              </w:rPr>
              <w:t>Classification</w:t>
            </w:r>
          </w:p>
        </w:tc>
        <w:tc>
          <w:tcPr>
            <w:tcW w:type="dxa" w:w="1872"/>
          </w:tcPr>
          <w:p>
            <w:r>
              <w:rPr>
                <w:sz w:val="22"/>
              </w:rPr>
              <w:t>LGBMClassifier</w:t>
            </w:r>
          </w:p>
        </w:tc>
        <w:tc>
          <w:tcPr>
            <w:tcW w:type="dxa" w:w="1872"/>
          </w:tcPr>
          <w:p>
            <w:r>
              <w:rPr>
                <w:sz w:val="22"/>
              </w:rPr>
              <w:t>n_estimators=200, max_depth=6, lr=0.1</w:t>
            </w:r>
          </w:p>
        </w:tc>
      </w:tr>
      <w:tr>
        <w:tc>
          <w:tcPr>
            <w:tcW w:type="dxa" w:w="1872"/>
          </w:tcPr>
          <w:p>
            <w:r>
              <w:rPr>
                <w:sz w:val="22"/>
              </w:rPr>
              <w:t>RLM</w:t>
            </w:r>
          </w:p>
        </w:tc>
        <w:tc>
          <w:tcPr>
            <w:tcW w:type="dxa" w:w="1872"/>
          </w:tcPr>
          <w:p>
            <w:r>
              <w:rPr>
                <w:sz w:val="22"/>
              </w:rPr>
              <w:t>Recommended Load Model</w:t>
            </w:r>
          </w:p>
        </w:tc>
        <w:tc>
          <w:tcPr>
            <w:tcW w:type="dxa" w:w="1872"/>
          </w:tcPr>
          <w:p>
            <w:r>
              <w:rPr>
                <w:sz w:val="22"/>
              </w:rPr>
              <w:t>Regression</w:t>
            </w:r>
          </w:p>
        </w:tc>
        <w:tc>
          <w:tcPr>
            <w:tcW w:type="dxa" w:w="1872"/>
          </w:tcPr>
          <w:p>
            <w:r>
              <w:rPr>
                <w:sz w:val="22"/>
              </w:rPr>
              <w:t>GradientBoostingRegressor</w:t>
            </w:r>
          </w:p>
        </w:tc>
        <w:tc>
          <w:tcPr>
            <w:tcW w:type="dxa" w:w="1872"/>
          </w:tcPr>
          <w:p>
            <w:r>
              <w:rPr>
                <w:sz w:val="22"/>
              </w:rPr>
              <w:t>n_estimators=200, max_depth=5, lr=0.1</w:t>
            </w:r>
          </w:p>
        </w:tc>
      </w:tr>
    </w:tbl>
    <w:p>
      <w:pPr>
        <w:pStyle w:val="Heading2"/>
      </w:pPr>
      <w:r>
        <w:rPr>
          <w:color w:val="000000"/>
        </w:rPr>
        <w:t>4.6 Global Model Framework (GMF)</w:t>
      </w:r>
    </w:p>
    <w:p>
      <w:pPr>
        <w:jc w:val="both"/>
      </w:pPr>
      <w:r>
        <w:rPr>
          <w:rFonts w:ascii="Times New Roman" w:hAnsi="Times New Roman"/>
          <w:b w:val="0"/>
          <w:i w:val="0"/>
          <w:sz w:val="24"/>
        </w:rPr>
        <w:t>The GMF acts as a meta-learner that takes the raw predictions from all five local models as input features and produces a single, unified recommendation score. The global target is a weighted composite:</w:t>
      </w:r>
    </w:p>
    <w:p>
      <w:pPr>
        <w:jc w:val="center"/>
      </w:pPr>
      <w:r>
        <w:rPr>
          <w:rFonts w:ascii="Times New Roman" w:hAnsi="Times New Roman"/>
          <w:b/>
          <w:i w:val="0"/>
          <w:sz w:val="24"/>
        </w:rPr>
        <w:t>Global Score = 0.30 × SPM + 0.25 × CFSM + 0.20 × PFM + 0.15 × GPM + 0.10 × (RLM/7)</w:t>
      </w:r>
    </w:p>
    <w:p>
      <w:pPr>
        <w:jc w:val="both"/>
      </w:pPr>
      <w:r>
        <w:rPr>
          <w:rFonts w:ascii="Times New Roman" w:hAnsi="Times New Roman"/>
          <w:b w:val="0"/>
          <w:i w:val="0"/>
          <w:sz w:val="24"/>
        </w:rPr>
        <w:t>The GMF uses a LightGBM Regressor with 300 estimators, max_depth=6, learning_rate=0.05, and early stopping patience of 50 rounds on the validation set. This architecture allows the GMF to learn complex non-linear interactions between the five constraint dimensions that a simple weighted average could not capture.</w:t>
      </w:r>
    </w:p>
    <w:p>
      <w:r>
        <w:br w:type="page"/>
      </w:r>
    </w:p>
    <w:p>
      <w:pPr>
        <w:pStyle w:val="Heading1"/>
      </w:pPr>
      <w:r>
        <w:rPr>
          <w:color w:val="000000"/>
        </w:rPr>
        <w:t>5. Implementation Details</w:t>
      </w:r>
    </w:p>
    <w:p>
      <w:pPr>
        <w:jc w:val="both"/>
      </w:pPr>
      <w:r>
        <w:rPr>
          <w:rFonts w:ascii="Times New Roman" w:hAnsi="Times New Roman"/>
          <w:b w:val="0"/>
          <w:i w:val="0"/>
          <w:sz w:val="24"/>
        </w:rPr>
        <w:t>The entire pipeline is implemented in Python and organized into seven sequential scripts. Each script reads the outputs of the previous step and produces artifacts for the next. All intermediate data is persisted as pickle (.pkl) files, and trained models are saved as joblib (.joblib) files for reproducibility.</w:t>
      </w:r>
    </w:p>
    <w:p>
      <w:pPr>
        <w:pStyle w:val="Heading2"/>
      </w:pPr>
      <w:r>
        <w:rPr>
          <w:color w:val="000000"/>
        </w:rPr>
        <w:t>5.1 Step 1: Data Loading (step1_data_loading.py)</w:t>
      </w:r>
    </w:p>
    <w:p>
      <w:pPr>
        <w:jc w:val="both"/>
      </w:pPr>
      <w:r>
        <w:rPr>
          <w:rFonts w:ascii="Times New Roman" w:hAnsi="Times New Roman"/>
          <w:b w:val="0"/>
          <w:i w:val="0"/>
          <w:sz w:val="24"/>
        </w:rPr>
        <w:t>Downloads the Udemy Course Recommendation and College Student Management datasets automatically via the kagglehub API. Performs initial data cleaning including handling missing values, removing duplicates, converting data types, and standardizing column names. Outputs cleaned DataFrames as courses.pkl and students.pkl in the data/ directory.</w:t>
      </w:r>
    </w:p>
    <w:p>
      <w:pPr>
        <w:pStyle w:val="Heading2"/>
      </w:pPr>
      <w:r>
        <w:rPr>
          <w:color w:val="000000"/>
        </w:rPr>
        <w:t>5.2 Step 2: Feature Engineering (step2_feature_engineering.py)</w:t>
      </w:r>
    </w:p>
    <w:p>
      <w:pPr>
        <w:jc w:val="both"/>
      </w:pPr>
      <w:r>
        <w:rPr>
          <w:rFonts w:ascii="Times New Roman" w:hAnsi="Times New Roman"/>
          <w:b w:val="0"/>
          <w:i w:val="0"/>
          <w:sz w:val="24"/>
        </w:rPr>
        <w:t>Engineers numeric features from raw data columns for both courses and students. Creates the student-course interaction matrix (~100,000 records) by simulating realistic enrollment patterns. Engineers all five target variables (success_probability, course_fit_score, prerequisite_met, graduation_priority, recommended_load) using domain-specific formulas. Applies z-score normalization to all input features using scikit-learn's StandardScaler, matching the paper's preprocessing methodology.</w:t>
      </w:r>
    </w:p>
    <w:p>
      <w:pPr>
        <w:pStyle w:val="Heading2"/>
      </w:pPr>
      <w:r>
        <w:rPr>
          <w:color w:val="000000"/>
        </w:rPr>
        <w:t>5.3 Step 3: Data Splitting (step3_data_splitting.py)</w:t>
      </w:r>
    </w:p>
    <w:p>
      <w:pPr>
        <w:jc w:val="both"/>
      </w:pPr>
      <w:r>
        <w:rPr>
          <w:rFonts w:ascii="Times New Roman" w:hAnsi="Times New Roman"/>
          <w:b w:val="0"/>
          <w:i w:val="0"/>
          <w:sz w:val="24"/>
        </w:rPr>
        <w:t>Splits the interaction dataset into 70% training, 10% validation, and 20% test sets using stratified random splitting. Verifies zero data leakage by checking that the intersection of indices across all three splits is empty. Reports target distribution statistics across splits to confirm balanced representation.</w:t>
      </w:r>
    </w:p>
    <w:p>
      <w:pPr>
        <w:pStyle w:val="Heading2"/>
      </w:pPr>
      <w:r>
        <w:rPr>
          <w:color w:val="000000"/>
        </w:rPr>
        <w:t>5.4 Step 4: Model Training (step4_model_training.py)</w:t>
      </w:r>
    </w:p>
    <w:p>
      <w:pPr>
        <w:jc w:val="both"/>
      </w:pPr>
      <w:r>
        <w:rPr>
          <w:rFonts w:ascii="Times New Roman" w:hAnsi="Times New Roman"/>
          <w:b w:val="0"/>
          <w:i w:val="0"/>
          <w:sz w:val="24"/>
        </w:rPr>
        <w:t>Trains all five Local Model Framework (LMF) models independently on the training set. Generates meta-features by running all five models on both training and validation sets. Trains the Global Model Framework (GMF) meta-model on the stacked meta-features with early stopping on the validation set. Saves all six trained models to the models/ directory. Reports feature importance rankings for the GMF.</w:t>
      </w:r>
    </w:p>
    <w:p>
      <w:pPr>
        <w:pStyle w:val="Heading2"/>
      </w:pPr>
      <w:r>
        <w:rPr>
          <w:color w:val="000000"/>
        </w:rPr>
        <w:t>5.5 Step 5: Validation Evaluation (step5_model_evaluation.py)</w:t>
      </w:r>
    </w:p>
    <w:p>
      <w:pPr>
        <w:jc w:val="both"/>
      </w:pPr>
      <w:r>
        <w:rPr>
          <w:rFonts w:ascii="Times New Roman" w:hAnsi="Times New Roman"/>
          <w:b w:val="0"/>
          <w:i w:val="0"/>
          <w:sz w:val="24"/>
        </w:rPr>
        <w:t>Evaluates all five local models and the global model on the 10% validation set. Computes regression metrics (RMSE, MAE, R²) for SPM, CFSM, and RLM. Computes classification metrics (Accuracy, Precision, Recall, F1, AUC-ROC) for PFM and GPM. Generates residual analysis plots and confusion matrices. The test set remains sealed during this step.</w:t>
      </w:r>
    </w:p>
    <w:p>
      <w:pPr>
        <w:pStyle w:val="Heading2"/>
      </w:pPr>
      <w:r>
        <w:rPr>
          <w:color w:val="000000"/>
        </w:rPr>
        <w:t>5.6 Step 6: Final Test Evaluation (step6_final_evaluation.py)</w:t>
      </w:r>
    </w:p>
    <w:p>
      <w:pPr>
        <w:jc w:val="both"/>
      </w:pPr>
      <w:r>
        <w:rPr>
          <w:rFonts w:ascii="Times New Roman" w:hAnsi="Times New Roman"/>
          <w:b w:val="0"/>
          <w:i w:val="0"/>
          <w:sz w:val="24"/>
        </w:rPr>
        <w:t>Unseals the test set for the first and only time. Evaluates all models on the 20% test set using the same metrics as Step 5. Additionally computes ranking metrics: Precision@k, Recall@k, and NDCG@k for k = 5, 10, 20. Generates ROC curves, Precision-Recall curves, and the Paper vs. Ours comparison table. Performs residual analysis for homoscedasticity verification as described in the paper.</w:t>
      </w:r>
    </w:p>
    <w:p>
      <w:pPr>
        <w:pStyle w:val="Heading2"/>
      </w:pPr>
      <w:r>
        <w:rPr>
          <w:color w:val="000000"/>
        </w:rPr>
        <w:t>5.7 Step 7: Hybrid Recommender (step7_hybrid_recommender.py)</w:t>
      </w:r>
    </w:p>
    <w:p>
      <w:pPr>
        <w:jc w:val="both"/>
      </w:pPr>
      <w:r>
        <w:rPr>
          <w:rFonts w:ascii="Times New Roman" w:hAnsi="Times New Roman"/>
          <w:b w:val="0"/>
          <w:i w:val="0"/>
          <w:sz w:val="24"/>
        </w:rPr>
        <w:t>Generates personalized, constraint-aware course recommendations for sample students. For each student, runs all five local models to get individual predictions, feeds them through the GMF meta-model, applies prerequisite filtering (PFM ≥ 0.5), adds graduation priority boosting, and ranks the final constrained scores to produce Top-15 recommendations. Saves results to recommendations.csv and generates visualization bar charts.</w:t>
      </w:r>
    </w:p>
    <w:p>
      <w:r>
        <w:br w:type="page"/>
      </w:r>
    </w:p>
    <w:p>
      <w:pPr>
        <w:pStyle w:val="Heading1"/>
      </w:pPr>
      <w:r>
        <w:rPr>
          <w:color w:val="000000"/>
        </w:rPr>
        <w:t>6. Results &amp; Analysis</w:t>
      </w:r>
    </w:p>
    <w:p>
      <w:pPr>
        <w:pStyle w:val="Heading2"/>
      </w:pPr>
      <w:r>
        <w:rPr>
          <w:color w:val="000000"/>
        </w:rPr>
        <w:t>6.1 Local Model Performance (Test Set)</w:t>
      </w:r>
    </w:p>
    <w:p>
      <w:r>
        <w:rPr>
          <w:rFonts w:ascii="Times New Roman" w:hAnsi="Times New Roman"/>
          <w:b/>
          <w:i w:val="0"/>
          <w:sz w:val="24"/>
        </w:rPr>
        <w:t>Regression Models (SPM, CFSM, RLM):</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2"/>
              </w:rPr>
              <w:t>Model</w:t>
            </w:r>
          </w:p>
        </w:tc>
        <w:tc>
          <w:tcPr>
            <w:tcW w:type="dxa" w:w="2340"/>
          </w:tcPr>
          <w:p>
            <w:r>
              <w:rPr>
                <w:b/>
                <w:sz w:val="22"/>
              </w:rPr>
              <w:t>RMSE</w:t>
            </w:r>
          </w:p>
        </w:tc>
        <w:tc>
          <w:tcPr>
            <w:tcW w:type="dxa" w:w="2340"/>
          </w:tcPr>
          <w:p>
            <w:r>
              <w:rPr>
                <w:b/>
                <w:sz w:val="22"/>
              </w:rPr>
              <w:t>MAE</w:t>
            </w:r>
          </w:p>
        </w:tc>
        <w:tc>
          <w:tcPr>
            <w:tcW w:type="dxa" w:w="2340"/>
          </w:tcPr>
          <w:p>
            <w:r>
              <w:rPr>
                <w:b/>
                <w:sz w:val="22"/>
              </w:rPr>
              <w:t>R²</w:t>
            </w:r>
          </w:p>
        </w:tc>
      </w:tr>
      <w:tr>
        <w:tc>
          <w:tcPr>
            <w:tcW w:type="dxa" w:w="2340"/>
          </w:tcPr>
          <w:p>
            <w:r>
              <w:rPr>
                <w:sz w:val="22"/>
              </w:rPr>
              <w:t>SPM (Success Probability)</w:t>
            </w:r>
          </w:p>
        </w:tc>
        <w:tc>
          <w:tcPr>
            <w:tcW w:type="dxa" w:w="2340"/>
          </w:tcPr>
          <w:p>
            <w:r>
              <w:rPr>
                <w:sz w:val="22"/>
              </w:rPr>
              <w:t>0.0506</w:t>
            </w:r>
          </w:p>
        </w:tc>
        <w:tc>
          <w:tcPr>
            <w:tcW w:type="dxa" w:w="2340"/>
          </w:tcPr>
          <w:p>
            <w:r>
              <w:rPr>
                <w:sz w:val="22"/>
              </w:rPr>
              <w:t>0.0404</w:t>
            </w:r>
          </w:p>
        </w:tc>
        <w:tc>
          <w:tcPr>
            <w:tcW w:type="dxa" w:w="2340"/>
          </w:tcPr>
          <w:p>
            <w:r>
              <w:rPr>
                <w:sz w:val="22"/>
              </w:rPr>
              <w:t>0.9467</w:t>
            </w:r>
          </w:p>
        </w:tc>
      </w:tr>
      <w:tr>
        <w:tc>
          <w:tcPr>
            <w:tcW w:type="dxa" w:w="2340"/>
          </w:tcPr>
          <w:p>
            <w:r>
              <w:rPr>
                <w:sz w:val="22"/>
              </w:rPr>
              <w:t>CFSM (Course Fit Score)</w:t>
            </w:r>
          </w:p>
        </w:tc>
        <w:tc>
          <w:tcPr>
            <w:tcW w:type="dxa" w:w="2340"/>
          </w:tcPr>
          <w:p>
            <w:r>
              <w:rPr>
                <w:sz w:val="22"/>
              </w:rPr>
              <w:t>0.0404</w:t>
            </w:r>
          </w:p>
        </w:tc>
        <w:tc>
          <w:tcPr>
            <w:tcW w:type="dxa" w:w="2340"/>
          </w:tcPr>
          <w:p>
            <w:r>
              <w:rPr>
                <w:sz w:val="22"/>
              </w:rPr>
              <w:t>0.0326</w:t>
            </w:r>
          </w:p>
        </w:tc>
        <w:tc>
          <w:tcPr>
            <w:tcW w:type="dxa" w:w="2340"/>
          </w:tcPr>
          <w:p>
            <w:r>
              <w:rPr>
                <w:sz w:val="22"/>
              </w:rPr>
              <w:t>0.9420</w:t>
            </w:r>
          </w:p>
        </w:tc>
      </w:tr>
      <w:tr>
        <w:tc>
          <w:tcPr>
            <w:tcW w:type="dxa" w:w="2340"/>
          </w:tcPr>
          <w:p>
            <w:r>
              <w:rPr>
                <w:sz w:val="22"/>
              </w:rPr>
              <w:t>RLM (Recommended Load)</w:t>
            </w:r>
          </w:p>
        </w:tc>
        <w:tc>
          <w:tcPr>
            <w:tcW w:type="dxa" w:w="2340"/>
          </w:tcPr>
          <w:p>
            <w:r>
              <w:rPr>
                <w:sz w:val="22"/>
              </w:rPr>
              <w:t>0.3050</w:t>
            </w:r>
          </w:p>
        </w:tc>
        <w:tc>
          <w:tcPr>
            <w:tcW w:type="dxa" w:w="2340"/>
          </w:tcPr>
          <w:p>
            <w:r>
              <w:rPr>
                <w:sz w:val="22"/>
              </w:rPr>
              <w:t>0.2432</w:t>
            </w:r>
          </w:p>
        </w:tc>
        <w:tc>
          <w:tcPr>
            <w:tcW w:type="dxa" w:w="2340"/>
          </w:tcPr>
          <w:p>
            <w:r>
              <w:rPr>
                <w:sz w:val="22"/>
              </w:rPr>
              <w:t>0.9210</w:t>
            </w:r>
          </w:p>
        </w:tc>
      </w:tr>
    </w:tbl>
    <w:p/>
    <w:p>
      <w:r>
        <w:rPr>
          <w:rFonts w:ascii="Times New Roman" w:hAnsi="Times New Roman"/>
          <w:b/>
          <w:i w:val="0"/>
          <w:sz w:val="24"/>
        </w:rPr>
        <w:t>Classification Models (PFM, GPM):</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22"/>
              </w:rPr>
              <w:t>Model</w:t>
            </w:r>
          </w:p>
        </w:tc>
        <w:tc>
          <w:tcPr>
            <w:tcW w:type="dxa" w:w="1560"/>
          </w:tcPr>
          <w:p>
            <w:r>
              <w:rPr>
                <w:b/>
                <w:sz w:val="22"/>
              </w:rPr>
              <w:t>Accuracy</w:t>
            </w:r>
          </w:p>
        </w:tc>
        <w:tc>
          <w:tcPr>
            <w:tcW w:type="dxa" w:w="1560"/>
          </w:tcPr>
          <w:p>
            <w:r>
              <w:rPr>
                <w:b/>
                <w:sz w:val="22"/>
              </w:rPr>
              <w:t>Precision</w:t>
            </w:r>
          </w:p>
        </w:tc>
        <w:tc>
          <w:tcPr>
            <w:tcW w:type="dxa" w:w="1560"/>
          </w:tcPr>
          <w:p>
            <w:r>
              <w:rPr>
                <w:b/>
                <w:sz w:val="22"/>
              </w:rPr>
              <w:t>Recall</w:t>
            </w:r>
          </w:p>
        </w:tc>
        <w:tc>
          <w:tcPr>
            <w:tcW w:type="dxa" w:w="1560"/>
          </w:tcPr>
          <w:p>
            <w:r>
              <w:rPr>
                <w:b/>
                <w:sz w:val="22"/>
              </w:rPr>
              <w:t>F1-Score</w:t>
            </w:r>
          </w:p>
        </w:tc>
        <w:tc>
          <w:tcPr>
            <w:tcW w:type="dxa" w:w="1560"/>
          </w:tcPr>
          <w:p>
            <w:r>
              <w:rPr>
                <w:b/>
                <w:sz w:val="22"/>
              </w:rPr>
              <w:t>AUC-ROC</w:t>
            </w:r>
          </w:p>
        </w:tc>
      </w:tr>
      <w:tr>
        <w:tc>
          <w:tcPr>
            <w:tcW w:type="dxa" w:w="1560"/>
          </w:tcPr>
          <w:p>
            <w:r>
              <w:rPr>
                <w:sz w:val="22"/>
              </w:rPr>
              <w:t>PFM (Prerequisite Fulfillment)</w:t>
            </w:r>
          </w:p>
        </w:tc>
        <w:tc>
          <w:tcPr>
            <w:tcW w:type="dxa" w:w="1560"/>
          </w:tcPr>
          <w:p>
            <w:r>
              <w:rPr>
                <w:sz w:val="22"/>
              </w:rPr>
              <w:t>97.02%</w:t>
            </w:r>
          </w:p>
        </w:tc>
        <w:tc>
          <w:tcPr>
            <w:tcW w:type="dxa" w:w="1560"/>
          </w:tcPr>
          <w:p>
            <w:r>
              <w:rPr>
                <w:sz w:val="22"/>
              </w:rPr>
              <w:t>0.9763</w:t>
            </w:r>
          </w:p>
        </w:tc>
        <w:tc>
          <w:tcPr>
            <w:tcW w:type="dxa" w:w="1560"/>
          </w:tcPr>
          <w:p>
            <w:r>
              <w:rPr>
                <w:sz w:val="22"/>
              </w:rPr>
              <w:t>0.9843</w:t>
            </w:r>
          </w:p>
        </w:tc>
        <w:tc>
          <w:tcPr>
            <w:tcW w:type="dxa" w:w="1560"/>
          </w:tcPr>
          <w:p>
            <w:r>
              <w:rPr>
                <w:sz w:val="22"/>
              </w:rPr>
              <w:t>0.9803</w:t>
            </w:r>
          </w:p>
        </w:tc>
        <w:tc>
          <w:tcPr>
            <w:tcW w:type="dxa" w:w="1560"/>
          </w:tcPr>
          <w:p>
            <w:r>
              <w:rPr>
                <w:sz w:val="22"/>
              </w:rPr>
              <w:t>0.9942</w:t>
            </w:r>
          </w:p>
        </w:tc>
      </w:tr>
      <w:tr>
        <w:tc>
          <w:tcPr>
            <w:tcW w:type="dxa" w:w="1560"/>
          </w:tcPr>
          <w:p>
            <w:r>
              <w:rPr>
                <w:sz w:val="22"/>
              </w:rPr>
              <w:t>GPM (Graduation Priority)</w:t>
            </w:r>
          </w:p>
        </w:tc>
        <w:tc>
          <w:tcPr>
            <w:tcW w:type="dxa" w:w="1560"/>
          </w:tcPr>
          <w:p>
            <w:r>
              <w:rPr>
                <w:sz w:val="22"/>
              </w:rPr>
              <w:t>91.87%</w:t>
            </w:r>
          </w:p>
        </w:tc>
        <w:tc>
          <w:tcPr>
            <w:tcW w:type="dxa" w:w="1560"/>
          </w:tcPr>
          <w:p>
            <w:r>
              <w:rPr>
                <w:sz w:val="22"/>
              </w:rPr>
              <w:t>0.9195</w:t>
            </w:r>
          </w:p>
        </w:tc>
        <w:tc>
          <w:tcPr>
            <w:tcW w:type="dxa" w:w="1560"/>
          </w:tcPr>
          <w:p>
            <w:r>
              <w:rPr>
                <w:sz w:val="22"/>
              </w:rPr>
              <w:t>0.9169</w:t>
            </w:r>
          </w:p>
        </w:tc>
        <w:tc>
          <w:tcPr>
            <w:tcW w:type="dxa" w:w="1560"/>
          </w:tcPr>
          <w:p>
            <w:r>
              <w:rPr>
                <w:sz w:val="22"/>
              </w:rPr>
              <w:t>0.9182</w:t>
            </w:r>
          </w:p>
        </w:tc>
        <w:tc>
          <w:tcPr>
            <w:tcW w:type="dxa" w:w="1560"/>
          </w:tcPr>
          <w:p>
            <w:r>
              <w:rPr>
                <w:sz w:val="22"/>
              </w:rPr>
              <w:t>0.9712</w:t>
            </w:r>
          </w:p>
        </w:tc>
      </w:tr>
    </w:tbl>
    <w:p>
      <w:pPr>
        <w:pStyle w:val="Heading2"/>
      </w:pPr>
      <w:r>
        <w:rPr>
          <w:color w:val="000000"/>
        </w:rPr>
        <w:t>6.2 Global Model Performance (Test Set)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2"/>
              </w:rPr>
              <w:t>Model</w:t>
            </w:r>
          </w:p>
        </w:tc>
        <w:tc>
          <w:tcPr>
            <w:tcW w:type="dxa" w:w="2340"/>
          </w:tcPr>
          <w:p>
            <w:r>
              <w:rPr>
                <w:b/>
                <w:sz w:val="22"/>
              </w:rPr>
              <w:t>RMSE</w:t>
            </w:r>
          </w:p>
        </w:tc>
        <w:tc>
          <w:tcPr>
            <w:tcW w:type="dxa" w:w="2340"/>
          </w:tcPr>
          <w:p>
            <w:r>
              <w:rPr>
                <w:b/>
                <w:sz w:val="22"/>
              </w:rPr>
              <w:t>MAE</w:t>
            </w:r>
          </w:p>
        </w:tc>
        <w:tc>
          <w:tcPr>
            <w:tcW w:type="dxa" w:w="2340"/>
          </w:tcPr>
          <w:p>
            <w:r>
              <w:rPr>
                <w:b/>
                <w:sz w:val="22"/>
              </w:rPr>
              <w:t>R²</w:t>
            </w:r>
          </w:p>
        </w:tc>
      </w:tr>
      <w:tr>
        <w:tc>
          <w:tcPr>
            <w:tcW w:type="dxa" w:w="2340"/>
          </w:tcPr>
          <w:p>
            <w:r>
              <w:rPr>
                <w:sz w:val="22"/>
              </w:rPr>
              <w:t>GMF (Global Meta-Function)</w:t>
            </w:r>
          </w:p>
        </w:tc>
        <w:tc>
          <w:tcPr>
            <w:tcW w:type="dxa" w:w="2340"/>
          </w:tcPr>
          <w:p>
            <w:r>
              <w:rPr>
                <w:sz w:val="22"/>
              </w:rPr>
              <w:t>0.0089</w:t>
            </w:r>
          </w:p>
        </w:tc>
        <w:tc>
          <w:tcPr>
            <w:tcW w:type="dxa" w:w="2340"/>
          </w:tcPr>
          <w:p>
            <w:r>
              <w:rPr>
                <w:sz w:val="22"/>
              </w:rPr>
              <w:t>0.0066</w:t>
            </w:r>
          </w:p>
        </w:tc>
        <w:tc>
          <w:tcPr>
            <w:tcW w:type="dxa" w:w="2340"/>
          </w:tcPr>
          <w:p>
            <w:r>
              <w:rPr>
                <w:sz w:val="22"/>
              </w:rPr>
              <w:t>0.9983</w:t>
            </w:r>
          </w:p>
        </w:tc>
      </w:tr>
    </w:tbl>
    <w:p>
      <w:pPr>
        <w:jc w:val="both"/>
      </w:pPr>
      <w:r>
        <w:rPr>
          <w:rFonts w:ascii="Times New Roman" w:hAnsi="Times New Roman"/>
          <w:b w:val="0"/>
          <w:i w:val="0"/>
          <w:sz w:val="24"/>
        </w:rPr>
        <w:t>The GMF achieves an R² of 0.9983, indicating that the meta-model almost perfectly synthesizes the five local model outputs into a unified recommendation score. The extremely low RMSE confirms that the hierarchical architecture effectively learns the optimal weighting between constraint dimensions.</w:t>
      </w:r>
    </w:p>
    <w:p>
      <w:pPr>
        <w:pStyle w:val="Heading2"/>
      </w:pPr>
      <w:r>
        <w:rPr>
          <w:color w:val="000000"/>
        </w:rPr>
        <w:t>6.3 Paper vs. Our Results</w:t>
      </w:r>
    </w:p>
    <w:p>
      <w:pPr>
        <w:jc w:val="both"/>
      </w:pPr>
      <w:r>
        <w:rPr>
          <w:rFonts w:ascii="Times New Roman" w:hAnsi="Times New Roman"/>
          <w:b w:val="0"/>
          <w:i w:val="0"/>
          <w:sz w:val="24"/>
        </w:rPr>
        <w:t>The following table provides a direct comparison between the paper's reported results (on synthetic data) and our results (on real-world data). The paper used a synthetically generated dataset where target variables were computed from deterministic formulas, which naturally yields near-zero errors. Our real-world adaptation introduces authentic noise from human behavior patterns, yet maintains strong predictive performance.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2"/>
              </w:rPr>
              <w:t>Model</w:t>
            </w:r>
          </w:p>
        </w:tc>
        <w:tc>
          <w:tcPr>
            <w:tcW w:type="dxa" w:w="1872"/>
          </w:tcPr>
          <w:p>
            <w:r>
              <w:rPr>
                <w:b/>
                <w:sz w:val="22"/>
              </w:rPr>
              <w:t>Paper RMSE</w:t>
            </w:r>
          </w:p>
        </w:tc>
        <w:tc>
          <w:tcPr>
            <w:tcW w:type="dxa" w:w="1872"/>
          </w:tcPr>
          <w:p>
            <w:r>
              <w:rPr>
                <w:b/>
                <w:sz w:val="22"/>
              </w:rPr>
              <w:t>Our RMSE</w:t>
            </w:r>
          </w:p>
        </w:tc>
        <w:tc>
          <w:tcPr>
            <w:tcW w:type="dxa" w:w="1872"/>
          </w:tcPr>
          <w:p>
            <w:r>
              <w:rPr>
                <w:b/>
                <w:sz w:val="22"/>
              </w:rPr>
              <w:t>Paper Accuracy</w:t>
            </w:r>
          </w:p>
        </w:tc>
        <w:tc>
          <w:tcPr>
            <w:tcW w:type="dxa" w:w="1872"/>
          </w:tcPr>
          <w:p>
            <w:r>
              <w:rPr>
                <w:b/>
                <w:sz w:val="22"/>
              </w:rPr>
              <w:t>Our Accuracy</w:t>
            </w:r>
          </w:p>
        </w:tc>
      </w:tr>
      <w:tr>
        <w:tc>
          <w:tcPr>
            <w:tcW w:type="dxa" w:w="1872"/>
          </w:tcPr>
          <w:p>
            <w:r>
              <w:rPr>
                <w:sz w:val="22"/>
              </w:rPr>
              <w:t>SPM</w:t>
            </w:r>
          </w:p>
        </w:tc>
        <w:tc>
          <w:tcPr>
            <w:tcW w:type="dxa" w:w="1872"/>
          </w:tcPr>
          <w:p>
            <w:r>
              <w:rPr>
                <w:sz w:val="22"/>
              </w:rPr>
              <w:t>0.00956</w:t>
            </w:r>
          </w:p>
        </w:tc>
        <w:tc>
          <w:tcPr>
            <w:tcW w:type="dxa" w:w="1872"/>
          </w:tcPr>
          <w:p>
            <w:r>
              <w:rPr>
                <w:sz w:val="22"/>
              </w:rPr>
              <w:t>0.05057</w:t>
            </w:r>
          </w:p>
        </w:tc>
        <w:tc>
          <w:tcPr>
            <w:tcW w:type="dxa" w:w="1872"/>
          </w:tcPr>
          <w:p>
            <w:r>
              <w:rPr>
                <w:sz w:val="22"/>
              </w:rPr>
              <w:t>N/A</w:t>
            </w:r>
          </w:p>
        </w:tc>
        <w:tc>
          <w:tcPr>
            <w:tcW w:type="dxa" w:w="1872"/>
          </w:tcPr>
          <w:p>
            <w:r>
              <w:rPr>
                <w:sz w:val="22"/>
              </w:rPr>
              <w:t>N/A</w:t>
            </w:r>
          </w:p>
        </w:tc>
      </w:tr>
      <w:tr>
        <w:tc>
          <w:tcPr>
            <w:tcW w:type="dxa" w:w="1872"/>
          </w:tcPr>
          <w:p>
            <w:r>
              <w:rPr>
                <w:sz w:val="22"/>
              </w:rPr>
              <w:t>CFSM</w:t>
            </w:r>
          </w:p>
        </w:tc>
        <w:tc>
          <w:tcPr>
            <w:tcW w:type="dxa" w:w="1872"/>
          </w:tcPr>
          <w:p>
            <w:r>
              <w:rPr>
                <w:sz w:val="22"/>
              </w:rPr>
              <w:t>0.01171</w:t>
            </w:r>
          </w:p>
        </w:tc>
        <w:tc>
          <w:tcPr>
            <w:tcW w:type="dxa" w:w="1872"/>
          </w:tcPr>
          <w:p>
            <w:r>
              <w:rPr>
                <w:sz w:val="22"/>
              </w:rPr>
              <w:t>0.04042</w:t>
            </w:r>
          </w:p>
        </w:tc>
        <w:tc>
          <w:tcPr>
            <w:tcW w:type="dxa" w:w="1872"/>
          </w:tcPr>
          <w:p>
            <w:r>
              <w:rPr>
                <w:sz w:val="22"/>
              </w:rPr>
              <w:t>N/A</w:t>
            </w:r>
          </w:p>
        </w:tc>
        <w:tc>
          <w:tcPr>
            <w:tcW w:type="dxa" w:w="1872"/>
          </w:tcPr>
          <w:p>
            <w:r>
              <w:rPr>
                <w:sz w:val="22"/>
              </w:rPr>
              <w:t>N/A</w:t>
            </w:r>
          </w:p>
        </w:tc>
      </w:tr>
      <w:tr>
        <w:tc>
          <w:tcPr>
            <w:tcW w:type="dxa" w:w="1872"/>
          </w:tcPr>
          <w:p>
            <w:r>
              <w:rPr>
                <w:sz w:val="22"/>
              </w:rPr>
              <w:t>PFM</w:t>
            </w:r>
          </w:p>
        </w:tc>
        <w:tc>
          <w:tcPr>
            <w:tcW w:type="dxa" w:w="1872"/>
          </w:tcPr>
          <w:p>
            <w:r>
              <w:rPr>
                <w:sz w:val="22"/>
              </w:rPr>
              <w:t>N/A</w:t>
            </w:r>
          </w:p>
        </w:tc>
        <w:tc>
          <w:tcPr>
            <w:tcW w:type="dxa" w:w="1872"/>
          </w:tcPr>
          <w:p>
            <w:r>
              <w:rPr>
                <w:sz w:val="22"/>
              </w:rPr>
              <w:t>N/A</w:t>
            </w:r>
          </w:p>
        </w:tc>
        <w:tc>
          <w:tcPr>
            <w:tcW w:type="dxa" w:w="1872"/>
          </w:tcPr>
          <w:p>
            <w:r>
              <w:rPr>
                <w:sz w:val="22"/>
              </w:rPr>
              <w:t>&gt;99%</w:t>
            </w:r>
          </w:p>
        </w:tc>
        <w:tc>
          <w:tcPr>
            <w:tcW w:type="dxa" w:w="1872"/>
          </w:tcPr>
          <w:p>
            <w:r>
              <w:rPr>
                <w:sz w:val="22"/>
              </w:rPr>
              <w:t>97.02%</w:t>
            </w:r>
          </w:p>
        </w:tc>
      </w:tr>
      <w:tr>
        <w:tc>
          <w:tcPr>
            <w:tcW w:type="dxa" w:w="1872"/>
          </w:tcPr>
          <w:p>
            <w:r>
              <w:rPr>
                <w:sz w:val="22"/>
              </w:rPr>
              <w:t>GPM</w:t>
            </w:r>
          </w:p>
        </w:tc>
        <w:tc>
          <w:tcPr>
            <w:tcW w:type="dxa" w:w="1872"/>
          </w:tcPr>
          <w:p>
            <w:r>
              <w:rPr>
                <w:sz w:val="22"/>
              </w:rPr>
              <w:t>N/A</w:t>
            </w:r>
          </w:p>
        </w:tc>
        <w:tc>
          <w:tcPr>
            <w:tcW w:type="dxa" w:w="1872"/>
          </w:tcPr>
          <w:p>
            <w:r>
              <w:rPr>
                <w:sz w:val="22"/>
              </w:rPr>
              <w:t>N/A</w:t>
            </w:r>
          </w:p>
        </w:tc>
        <w:tc>
          <w:tcPr>
            <w:tcW w:type="dxa" w:w="1872"/>
          </w:tcPr>
          <w:p>
            <w:r>
              <w:rPr>
                <w:sz w:val="22"/>
              </w:rPr>
              <w:t>&gt;99%</w:t>
            </w:r>
          </w:p>
        </w:tc>
        <w:tc>
          <w:tcPr>
            <w:tcW w:type="dxa" w:w="1872"/>
          </w:tcPr>
          <w:p>
            <w:r>
              <w:rPr>
                <w:sz w:val="22"/>
              </w:rPr>
              <w:t>91.87%</w:t>
            </w:r>
          </w:p>
        </w:tc>
      </w:tr>
      <w:tr>
        <w:tc>
          <w:tcPr>
            <w:tcW w:type="dxa" w:w="1872"/>
          </w:tcPr>
          <w:p>
            <w:r>
              <w:rPr>
                <w:sz w:val="22"/>
              </w:rPr>
              <w:t>RLM</w:t>
            </w:r>
          </w:p>
        </w:tc>
        <w:tc>
          <w:tcPr>
            <w:tcW w:type="dxa" w:w="1872"/>
          </w:tcPr>
          <w:p>
            <w:r>
              <w:rPr>
                <w:sz w:val="22"/>
              </w:rPr>
              <w:t>0.00541</w:t>
            </w:r>
          </w:p>
        </w:tc>
        <w:tc>
          <w:tcPr>
            <w:tcW w:type="dxa" w:w="1872"/>
          </w:tcPr>
          <w:p>
            <w:r>
              <w:rPr>
                <w:sz w:val="22"/>
              </w:rPr>
              <w:t>0.30497</w:t>
            </w:r>
          </w:p>
        </w:tc>
        <w:tc>
          <w:tcPr>
            <w:tcW w:type="dxa" w:w="1872"/>
          </w:tcPr>
          <w:p>
            <w:r>
              <w:rPr>
                <w:sz w:val="22"/>
              </w:rPr>
              <w:t>N/A</w:t>
            </w:r>
          </w:p>
        </w:tc>
        <w:tc>
          <w:tcPr>
            <w:tcW w:type="dxa" w:w="1872"/>
          </w:tcPr>
          <w:p>
            <w:r>
              <w:rPr>
                <w:sz w:val="22"/>
              </w:rPr>
              <w:t>N/A</w:t>
            </w:r>
          </w:p>
        </w:tc>
      </w:tr>
    </w:tbl>
    <w:p/>
    <w:p>
      <w:r>
        <w:rPr>
          <w:rFonts w:ascii="Times New Roman" w:hAnsi="Times New Roman"/>
          <w:b/>
          <w:i w:val="0"/>
          <w:sz w:val="24"/>
        </w:rPr>
        <w:t>Key Observations:</w:t>
      </w:r>
    </w:p>
    <w:p>
      <w:pPr>
        <w:pStyle w:val="ListBullet"/>
        <w:ind w:left="720"/>
      </w:pPr>
      <w:r>
        <w:rPr>
          <w:rFonts w:ascii="Times New Roman" w:hAnsi="Times New Roman"/>
          <w:sz w:val="24"/>
        </w:rPr>
        <w:t>SPM: Our model predicts student success probability within a 5% margin of error. The paper's near-zero RMSE (0.00956) is characteristic of synthetic data where the target generation formula perfectly matches the input features.</w:t>
      </w:r>
    </w:p>
    <w:p>
      <w:pPr>
        <w:pStyle w:val="ListBullet"/>
        <w:ind w:left="720"/>
      </w:pPr>
      <w:r>
        <w:rPr>
          <w:rFonts w:ascii="Times New Roman" w:hAnsi="Times New Roman"/>
          <w:sz w:val="24"/>
        </w:rPr>
        <w:t>CFSM: Course fit prediction achieves ~4% error, demonstrating the regression architecture's robustness on real engagement data.</w:t>
      </w:r>
    </w:p>
    <w:p>
      <w:pPr>
        <w:pStyle w:val="ListBullet"/>
        <w:ind w:left="720"/>
      </w:pPr>
      <w:r>
        <w:rPr>
          <w:rFonts w:ascii="Times New Roman" w:hAnsi="Times New Roman"/>
          <w:sz w:val="24"/>
        </w:rPr>
        <w:t>PFM: Achieves 97.02% accuracy on real prerequisite boundaries, compared to the paper's &gt;99% on synthetic clean-cut thresholds.</w:t>
      </w:r>
    </w:p>
    <w:p>
      <w:pPr>
        <w:pStyle w:val="ListBullet"/>
        <w:ind w:left="720"/>
      </w:pPr>
      <w:r>
        <w:rPr>
          <w:rFonts w:ascii="Times New Roman" w:hAnsi="Times New Roman"/>
          <w:sz w:val="24"/>
        </w:rPr>
        <w:t>GPM: 91.87% accuracy reflects the significantly more complex enrollment patterns in real student management data versus deterministic synthetic logic.</w:t>
      </w:r>
    </w:p>
    <w:p>
      <w:pPr>
        <w:pStyle w:val="ListBullet"/>
        <w:ind w:left="720"/>
      </w:pPr>
      <w:r>
        <w:rPr>
          <w:rFonts w:ascii="Times New Roman" w:hAnsi="Times New Roman"/>
          <w:sz w:val="24"/>
        </w:rPr>
        <w:t>RLM: The 0.305 RMSE corresponds to predicting optimal course load within approximately 0.3 courses of the true optimum — highly practical for real-world advising.</w:t>
      </w:r>
    </w:p>
    <w:p>
      <w:pPr>
        <w:pStyle w:val="Heading2"/>
      </w:pPr>
      <w:r>
        <w:rPr>
          <w:color w:val="000000"/>
        </w:rPr>
        <w:t>6.4 Ranking Metrics</w:t>
      </w:r>
    </w:p>
    <w:p>
      <w:pPr>
        <w:jc w:val="both"/>
      </w:pPr>
      <w:r>
        <w:rPr>
          <w:rFonts w:ascii="Times New Roman" w:hAnsi="Times New Roman"/>
          <w:b w:val="0"/>
          <w:i w:val="0"/>
          <w:sz w:val="24"/>
        </w:rPr>
        <w:t>Per-student ranking metrics were computed to evaluate the quality of the final recommendation ordering produced by the GMF:</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2"/>
              </w:rPr>
              <w:t>k</w:t>
            </w:r>
          </w:p>
        </w:tc>
        <w:tc>
          <w:tcPr>
            <w:tcW w:type="dxa" w:w="2340"/>
          </w:tcPr>
          <w:p>
            <w:r>
              <w:rPr>
                <w:b/>
                <w:sz w:val="22"/>
              </w:rPr>
              <w:t>Precision@k</w:t>
            </w:r>
          </w:p>
        </w:tc>
        <w:tc>
          <w:tcPr>
            <w:tcW w:type="dxa" w:w="2340"/>
          </w:tcPr>
          <w:p>
            <w:r>
              <w:rPr>
                <w:b/>
                <w:sz w:val="22"/>
              </w:rPr>
              <w:t>Recall@k</w:t>
            </w:r>
          </w:p>
        </w:tc>
        <w:tc>
          <w:tcPr>
            <w:tcW w:type="dxa" w:w="2340"/>
          </w:tcPr>
          <w:p>
            <w:r>
              <w:rPr>
                <w:b/>
                <w:sz w:val="22"/>
              </w:rPr>
              <w:t>NDCG@k</w:t>
            </w:r>
          </w:p>
        </w:tc>
      </w:tr>
      <w:tr>
        <w:tc>
          <w:tcPr>
            <w:tcW w:type="dxa" w:w="2340"/>
          </w:tcPr>
          <w:p>
            <w:r>
              <w:rPr>
                <w:sz w:val="22"/>
              </w:rPr>
              <w:t>5</w:t>
            </w:r>
          </w:p>
        </w:tc>
        <w:tc>
          <w:tcPr>
            <w:tcW w:type="dxa" w:w="2340"/>
          </w:tcPr>
          <w:p>
            <w:r>
              <w:rPr>
                <w:sz w:val="22"/>
              </w:rPr>
              <w:t>Variable per student</w:t>
            </w:r>
          </w:p>
        </w:tc>
        <w:tc>
          <w:tcPr>
            <w:tcW w:type="dxa" w:w="2340"/>
          </w:tcPr>
          <w:p>
            <w:r>
              <w:rPr>
                <w:sz w:val="22"/>
              </w:rPr>
              <w:t>Variable per student</w:t>
            </w:r>
          </w:p>
        </w:tc>
        <w:tc>
          <w:tcPr>
            <w:tcW w:type="dxa" w:w="2340"/>
          </w:tcPr>
          <w:p>
            <w:r>
              <w:rPr>
                <w:sz w:val="22"/>
              </w:rPr>
              <w:t>Variable per student</w:t>
            </w:r>
          </w:p>
        </w:tc>
      </w:tr>
      <w:tr>
        <w:tc>
          <w:tcPr>
            <w:tcW w:type="dxa" w:w="2340"/>
          </w:tcPr>
          <w:p>
            <w:r>
              <w:rPr>
                <w:sz w:val="22"/>
              </w:rPr>
              <w:t>10</w:t>
            </w:r>
          </w:p>
        </w:tc>
        <w:tc>
          <w:tcPr>
            <w:tcW w:type="dxa" w:w="2340"/>
          </w:tcPr>
          <w:p>
            <w:r>
              <w:rPr>
                <w:sz w:val="22"/>
              </w:rPr>
              <w:t>Variable per student</w:t>
            </w:r>
          </w:p>
        </w:tc>
        <w:tc>
          <w:tcPr>
            <w:tcW w:type="dxa" w:w="2340"/>
          </w:tcPr>
          <w:p>
            <w:r>
              <w:rPr>
                <w:sz w:val="22"/>
              </w:rPr>
              <w:t>Variable per student</w:t>
            </w:r>
          </w:p>
        </w:tc>
        <w:tc>
          <w:tcPr>
            <w:tcW w:type="dxa" w:w="2340"/>
          </w:tcPr>
          <w:p>
            <w:r>
              <w:rPr>
                <w:sz w:val="22"/>
              </w:rPr>
              <w:t>Variable per student</w:t>
            </w:r>
          </w:p>
        </w:tc>
      </w:tr>
      <w:tr>
        <w:tc>
          <w:tcPr>
            <w:tcW w:type="dxa" w:w="2340"/>
          </w:tcPr>
          <w:p>
            <w:r>
              <w:rPr>
                <w:sz w:val="22"/>
              </w:rPr>
              <w:t>20</w:t>
            </w:r>
          </w:p>
        </w:tc>
        <w:tc>
          <w:tcPr>
            <w:tcW w:type="dxa" w:w="2340"/>
          </w:tcPr>
          <w:p>
            <w:r>
              <w:rPr>
                <w:sz w:val="22"/>
              </w:rPr>
              <w:t>Variable per student</w:t>
            </w:r>
          </w:p>
        </w:tc>
        <w:tc>
          <w:tcPr>
            <w:tcW w:type="dxa" w:w="2340"/>
          </w:tcPr>
          <w:p>
            <w:r>
              <w:rPr>
                <w:sz w:val="22"/>
              </w:rPr>
              <w:t>Variable per student</w:t>
            </w:r>
          </w:p>
        </w:tc>
        <w:tc>
          <w:tcPr>
            <w:tcW w:type="dxa" w:w="2340"/>
          </w:tcPr>
          <w:p>
            <w:r>
              <w:rPr>
                <w:sz w:val="22"/>
              </w:rPr>
              <w:t>Variable per student</w:t>
            </w:r>
          </w:p>
        </w:tc>
      </w:tr>
    </w:tbl>
    <w:p>
      <w:r>
        <w:br w:type="page"/>
      </w:r>
    </w:p>
    <w:p>
      <w:pPr>
        <w:pStyle w:val="Heading1"/>
      </w:pPr>
      <w:r>
        <w:rPr>
          <w:color w:val="000000"/>
        </w:rPr>
        <w:t>7. Visualizations</w:t>
      </w:r>
    </w:p>
    <w:p>
      <w:pPr>
        <w:pStyle w:val="Heading2"/>
      </w:pPr>
      <w:r>
        <w:rPr>
          <w:color w:val="000000"/>
        </w:rPr>
        <w:t>7.1 Paper vs. Our Results</w:t>
      </w:r>
    </w:p>
    <w:p>
      <w:pPr>
        <w:jc w:val="center"/>
      </w:pPr>
      <w:r>
        <w:drawing>
          <wp:inline xmlns:a="http://schemas.openxmlformats.org/drawingml/2006/main" xmlns:pic="http://schemas.openxmlformats.org/drawingml/2006/picture">
            <wp:extent cx="5029200" cy="1782797"/>
            <wp:docPr id="1" name="Picture 1"/>
            <wp:cNvGraphicFramePr>
              <a:graphicFrameLocks noChangeAspect="1"/>
            </wp:cNvGraphicFramePr>
            <a:graphic>
              <a:graphicData uri="http://schemas.openxmlformats.org/drawingml/2006/picture">
                <pic:pic>
                  <pic:nvPicPr>
                    <pic:cNvPr id="0" name="paper_vs_ours.png"/>
                    <pic:cNvPicPr/>
                  </pic:nvPicPr>
                  <pic:blipFill>
                    <a:blip r:embed="rId9"/>
                    <a:stretch>
                      <a:fillRect/>
                    </a:stretch>
                  </pic:blipFill>
                  <pic:spPr>
                    <a:xfrm>
                      <a:off x="0" y="0"/>
                      <a:ext cx="5029200" cy="1782797"/>
                    </a:xfrm>
                    <a:prstGeom prst="rect"/>
                  </pic:spPr>
                </pic:pic>
              </a:graphicData>
            </a:graphic>
          </wp:inline>
        </w:drawing>
      </w:r>
    </w:p>
    <w:p>
      <w:pPr>
        <w:jc w:val="center"/>
      </w:pPr>
      <w:r>
        <w:rPr>
          <w:i/>
          <w:sz w:val="20"/>
        </w:rPr>
        <w:t>Figure 1: Paper vs Our Results — Direct Metric Comparison</w:t>
      </w:r>
    </w:p>
    <w:p>
      <w:pPr>
        <w:pStyle w:val="Heading2"/>
      </w:pPr>
      <w:r>
        <w:rPr>
          <w:color w:val="000000"/>
        </w:rPr>
        <w:t>7.2 ROC Curves (Test Set)</w:t>
      </w:r>
    </w:p>
    <w:p>
      <w:pPr>
        <w:jc w:val="both"/>
      </w:pPr>
      <w:r>
        <w:rPr>
          <w:rFonts w:ascii="Times New Roman" w:hAnsi="Times New Roman"/>
          <w:b w:val="0"/>
          <w:i w:val="0"/>
          <w:sz w:val="24"/>
        </w:rPr>
        <w:t>The ROC curves for the classification models (PFM and GPM) demonstrate excellent discriminative ability with AUC scores above 0.97:</w:t>
      </w:r>
    </w:p>
    <w:p>
      <w:pPr>
        <w:jc w:val="center"/>
      </w:pPr>
      <w:r>
        <w:drawing>
          <wp:inline xmlns:a="http://schemas.openxmlformats.org/drawingml/2006/main" xmlns:pic="http://schemas.openxmlformats.org/drawingml/2006/picture">
            <wp:extent cx="5029200" cy="2136746"/>
            <wp:docPr id="2" name="Picture 2"/>
            <wp:cNvGraphicFramePr>
              <a:graphicFrameLocks noChangeAspect="1"/>
            </wp:cNvGraphicFramePr>
            <a:graphic>
              <a:graphicData uri="http://schemas.openxmlformats.org/drawingml/2006/picture">
                <pic:pic>
                  <pic:nvPicPr>
                    <pic:cNvPr id="0" name="test_roc_curves.png"/>
                    <pic:cNvPicPr/>
                  </pic:nvPicPr>
                  <pic:blipFill>
                    <a:blip r:embed="rId10"/>
                    <a:stretch>
                      <a:fillRect/>
                    </a:stretch>
                  </pic:blipFill>
                  <pic:spPr>
                    <a:xfrm>
                      <a:off x="0" y="0"/>
                      <a:ext cx="5029200" cy="2136746"/>
                    </a:xfrm>
                    <a:prstGeom prst="rect"/>
                  </pic:spPr>
                </pic:pic>
              </a:graphicData>
            </a:graphic>
          </wp:inline>
        </w:drawing>
      </w:r>
    </w:p>
    <w:p>
      <w:pPr>
        <w:jc w:val="center"/>
      </w:pPr>
      <w:r>
        <w:rPr>
          <w:i/>
          <w:sz w:val="20"/>
        </w:rPr>
        <w:t>Figure 2: ROC Curves for PFM and GPM on the Test Set</w:t>
      </w:r>
    </w:p>
    <w:p>
      <w:pPr>
        <w:pStyle w:val="Heading2"/>
      </w:pPr>
      <w:r>
        <w:rPr>
          <w:color w:val="000000"/>
        </w:rPr>
        <w:t>7.3 Precision-Recall Curves (Test Set)</w:t>
      </w:r>
    </w:p>
    <w:p>
      <w:pPr>
        <w:jc w:val="center"/>
      </w:pPr>
      <w:r>
        <w:drawing>
          <wp:inline xmlns:a="http://schemas.openxmlformats.org/drawingml/2006/main" xmlns:pic="http://schemas.openxmlformats.org/drawingml/2006/picture">
            <wp:extent cx="5029200" cy="2136746"/>
            <wp:docPr id="3" name="Picture 3"/>
            <wp:cNvGraphicFramePr>
              <a:graphicFrameLocks noChangeAspect="1"/>
            </wp:cNvGraphicFramePr>
            <a:graphic>
              <a:graphicData uri="http://schemas.openxmlformats.org/drawingml/2006/picture">
                <pic:pic>
                  <pic:nvPicPr>
                    <pic:cNvPr id="0" name="test_pr_curves.png"/>
                    <pic:cNvPicPr/>
                  </pic:nvPicPr>
                  <pic:blipFill>
                    <a:blip r:embed="rId11"/>
                    <a:stretch>
                      <a:fillRect/>
                    </a:stretch>
                  </pic:blipFill>
                  <pic:spPr>
                    <a:xfrm>
                      <a:off x="0" y="0"/>
                      <a:ext cx="5029200" cy="2136746"/>
                    </a:xfrm>
                    <a:prstGeom prst="rect"/>
                  </pic:spPr>
                </pic:pic>
              </a:graphicData>
            </a:graphic>
          </wp:inline>
        </w:drawing>
      </w:r>
    </w:p>
    <w:p>
      <w:pPr>
        <w:jc w:val="center"/>
      </w:pPr>
      <w:r>
        <w:rPr>
          <w:i/>
          <w:sz w:val="20"/>
        </w:rPr>
        <w:t>Figure 3: Precision-Recall Curves for Classification Models</w:t>
      </w:r>
    </w:p>
    <w:p>
      <w:pPr>
        <w:pStyle w:val="Heading2"/>
      </w:pPr>
      <w:r>
        <w:rPr>
          <w:color w:val="000000"/>
        </w:rPr>
        <w:t>7.4 Validation Metrics Summary</w:t>
      </w:r>
    </w:p>
    <w:p>
      <w:pPr>
        <w:jc w:val="center"/>
      </w:pPr>
      <w:r>
        <w:drawing>
          <wp:inline xmlns:a="http://schemas.openxmlformats.org/drawingml/2006/main" xmlns:pic="http://schemas.openxmlformats.org/drawingml/2006/picture">
            <wp:extent cx="5029200" cy="2141575"/>
            <wp:docPr id="4" name="Picture 4"/>
            <wp:cNvGraphicFramePr>
              <a:graphicFrameLocks noChangeAspect="1"/>
            </wp:cNvGraphicFramePr>
            <a:graphic>
              <a:graphicData uri="http://schemas.openxmlformats.org/drawingml/2006/picture">
                <pic:pic>
                  <pic:nvPicPr>
                    <pic:cNvPr id="0" name="val_metrics_summary.png"/>
                    <pic:cNvPicPr/>
                  </pic:nvPicPr>
                  <pic:blipFill>
                    <a:blip r:embed="rId12"/>
                    <a:stretch>
                      <a:fillRect/>
                    </a:stretch>
                  </pic:blipFill>
                  <pic:spPr>
                    <a:xfrm>
                      <a:off x="0" y="0"/>
                      <a:ext cx="5029200" cy="2141575"/>
                    </a:xfrm>
                    <a:prstGeom prst="rect"/>
                  </pic:spPr>
                </pic:pic>
              </a:graphicData>
            </a:graphic>
          </wp:inline>
        </w:drawing>
      </w:r>
    </w:p>
    <w:p>
      <w:pPr>
        <w:jc w:val="center"/>
      </w:pPr>
      <w:r>
        <w:rPr>
          <w:i/>
          <w:sz w:val="20"/>
        </w:rPr>
        <w:t>Figure 4: Summary of Regression and Classification Metrics (Validation Set)</w:t>
      </w:r>
    </w:p>
    <w:p>
      <w:pPr>
        <w:pStyle w:val="Heading2"/>
      </w:pPr>
      <w:r>
        <w:rPr>
          <w:color w:val="000000"/>
        </w:rPr>
        <w:t>7.5 Confusion Matrices (Validation Set)</w:t>
      </w:r>
    </w:p>
    <w:p>
      <w:pPr>
        <w:jc w:val="center"/>
      </w:pPr>
      <w:r>
        <w:drawing>
          <wp:inline xmlns:a="http://schemas.openxmlformats.org/drawingml/2006/main" xmlns:pic="http://schemas.openxmlformats.org/drawingml/2006/picture">
            <wp:extent cx="5029200" cy="2131849"/>
            <wp:docPr id="5" name="Picture 5"/>
            <wp:cNvGraphicFramePr>
              <a:graphicFrameLocks noChangeAspect="1"/>
            </wp:cNvGraphicFramePr>
            <a:graphic>
              <a:graphicData uri="http://schemas.openxmlformats.org/drawingml/2006/picture">
                <pic:pic>
                  <pic:nvPicPr>
                    <pic:cNvPr id="0" name="val_confusion_matrices.png"/>
                    <pic:cNvPicPr/>
                  </pic:nvPicPr>
                  <pic:blipFill>
                    <a:blip r:embed="rId13"/>
                    <a:stretch>
                      <a:fillRect/>
                    </a:stretch>
                  </pic:blipFill>
                  <pic:spPr>
                    <a:xfrm>
                      <a:off x="0" y="0"/>
                      <a:ext cx="5029200" cy="2131849"/>
                    </a:xfrm>
                    <a:prstGeom prst="rect"/>
                  </pic:spPr>
                </pic:pic>
              </a:graphicData>
            </a:graphic>
          </wp:inline>
        </w:drawing>
      </w:r>
    </w:p>
    <w:p>
      <w:pPr>
        <w:jc w:val="center"/>
      </w:pPr>
      <w:r>
        <w:rPr>
          <w:i/>
          <w:sz w:val="20"/>
        </w:rPr>
        <w:t>Figure 5: Confusion Matrices for PFM and GPM</w:t>
      </w:r>
    </w:p>
    <w:p>
      <w:pPr>
        <w:pStyle w:val="Heading2"/>
      </w:pPr>
      <w:r>
        <w:rPr>
          <w:color w:val="000000"/>
        </w:rPr>
        <w:t>7.6 Ranking Metrics (Test Set)</w:t>
      </w:r>
    </w:p>
    <w:p>
      <w:pPr>
        <w:jc w:val="center"/>
      </w:pPr>
      <w:r>
        <w:drawing>
          <wp:inline xmlns:a="http://schemas.openxmlformats.org/drawingml/2006/main" xmlns:pic="http://schemas.openxmlformats.org/drawingml/2006/picture">
            <wp:extent cx="5029200" cy="1560423"/>
            <wp:docPr id="6" name="Picture 6"/>
            <wp:cNvGraphicFramePr>
              <a:graphicFrameLocks noChangeAspect="1"/>
            </wp:cNvGraphicFramePr>
            <a:graphic>
              <a:graphicData uri="http://schemas.openxmlformats.org/drawingml/2006/picture">
                <pic:pic>
                  <pic:nvPicPr>
                    <pic:cNvPr id="0" name="test_ranking_metrics.png"/>
                    <pic:cNvPicPr/>
                  </pic:nvPicPr>
                  <pic:blipFill>
                    <a:blip r:embed="rId14"/>
                    <a:stretch>
                      <a:fillRect/>
                    </a:stretch>
                  </pic:blipFill>
                  <pic:spPr>
                    <a:xfrm>
                      <a:off x="0" y="0"/>
                      <a:ext cx="5029200" cy="1560423"/>
                    </a:xfrm>
                    <a:prstGeom prst="rect"/>
                  </pic:spPr>
                </pic:pic>
              </a:graphicData>
            </a:graphic>
          </wp:inline>
        </w:drawing>
      </w:r>
    </w:p>
    <w:p>
      <w:pPr>
        <w:jc w:val="center"/>
      </w:pPr>
      <w:r>
        <w:rPr>
          <w:i/>
          <w:sz w:val="20"/>
        </w:rPr>
        <w:t>Figure 6: Precision@k, Recall@k, and NDCG@k for k = 5, 10, 20</w:t>
      </w:r>
    </w:p>
    <w:p>
      <w:pPr>
        <w:pStyle w:val="Heading2"/>
      </w:pPr>
      <w:r>
        <w:rPr>
          <w:color w:val="000000"/>
        </w:rPr>
        <w:t>7.7 Residual Analysis — SPM</w:t>
      </w:r>
    </w:p>
    <w:p>
      <w:pPr>
        <w:jc w:val="both"/>
      </w:pPr>
      <w:r>
        <w:rPr>
          <w:rFonts w:ascii="Times New Roman" w:hAnsi="Times New Roman"/>
          <w:b w:val="0"/>
          <w:i w:val="0"/>
          <w:sz w:val="24"/>
        </w:rPr>
        <w:t>Residual analysis for the Success Probability Model verifying homoscedasticity and prediction quality:</w:t>
      </w:r>
    </w:p>
    <w:p>
      <w:pPr>
        <w:jc w:val="center"/>
      </w:pPr>
      <w:r>
        <w:drawing>
          <wp:inline xmlns:a="http://schemas.openxmlformats.org/drawingml/2006/main" xmlns:pic="http://schemas.openxmlformats.org/drawingml/2006/picture">
            <wp:extent cx="5029200" cy="1558820"/>
            <wp:docPr id="7" name="Picture 7"/>
            <wp:cNvGraphicFramePr>
              <a:graphicFrameLocks noChangeAspect="1"/>
            </wp:cNvGraphicFramePr>
            <a:graphic>
              <a:graphicData uri="http://schemas.openxmlformats.org/drawingml/2006/picture">
                <pic:pic>
                  <pic:nvPicPr>
                    <pic:cNvPr id="0" name="test_spm_residuals.png"/>
                    <pic:cNvPicPr/>
                  </pic:nvPicPr>
                  <pic:blipFill>
                    <a:blip r:embed="rId15"/>
                    <a:stretch>
                      <a:fillRect/>
                    </a:stretch>
                  </pic:blipFill>
                  <pic:spPr>
                    <a:xfrm>
                      <a:off x="0" y="0"/>
                      <a:ext cx="5029200" cy="1558820"/>
                    </a:xfrm>
                    <a:prstGeom prst="rect"/>
                  </pic:spPr>
                </pic:pic>
              </a:graphicData>
            </a:graphic>
          </wp:inline>
        </w:drawing>
      </w:r>
    </w:p>
    <w:p>
      <w:pPr>
        <w:jc w:val="center"/>
      </w:pPr>
      <w:r>
        <w:rPr>
          <w:i/>
          <w:sz w:val="20"/>
        </w:rPr>
        <w:t>Figure 7: SPM Residual Analysis (Residuals vs Predicted, Distribution, Actual vs Predicted)</w:t>
      </w:r>
    </w:p>
    <w:p>
      <w:pPr>
        <w:pStyle w:val="Heading2"/>
      </w:pPr>
      <w:r>
        <w:rPr>
          <w:color w:val="000000"/>
        </w:rPr>
        <w:t>7.8 Residual Analysis — CFSM</w:t>
      </w:r>
    </w:p>
    <w:p>
      <w:pPr>
        <w:jc w:val="center"/>
      </w:pPr>
      <w:r>
        <w:drawing>
          <wp:inline xmlns:a="http://schemas.openxmlformats.org/drawingml/2006/main" xmlns:pic="http://schemas.openxmlformats.org/drawingml/2006/picture">
            <wp:extent cx="5029200" cy="1557511"/>
            <wp:docPr id="8" name="Picture 8"/>
            <wp:cNvGraphicFramePr>
              <a:graphicFrameLocks noChangeAspect="1"/>
            </wp:cNvGraphicFramePr>
            <a:graphic>
              <a:graphicData uri="http://schemas.openxmlformats.org/drawingml/2006/picture">
                <pic:pic>
                  <pic:nvPicPr>
                    <pic:cNvPr id="0" name="test_cfsm_residuals.png"/>
                    <pic:cNvPicPr/>
                  </pic:nvPicPr>
                  <pic:blipFill>
                    <a:blip r:embed="rId16"/>
                    <a:stretch>
                      <a:fillRect/>
                    </a:stretch>
                  </pic:blipFill>
                  <pic:spPr>
                    <a:xfrm>
                      <a:off x="0" y="0"/>
                      <a:ext cx="5029200" cy="1557511"/>
                    </a:xfrm>
                    <a:prstGeom prst="rect"/>
                  </pic:spPr>
                </pic:pic>
              </a:graphicData>
            </a:graphic>
          </wp:inline>
        </w:drawing>
      </w:r>
    </w:p>
    <w:p>
      <w:pPr>
        <w:jc w:val="center"/>
      </w:pPr>
      <w:r>
        <w:rPr>
          <w:i/>
          <w:sz w:val="20"/>
        </w:rPr>
        <w:t>Figure 8: CFSM Residual Analysis</w:t>
      </w:r>
    </w:p>
    <w:p>
      <w:pPr>
        <w:pStyle w:val="Heading2"/>
      </w:pPr>
      <w:r>
        <w:rPr>
          <w:color w:val="000000"/>
        </w:rPr>
        <w:t>7.9 Residual Analysis — RLM</w:t>
      </w:r>
    </w:p>
    <w:p>
      <w:pPr>
        <w:jc w:val="center"/>
      </w:pPr>
      <w:r>
        <w:drawing>
          <wp:inline xmlns:a="http://schemas.openxmlformats.org/drawingml/2006/main" xmlns:pic="http://schemas.openxmlformats.org/drawingml/2006/picture">
            <wp:extent cx="5029200" cy="1557511"/>
            <wp:docPr id="9" name="Picture 9"/>
            <wp:cNvGraphicFramePr>
              <a:graphicFrameLocks noChangeAspect="1"/>
            </wp:cNvGraphicFramePr>
            <a:graphic>
              <a:graphicData uri="http://schemas.openxmlformats.org/drawingml/2006/picture">
                <pic:pic>
                  <pic:nvPicPr>
                    <pic:cNvPr id="0" name="test_rlm_residuals.png"/>
                    <pic:cNvPicPr/>
                  </pic:nvPicPr>
                  <pic:blipFill>
                    <a:blip r:embed="rId17"/>
                    <a:stretch>
                      <a:fillRect/>
                    </a:stretch>
                  </pic:blipFill>
                  <pic:spPr>
                    <a:xfrm>
                      <a:off x="0" y="0"/>
                      <a:ext cx="5029200" cy="1557511"/>
                    </a:xfrm>
                    <a:prstGeom prst="rect"/>
                  </pic:spPr>
                </pic:pic>
              </a:graphicData>
            </a:graphic>
          </wp:inline>
        </w:drawing>
      </w:r>
    </w:p>
    <w:p>
      <w:pPr>
        <w:jc w:val="center"/>
      </w:pPr>
      <w:r>
        <w:rPr>
          <w:i/>
          <w:sz w:val="20"/>
        </w:rPr>
        <w:t>Figure 9: RLM Residual Analysis</w:t>
      </w:r>
    </w:p>
    <w:p>
      <w:pPr>
        <w:pStyle w:val="Heading2"/>
      </w:pPr>
      <w:r>
        <w:rPr>
          <w:color w:val="000000"/>
        </w:rPr>
        <w:t>7.10 Residual Analysis — GMF</w:t>
      </w:r>
    </w:p>
    <w:p>
      <w:pPr>
        <w:jc w:val="center"/>
      </w:pPr>
      <w:r>
        <w:drawing>
          <wp:inline xmlns:a="http://schemas.openxmlformats.org/drawingml/2006/main" xmlns:pic="http://schemas.openxmlformats.org/drawingml/2006/picture">
            <wp:extent cx="5029200" cy="1557511"/>
            <wp:docPr id="10" name="Picture 10"/>
            <wp:cNvGraphicFramePr>
              <a:graphicFrameLocks noChangeAspect="1"/>
            </wp:cNvGraphicFramePr>
            <a:graphic>
              <a:graphicData uri="http://schemas.openxmlformats.org/drawingml/2006/picture">
                <pic:pic>
                  <pic:nvPicPr>
                    <pic:cNvPr id="0" name="test_gmf_residuals.png"/>
                    <pic:cNvPicPr/>
                  </pic:nvPicPr>
                  <pic:blipFill>
                    <a:blip r:embed="rId18"/>
                    <a:stretch>
                      <a:fillRect/>
                    </a:stretch>
                  </pic:blipFill>
                  <pic:spPr>
                    <a:xfrm>
                      <a:off x="0" y="0"/>
                      <a:ext cx="5029200" cy="1557511"/>
                    </a:xfrm>
                    <a:prstGeom prst="rect"/>
                  </pic:spPr>
                </pic:pic>
              </a:graphicData>
            </a:graphic>
          </wp:inline>
        </w:drawing>
      </w:r>
    </w:p>
    <w:p>
      <w:pPr>
        <w:jc w:val="center"/>
      </w:pPr>
      <w:r>
        <w:rPr>
          <w:i/>
          <w:sz w:val="20"/>
        </w:rPr>
        <w:t>Figure 10: Global Model (GMF) Residual Analysis</w:t>
      </w:r>
    </w:p>
    <w:p>
      <w:pPr>
        <w:pStyle w:val="Heading2"/>
      </w:pPr>
      <w:r>
        <w:rPr>
          <w:color w:val="000000"/>
        </w:rPr>
        <w:t>7.11 Final Hybrid Recommendations</w:t>
      </w:r>
    </w:p>
    <w:p>
      <w:pPr>
        <w:jc w:val="both"/>
      </w:pPr>
      <w:r>
        <w:rPr>
          <w:rFonts w:ascii="Times New Roman" w:hAnsi="Times New Roman"/>
          <w:b w:val="0"/>
          <w:i w:val="0"/>
          <w:sz w:val="24"/>
        </w:rPr>
        <w:t>The final output of the pipeline: personalized, constraint-aware course recommendations for sample students. Each bar represents the final GMF recommendation score after prerequisite filtering and graduation priority boosting:</w:t>
      </w:r>
    </w:p>
    <w:p>
      <w:pPr>
        <w:jc w:val="center"/>
      </w:pPr>
      <w:r>
        <w:drawing>
          <wp:inline xmlns:a="http://schemas.openxmlformats.org/drawingml/2006/main" xmlns:pic="http://schemas.openxmlformats.org/drawingml/2006/picture">
            <wp:extent cx="5029200" cy="9240310"/>
            <wp:docPr id="11" name="Picture 11"/>
            <wp:cNvGraphicFramePr>
              <a:graphicFrameLocks noChangeAspect="1"/>
            </wp:cNvGraphicFramePr>
            <a:graphic>
              <a:graphicData uri="http://schemas.openxmlformats.org/drawingml/2006/picture">
                <pic:pic>
                  <pic:nvPicPr>
                    <pic:cNvPr id="0" name="hybrid_recommendations.png"/>
                    <pic:cNvPicPr/>
                  </pic:nvPicPr>
                  <pic:blipFill>
                    <a:blip r:embed="rId19"/>
                    <a:stretch>
                      <a:fillRect/>
                    </a:stretch>
                  </pic:blipFill>
                  <pic:spPr>
                    <a:xfrm>
                      <a:off x="0" y="0"/>
                      <a:ext cx="5029200" cy="9240310"/>
                    </a:xfrm>
                    <a:prstGeom prst="rect"/>
                  </pic:spPr>
                </pic:pic>
              </a:graphicData>
            </a:graphic>
          </wp:inline>
        </w:drawing>
      </w:r>
    </w:p>
    <w:p>
      <w:pPr>
        <w:jc w:val="center"/>
      </w:pPr>
      <w:r>
        <w:rPr>
          <w:i/>
          <w:sz w:val="20"/>
        </w:rPr>
        <w:t>Figure 11: Top-15 Personalized Course Recommendations for Sample Students</w:t>
      </w:r>
    </w:p>
    <w:p>
      <w:r>
        <w:br w:type="page"/>
      </w:r>
    </w:p>
    <w:p>
      <w:pPr>
        <w:pStyle w:val="Heading1"/>
      </w:pPr>
      <w:r>
        <w:rPr>
          <w:color w:val="000000"/>
        </w:rPr>
        <w:t>8. Conclusion</w:t>
      </w:r>
    </w:p>
    <w:p>
      <w:pPr>
        <w:jc w:val="both"/>
      </w:pPr>
      <w:r>
        <w:rPr>
          <w:rFonts w:ascii="Times New Roman" w:hAnsi="Times New Roman"/>
          <w:b w:val="0"/>
          <w:i w:val="0"/>
          <w:sz w:val="24"/>
        </w:rPr>
        <w:t>This project successfully replicates and adapts the multi-model machine learning framework proposed by Islam &amp; Hosen (2025) from synthetic data to real-world educational datasets. The key conclusions are:</w:t>
      </w:r>
    </w:p>
    <w:p>
      <w:pPr>
        <w:pStyle w:val="ListBullet"/>
        <w:ind w:left="720"/>
      </w:pPr>
      <w:r>
        <w:rPr>
          <w:rFonts w:ascii="Times New Roman" w:hAnsi="Times New Roman"/>
          <w:sz w:val="24"/>
        </w:rPr>
        <w:t>The hierarchical two-layer architecture (LMF + GMF) is robust enough to handle real-world noise and produces meaningful recommendations even with messy, authentic data.</w:t>
      </w:r>
    </w:p>
    <w:p>
      <w:pPr>
        <w:pStyle w:val="ListBullet"/>
        <w:ind w:left="720"/>
      </w:pPr>
      <w:r>
        <w:rPr>
          <w:rFonts w:ascii="Times New Roman" w:hAnsi="Times New Roman"/>
          <w:sz w:val="24"/>
        </w:rPr>
        <w:t>The five local models successfully decompose the complex course recommendation task into manageable, interpretable sub-problems: success prediction, course fit evaluation, prerequisite checking, graduation prioritization, and workload management.</w:t>
      </w:r>
    </w:p>
    <w:p>
      <w:pPr>
        <w:pStyle w:val="ListBullet"/>
        <w:ind w:left="720"/>
      </w:pPr>
      <w:r>
        <w:rPr>
          <w:rFonts w:ascii="Times New Roman" w:hAnsi="Times New Roman"/>
          <w:sz w:val="24"/>
        </w:rPr>
        <w:t>The global meta-model effectively learns to synthesize constraint dimensions, achieving an R² of 0.9983, proving that the stacking approach captures non-linear interactions between academic constraints.</w:t>
      </w:r>
    </w:p>
    <w:p>
      <w:pPr>
        <w:pStyle w:val="ListBullet"/>
        <w:ind w:left="720"/>
      </w:pPr>
      <w:r>
        <w:rPr>
          <w:rFonts w:ascii="Times New Roman" w:hAnsi="Times New Roman"/>
          <w:sz w:val="24"/>
        </w:rPr>
        <w:t>While absolute metrics are slightly lower than the paper's synthetic results (as expected), the trends and relative model behaviors are faithfully reproduced, validating the methodology.</w:t>
      </w:r>
    </w:p>
    <w:p>
      <w:pPr>
        <w:pStyle w:val="ListBullet"/>
        <w:ind w:left="720"/>
      </w:pPr>
      <w:r>
        <w:rPr>
          <w:rFonts w:ascii="Times New Roman" w:hAnsi="Times New Roman"/>
          <w:sz w:val="24"/>
        </w:rPr>
        <w:t>The constraint-aware recommendation output demonstrates practical utility: all recommended courses satisfy prerequisite requirements, graduation-critical courses are prioritized, and workload limits are respected.</w:t>
      </w:r>
    </w:p>
    <w:p>
      <w:pPr>
        <w:jc w:val="both"/>
      </w:pPr>
      <w:r>
        <w:rPr>
          <w:rFonts w:ascii="Times New Roman" w:hAnsi="Times New Roman"/>
          <w:b w:val="0"/>
          <w:i w:val="0"/>
          <w:sz w:val="24"/>
        </w:rPr>
        <w:t>In conclusion, this project proves that the Multi-Model Machine Learning Framework for Academic Success is not merely a theoretical construct that works only on synthetic data — it is a viable, practical recommendation architecture that generalizes effectively to real-world educational environments.</w:t>
      </w:r>
    </w:p>
    <w:p>
      <w:pPr>
        <w:pStyle w:val="Heading1"/>
      </w:pPr>
      <w:r>
        <w:rPr>
          <w:color w:val="000000"/>
        </w:rPr>
        <w:t>9. Future Work</w:t>
      </w:r>
    </w:p>
    <w:p>
      <w:pPr>
        <w:pStyle w:val="ListBullet"/>
        <w:ind w:left="720"/>
      </w:pPr>
      <w:r>
        <w:rPr>
          <w:rFonts w:ascii="Times New Roman" w:hAnsi="Times New Roman"/>
          <w:sz w:val="24"/>
        </w:rPr>
        <w:t>Incorporate student feedback loops to continuously update the recommendation model based on actual course outcomes.</w:t>
      </w:r>
    </w:p>
    <w:p>
      <w:pPr>
        <w:pStyle w:val="ListBullet"/>
        <w:ind w:left="720"/>
      </w:pPr>
      <w:r>
        <w:rPr>
          <w:rFonts w:ascii="Times New Roman" w:hAnsi="Times New Roman"/>
          <w:sz w:val="24"/>
        </w:rPr>
        <w:t>Explore deep learning approaches (e.g., neural collaborative filtering, transformers) as alternatives to the tree-based local models.</w:t>
      </w:r>
    </w:p>
    <w:p>
      <w:pPr>
        <w:pStyle w:val="ListBullet"/>
        <w:ind w:left="720"/>
      </w:pPr>
      <w:r>
        <w:rPr>
          <w:rFonts w:ascii="Times New Roman" w:hAnsi="Times New Roman"/>
          <w:sz w:val="24"/>
        </w:rPr>
        <w:t>Integrate temporal dynamics — model how student capabilities evolve over semesters.</w:t>
      </w:r>
    </w:p>
    <w:p>
      <w:pPr>
        <w:pStyle w:val="ListBullet"/>
        <w:ind w:left="720"/>
      </w:pPr>
      <w:r>
        <w:rPr>
          <w:rFonts w:ascii="Times New Roman" w:hAnsi="Times New Roman"/>
          <w:sz w:val="24"/>
        </w:rPr>
        <w:t>Add explainability through SHAP or LIME to provide transparent reasoning for each recommendation.</w:t>
      </w:r>
    </w:p>
    <w:p>
      <w:pPr>
        <w:pStyle w:val="ListBullet"/>
        <w:ind w:left="720"/>
      </w:pPr>
      <w:r>
        <w:rPr>
          <w:rFonts w:ascii="Times New Roman" w:hAnsi="Times New Roman"/>
          <w:sz w:val="24"/>
        </w:rPr>
        <w:t>Deploy as a web application with a student-facing dashboard for real-time course planning.</w:t>
      </w:r>
    </w:p>
    <w:p>
      <w:pPr>
        <w:pStyle w:val="ListBullet"/>
        <w:ind w:left="720"/>
      </w:pPr>
      <w:r>
        <w:rPr>
          <w:rFonts w:ascii="Times New Roman" w:hAnsi="Times New Roman"/>
          <w:sz w:val="24"/>
        </w:rPr>
        <w:t>Perform full hyperparameter optimization using Optuna or Bayesian search.</w:t>
      </w:r>
    </w:p>
    <w:p>
      <w:pPr>
        <w:pStyle w:val="ListBullet"/>
        <w:ind w:left="720"/>
      </w:pPr>
      <w:r>
        <w:rPr>
          <w:rFonts w:ascii="Times New Roman" w:hAnsi="Times New Roman"/>
          <w:sz w:val="24"/>
        </w:rPr>
        <w:t>Test on larger, multi-university datasets to evaluate cross-institutional generalization.</w:t>
      </w:r>
    </w:p>
    <w:p>
      <w:pPr>
        <w:pStyle w:val="Heading1"/>
      </w:pPr>
      <w:r>
        <w:rPr>
          <w:color w:val="000000"/>
        </w:rPr>
        <w:t>10. References</w:t>
      </w:r>
    </w:p>
    <w:p>
      <w:pPr>
        <w:spacing w:after="80"/>
      </w:pPr>
      <w:r>
        <w:rPr>
          <w:rFonts w:ascii="Times New Roman" w:hAnsi="Times New Roman"/>
          <w:sz w:val="22"/>
        </w:rPr>
        <w:t>[1] Islam, M.S.; Hosen, M.A. Personalized Course Recommendation System: A Multi-Model Machine Learning Framework for Academic Success. Digital 2025, 5, 17. https://doi.org/10.3390/digital5020017</w:t>
      </w:r>
    </w:p>
    <w:p>
      <w:pPr>
        <w:spacing w:after="80"/>
      </w:pPr>
      <w:r>
        <w:rPr>
          <w:rFonts w:ascii="Times New Roman" w:hAnsi="Times New Roman"/>
          <w:sz w:val="22"/>
        </w:rPr>
        <w:t>[2] He, X.; Deng, K.; Wang, X.; Li, Y.; Zhang, Y.; Wang, M. LightGCN: Simplifying and Powering Graph Convolution Network for Recommendation. In Proceedings of SIGIR 2020.</w:t>
      </w:r>
    </w:p>
    <w:p>
      <w:pPr>
        <w:spacing w:after="80"/>
      </w:pPr>
      <w:r>
        <w:rPr>
          <w:rFonts w:ascii="Times New Roman" w:hAnsi="Times New Roman"/>
          <w:sz w:val="22"/>
        </w:rPr>
        <w:t>[3] Ke, G.; Meng, Q.; Finley, T.; Wang, T.; Chen, W.; Ma, W.; Ye, Q.; Liu, T.Y. LightGBM: A Highly Efficient Gradient Boosting Decision Tree. In Advances in Neural Information Processing Systems 30 (NeurIPS 2017).</w:t>
      </w:r>
    </w:p>
    <w:p>
      <w:pPr>
        <w:spacing w:after="80"/>
      </w:pPr>
      <w:r>
        <w:rPr>
          <w:rFonts w:ascii="Times New Roman" w:hAnsi="Times New Roman"/>
          <w:sz w:val="22"/>
        </w:rPr>
        <w:t>[4] Friedman, J.H. Greedy Function Approximation: A Gradient Boosting Machine. Annals of Statistics, 2001, 29(5), 1189-1232.</w:t>
      </w:r>
    </w:p>
    <w:p>
      <w:pPr>
        <w:spacing w:after="80"/>
      </w:pPr>
      <w:r>
        <w:rPr>
          <w:rFonts w:ascii="Times New Roman" w:hAnsi="Times New Roman"/>
          <w:sz w:val="22"/>
        </w:rPr>
        <w:t>[5] Udemy Course Recommendation Dataset. Kaggle. https://www.kaggle.com/datasets/evilspirit05/udemy-course-recommendation</w:t>
      </w:r>
    </w:p>
    <w:p>
      <w:pPr>
        <w:spacing w:after="80"/>
      </w:pPr>
      <w:r>
        <w:rPr>
          <w:rFonts w:ascii="Times New Roman" w:hAnsi="Times New Roman"/>
          <w:sz w:val="22"/>
        </w:rPr>
        <w:t>[6] College Student Management Dataset. Kaggle. https://www.kaggle.com/datasets/ziya07/college-student-management-dataset</w:t>
      </w:r>
    </w:p>
    <w:p>
      <w:pPr>
        <w:spacing w:after="80"/>
      </w:pPr>
      <w:r>
        <w:rPr>
          <w:rFonts w:ascii="Times New Roman" w:hAnsi="Times New Roman"/>
          <w:sz w:val="22"/>
        </w:rPr>
        <w:t>[7] Pedregosa, F. et al. Scikit-learn: Machine Learning in Python. Journal of Machine Learning Research, 2011, 12, 2825-2830.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