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3BF1" w14:textId="27F2764D" w:rsidR="00E44DDC" w:rsidRPr="00E44DDC" w:rsidRDefault="00E44DDC" w:rsidP="00E44D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E44DDC">
        <w:rPr>
          <w:rFonts w:ascii="Times New Roman" w:eastAsia="Times New Roman" w:hAnsi="Times New Roman" w:cs="Times New Roman"/>
          <w:b/>
          <w:bCs/>
          <w:kern w:val="36"/>
          <w:sz w:val="48"/>
          <w:szCs w:val="48"/>
          <w:lang w:eastAsia="en-GB"/>
        </w:rPr>
        <w:t>Sales Performance Analysis Report (5-Year)</w:t>
      </w:r>
    </w:p>
    <w:p w14:paraId="7DF46078" w14:textId="77777777"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1. Project Overview</w:t>
      </w:r>
    </w:p>
    <w:p w14:paraId="2325C638"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This capstone project presents a comprehensive analysis of organisational sales data over a five-year period. The objective of the report is to evaluate business performance, identify trends and patterns, and provide actionable insights through interactive Power BI visualisations. The report is structured to align with the client’s stated requirements and mirrors the narrative style of a professional analytics case study.</w:t>
      </w:r>
    </w:p>
    <w:p w14:paraId="7B321819"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analysis focuses on revenue, customers, products, employees, and geographic performance, with a strong emphasis on year-on-year and quarter-based comparisons.</w:t>
      </w:r>
    </w:p>
    <w:p w14:paraId="4BD37B68" w14:textId="77777777"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2. Business Objectives</w:t>
      </w:r>
    </w:p>
    <w:p w14:paraId="0B32163B"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primary objectives of this analysis are to:</w:t>
      </w:r>
    </w:p>
    <w:p w14:paraId="1B8B99EC" w14:textId="77777777" w:rsidR="00E44DDC" w:rsidRPr="00E44DDC" w:rsidRDefault="00E44DDC" w:rsidP="00E44D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Evaluate overall business growth over a five-year period</w:t>
      </w:r>
    </w:p>
    <w:p w14:paraId="559CA6F5" w14:textId="77777777" w:rsidR="00E44DDC" w:rsidRPr="00E44DDC" w:rsidRDefault="00E44DDC" w:rsidP="00E44D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Understand revenue and customer trends by year and quarter</w:t>
      </w:r>
    </w:p>
    <w:p w14:paraId="75BDF5FE" w14:textId="77777777" w:rsidR="00E44DDC" w:rsidRPr="00E44DDC" w:rsidRDefault="00E44DDC" w:rsidP="00E44D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Identify top and bottom performing products, categories, employees, and states</w:t>
      </w:r>
    </w:p>
    <w:p w14:paraId="13930E2F" w14:textId="0F268DD9" w:rsidR="00E44DDC" w:rsidRPr="00E44DDC" w:rsidRDefault="00E44DDC" w:rsidP="00E44D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Assess employee sales performance based on quantity sold and earnings after discount</w:t>
      </w:r>
    </w:p>
    <w:p w14:paraId="0B93CCC3" w14:textId="1118FBA2" w:rsidR="00E44DDC" w:rsidRPr="00E44DDC" w:rsidRDefault="00E44DDC" w:rsidP="00E44D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Enable users to interact with the data and ask ad-hoc questions</w:t>
      </w:r>
    </w:p>
    <w:p w14:paraId="40230458" w14:textId="1617E578"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3. Data Summary</w:t>
      </w:r>
    </w:p>
    <w:p w14:paraId="1A6A83F4" w14:textId="7B459152"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dataset used for this analysis spans five consecutive years and includes sales, product, customer, employee, and geographic data. Key data attributes include:</w:t>
      </w:r>
    </w:p>
    <w:p w14:paraId="0354F545" w14:textId="77777777" w:rsidR="00E44DDC" w:rsidRPr="00E44DDC" w:rsidRDefault="00E44DDC" w:rsidP="00E44D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Transaction dates (year and quarter)</w:t>
      </w:r>
    </w:p>
    <w:p w14:paraId="6D52126F" w14:textId="77777777" w:rsidR="00E44DDC" w:rsidRPr="00E44DDC" w:rsidRDefault="00E44DDC" w:rsidP="00E44D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Revenue and earnings after discount</w:t>
      </w:r>
    </w:p>
    <w:p w14:paraId="009A1947" w14:textId="77777777" w:rsidR="00E44DDC" w:rsidRPr="00E44DDC" w:rsidRDefault="00E44DDC" w:rsidP="00E44D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Product names and categories</w:t>
      </w:r>
    </w:p>
    <w:p w14:paraId="32C86108" w14:textId="77777777" w:rsidR="00E44DDC" w:rsidRPr="00E44DDC" w:rsidRDefault="00E44DDC" w:rsidP="00E44D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Customer identifiers</w:t>
      </w:r>
    </w:p>
    <w:p w14:paraId="4C3F3823" w14:textId="77777777" w:rsidR="00E44DDC" w:rsidRPr="00E44DDC" w:rsidRDefault="00E44DDC" w:rsidP="00E44D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Employee sales records</w:t>
      </w:r>
    </w:p>
    <w:p w14:paraId="30597FF4" w14:textId="77777777" w:rsidR="00E44DDC" w:rsidRPr="00E44DDC" w:rsidRDefault="00E44DDC" w:rsidP="00E44D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States served</w:t>
      </w:r>
    </w:p>
    <w:p w14:paraId="748E7EB7"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Data preparation involved cleaning missing values, validating date fields, and ensuring consistency across product and employee dimensions to support accurate time-based analysis.</w:t>
      </w:r>
    </w:p>
    <w:p w14:paraId="19A032D6" w14:textId="77777777"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4. High-Level Performance Indicators</w:t>
      </w:r>
    </w:p>
    <w:p w14:paraId="31CAF510"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dashboard provides a high-level snapshot of organisational performance through the following indicators:</w:t>
      </w:r>
    </w:p>
    <w:p w14:paraId="52283EED" w14:textId="77777777" w:rsidR="00E44DDC" w:rsidRPr="00E44DDC" w:rsidRDefault="00E44DDC" w:rsidP="00E44D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b/>
          <w:bCs/>
          <w:sz w:val="24"/>
          <w:szCs w:val="24"/>
          <w:lang w:eastAsia="en-GB"/>
        </w:rPr>
        <w:t>Total Revenue by Year</w:t>
      </w:r>
      <w:r w:rsidRPr="00E44DDC">
        <w:rPr>
          <w:rFonts w:ascii="Times New Roman" w:eastAsia="Times New Roman" w:hAnsi="Times New Roman" w:cs="Times New Roman"/>
          <w:sz w:val="24"/>
          <w:szCs w:val="24"/>
          <w:lang w:eastAsia="en-GB"/>
        </w:rPr>
        <w:t xml:space="preserve"> showing overall financial growth and fluctuations</w:t>
      </w:r>
    </w:p>
    <w:p w14:paraId="6D02FB50" w14:textId="77777777" w:rsidR="00E44DDC" w:rsidRPr="00E44DDC" w:rsidRDefault="00E44DDC" w:rsidP="00E44D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b/>
          <w:bCs/>
          <w:sz w:val="24"/>
          <w:szCs w:val="24"/>
          <w:lang w:eastAsia="en-GB"/>
        </w:rPr>
        <w:t>Total Number of Customers by Year</w:t>
      </w:r>
      <w:r w:rsidRPr="00E44DDC">
        <w:rPr>
          <w:rFonts w:ascii="Times New Roman" w:eastAsia="Times New Roman" w:hAnsi="Times New Roman" w:cs="Times New Roman"/>
          <w:sz w:val="24"/>
          <w:szCs w:val="24"/>
          <w:lang w:eastAsia="en-GB"/>
        </w:rPr>
        <w:t xml:space="preserve"> highlighting customer acquisition and retention trends</w:t>
      </w:r>
    </w:p>
    <w:p w14:paraId="26701783" w14:textId="07709DF6" w:rsidR="00E44DDC" w:rsidRPr="00E44DDC" w:rsidRDefault="00E44DDC" w:rsidP="00E44D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b/>
          <w:bCs/>
          <w:sz w:val="24"/>
          <w:szCs w:val="24"/>
          <w:lang w:eastAsia="en-GB"/>
        </w:rPr>
        <w:lastRenderedPageBreak/>
        <w:t>Total Employees</w:t>
      </w:r>
      <w:r w:rsidRPr="00E44DDC">
        <w:rPr>
          <w:rFonts w:ascii="Times New Roman" w:eastAsia="Times New Roman" w:hAnsi="Times New Roman" w:cs="Times New Roman"/>
          <w:sz w:val="24"/>
          <w:szCs w:val="24"/>
          <w:lang w:eastAsia="en-GB"/>
        </w:rPr>
        <w:t xml:space="preserve"> representing organisational sales capacity</w:t>
      </w:r>
    </w:p>
    <w:p w14:paraId="3542C259" w14:textId="43AD867D" w:rsidR="00E44DDC" w:rsidRPr="00E44DDC" w:rsidRDefault="00E44DDC" w:rsidP="00E44D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b/>
          <w:bCs/>
          <w:sz w:val="24"/>
          <w:szCs w:val="24"/>
          <w:lang w:eastAsia="en-GB"/>
        </w:rPr>
        <w:t>Total States Served</w:t>
      </w:r>
      <w:r w:rsidRPr="00E44DDC">
        <w:rPr>
          <w:rFonts w:ascii="Times New Roman" w:eastAsia="Times New Roman" w:hAnsi="Times New Roman" w:cs="Times New Roman"/>
          <w:sz w:val="24"/>
          <w:szCs w:val="24"/>
          <w:lang w:eastAsia="en-GB"/>
        </w:rPr>
        <w:t xml:space="preserve"> reflecting geographic reach</w:t>
      </w:r>
    </w:p>
    <w:p w14:paraId="5D26AE4A" w14:textId="51C21FB6" w:rsidR="00E44DDC" w:rsidRPr="00E44DDC" w:rsidRDefault="00E44DDC" w:rsidP="00E44D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b/>
          <w:bCs/>
          <w:sz w:val="24"/>
          <w:szCs w:val="24"/>
          <w:lang w:eastAsia="en-GB"/>
        </w:rPr>
        <w:t>Total Products on Offer</w:t>
      </w:r>
      <w:r w:rsidRPr="00E44DDC">
        <w:rPr>
          <w:rFonts w:ascii="Times New Roman" w:eastAsia="Times New Roman" w:hAnsi="Times New Roman" w:cs="Times New Roman"/>
          <w:sz w:val="24"/>
          <w:szCs w:val="24"/>
          <w:lang w:eastAsia="en-GB"/>
        </w:rPr>
        <w:t xml:space="preserve"> and </w:t>
      </w:r>
      <w:r w:rsidRPr="00E44DDC">
        <w:rPr>
          <w:rFonts w:ascii="Times New Roman" w:eastAsia="Times New Roman" w:hAnsi="Times New Roman" w:cs="Times New Roman"/>
          <w:b/>
          <w:bCs/>
          <w:sz w:val="24"/>
          <w:szCs w:val="24"/>
          <w:lang w:eastAsia="en-GB"/>
        </w:rPr>
        <w:t>Total Product Categories</w:t>
      </w:r>
      <w:r w:rsidRPr="00E44DDC">
        <w:rPr>
          <w:rFonts w:ascii="Times New Roman" w:eastAsia="Times New Roman" w:hAnsi="Times New Roman" w:cs="Times New Roman"/>
          <w:sz w:val="24"/>
          <w:szCs w:val="24"/>
          <w:lang w:eastAsia="en-GB"/>
        </w:rPr>
        <w:t xml:space="preserve"> indicating portfolio breadth</w:t>
      </w:r>
    </w:p>
    <w:p w14:paraId="2FF9448B" w14:textId="26DB9CEB"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These KPIs allow stakeholders to quickly assess scale, growth, and business complexity.</w:t>
      </w:r>
    </w:p>
    <w:p w14:paraId="08C76569" w14:textId="1C4E4002"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5. Revenue Analysis</w:t>
      </w:r>
    </w:p>
    <w:p w14:paraId="648A299C" w14:textId="7E8FDE63" w:rsidR="00E44DDC" w:rsidRPr="00E44DDC" w:rsidRDefault="00E44DDC" w:rsidP="00E44D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44DDC">
        <w:rPr>
          <w:rFonts w:ascii="Times New Roman" w:eastAsia="Times New Roman" w:hAnsi="Times New Roman" w:cs="Times New Roman"/>
          <w:b/>
          <w:bCs/>
          <w:sz w:val="27"/>
          <w:szCs w:val="27"/>
          <w:lang w:eastAsia="en-GB"/>
        </w:rPr>
        <w:t>5.1 Total Revenue by Year</w:t>
      </w:r>
    </w:p>
    <w:p w14:paraId="236B35EB" w14:textId="34023021"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yearly revenue visualisation demonstrates how the business has performed over the five-year period. Clear year-on-year changes highlight growth phases as well as any periods of slowdown. This supports strategic evaluation of long-term performance.</w:t>
      </w:r>
    </w:p>
    <w:p w14:paraId="63002F97" w14:textId="7656B76E" w:rsidR="00E44DDC" w:rsidRPr="00E44DDC" w:rsidRDefault="00E44DDC" w:rsidP="00E44D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44DDC">
        <w:rPr>
          <w:rFonts w:ascii="Times New Roman" w:eastAsia="Times New Roman" w:hAnsi="Times New Roman" w:cs="Times New Roman"/>
          <w:b/>
          <w:bCs/>
          <w:sz w:val="27"/>
          <w:szCs w:val="27"/>
          <w:lang w:eastAsia="en-GB"/>
        </w:rPr>
        <w:t>5.2 Revenue by Quarter</w:t>
      </w:r>
    </w:p>
    <w:p w14:paraId="192EAF0A" w14:textId="1242E75E"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Quarterly revenue analysis identifies seasonality and demand concentration. Certain quarters consistently outperform others, indicating potential seasonal sales patterns. These insights can inform forecasting, inventory planning, and marketing strategies.</w:t>
      </w:r>
    </w:p>
    <w:p w14:paraId="2EFDDDCA" w14:textId="5D620A07" w:rsidR="00E44DDC" w:rsidRPr="00E44DDC" w:rsidRDefault="00D90A66"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2122">
        <w:drawing>
          <wp:anchor distT="0" distB="0" distL="114300" distR="114300" simplePos="0" relativeHeight="251658240" behindDoc="0" locked="0" layoutInCell="1" allowOverlap="1" wp14:anchorId="6B235A0E" wp14:editId="1527884F">
            <wp:simplePos x="0" y="0"/>
            <wp:positionH relativeFrom="margin">
              <wp:align>right</wp:align>
            </wp:positionH>
            <wp:positionV relativeFrom="paragraph">
              <wp:posOffset>436245</wp:posOffset>
            </wp:positionV>
            <wp:extent cx="5731510" cy="3263265"/>
            <wp:effectExtent l="0" t="0" r="2540" b="0"/>
            <wp:wrapThrough wrapText="bothSides">
              <wp:wrapPolygon edited="0">
                <wp:start x="0" y="0"/>
                <wp:lineTo x="0" y="21436"/>
                <wp:lineTo x="21538" y="21436"/>
                <wp:lineTo x="21538" y="0"/>
                <wp:lineTo x="0" y="0"/>
              </wp:wrapPolygon>
            </wp:wrapThrough>
            <wp:docPr id="123847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7631"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263265"/>
                    </a:xfrm>
                    <a:prstGeom prst="rect">
                      <a:avLst/>
                    </a:prstGeom>
                  </pic:spPr>
                </pic:pic>
              </a:graphicData>
            </a:graphic>
          </wp:anchor>
        </w:drawing>
      </w:r>
      <w:r w:rsidR="00E44DDC" w:rsidRPr="00E44DDC">
        <w:rPr>
          <w:rFonts w:ascii="Times New Roman" w:eastAsia="Times New Roman" w:hAnsi="Times New Roman" w:cs="Times New Roman"/>
          <w:b/>
          <w:bCs/>
          <w:sz w:val="36"/>
          <w:szCs w:val="36"/>
          <w:lang w:eastAsia="en-GB"/>
        </w:rPr>
        <w:t>6. Product Performance Analysis</w:t>
      </w:r>
    </w:p>
    <w:p w14:paraId="5C3248FA" w14:textId="33400A91" w:rsidR="00E44DDC" w:rsidRPr="00E44DDC" w:rsidRDefault="00E44DDC" w:rsidP="00E44D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44DDC">
        <w:rPr>
          <w:rFonts w:ascii="Times New Roman" w:eastAsia="Times New Roman" w:hAnsi="Times New Roman" w:cs="Times New Roman"/>
          <w:b/>
          <w:bCs/>
          <w:sz w:val="27"/>
          <w:szCs w:val="27"/>
          <w:lang w:eastAsia="en-GB"/>
        </w:rPr>
        <w:t>6.1 Top and Bottom 5 Products by Year</w:t>
      </w:r>
    </w:p>
    <w:p w14:paraId="10267A50" w14:textId="4731182D"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analysis highlights the top five and bottom five products for each year based on revenue contribution. High-performing products are key revenue drivers, while consistently underperforming products may require pricing review, repositioning, or discontinuation.</w:t>
      </w:r>
    </w:p>
    <w:p w14:paraId="2F2EFA39" w14:textId="4D704978" w:rsidR="00E44DDC" w:rsidRPr="00E44DDC" w:rsidRDefault="00E44DDC" w:rsidP="00E44D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44DDC">
        <w:rPr>
          <w:rFonts w:ascii="Times New Roman" w:eastAsia="Times New Roman" w:hAnsi="Times New Roman" w:cs="Times New Roman"/>
          <w:b/>
          <w:bCs/>
          <w:sz w:val="27"/>
          <w:szCs w:val="27"/>
          <w:lang w:eastAsia="en-GB"/>
        </w:rPr>
        <w:t>6.2 Top and Bottom 5 Product Categories by Year</w:t>
      </w:r>
    </w:p>
    <w:p w14:paraId="38422829" w14:textId="47BBEFDE"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lastRenderedPageBreak/>
        <w:t xml:space="preserve">Category-level analysis reveals which product groups contribute most to revenue and which </w:t>
      </w:r>
      <w:proofErr w:type="gramStart"/>
      <w:r w:rsidRPr="00E44DDC">
        <w:rPr>
          <w:rFonts w:ascii="Times New Roman" w:eastAsia="Times New Roman" w:hAnsi="Times New Roman" w:cs="Times New Roman"/>
          <w:sz w:val="24"/>
          <w:szCs w:val="24"/>
          <w:lang w:eastAsia="en-GB"/>
        </w:rPr>
        <w:t>lag behind</w:t>
      </w:r>
      <w:proofErr w:type="gramEnd"/>
      <w:r w:rsidRPr="00E44DDC">
        <w:rPr>
          <w:rFonts w:ascii="Times New Roman" w:eastAsia="Times New Roman" w:hAnsi="Times New Roman" w:cs="Times New Roman"/>
          <w:sz w:val="24"/>
          <w:szCs w:val="24"/>
          <w:lang w:eastAsia="en-GB"/>
        </w:rPr>
        <w:t>. This enables better portfolio management and supports strategic decisions around category expansion or optimisation.</w:t>
      </w:r>
    </w:p>
    <w:p w14:paraId="5D0B835C" w14:textId="77777777"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7. Employee Performance Analysis</w:t>
      </w:r>
    </w:p>
    <w:p w14:paraId="1DBB51CA"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Employee performance is analysed based on:</w:t>
      </w:r>
    </w:p>
    <w:p w14:paraId="363D8567" w14:textId="77777777" w:rsidR="00E44DDC" w:rsidRPr="00E44DDC" w:rsidRDefault="00E44DDC" w:rsidP="00E44D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Quantity sold</w:t>
      </w:r>
    </w:p>
    <w:p w14:paraId="7133A425" w14:textId="77777777" w:rsidR="00E44DDC" w:rsidRPr="00E44DDC" w:rsidRDefault="00E44DDC" w:rsidP="00E44D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Earnings after discount</w:t>
      </w:r>
    </w:p>
    <w:p w14:paraId="652D1693" w14:textId="77777777" w:rsidR="00E44DDC" w:rsidRPr="00E44DDC" w:rsidRDefault="00E44DDC" w:rsidP="00E44D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Yearly and quarterly performance</w:t>
      </w:r>
    </w:p>
    <w:p w14:paraId="0DC7FE6A" w14:textId="77777777" w:rsidR="00E44DDC" w:rsidRPr="00E44DDC" w:rsidRDefault="00E44DDC" w:rsidP="00E44D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44DDC">
        <w:rPr>
          <w:rFonts w:ascii="Times New Roman" w:eastAsia="Times New Roman" w:hAnsi="Times New Roman" w:cs="Times New Roman"/>
          <w:b/>
          <w:bCs/>
          <w:sz w:val="27"/>
          <w:szCs w:val="27"/>
          <w:lang w:eastAsia="en-GB"/>
        </w:rPr>
        <w:t>7.1 Top and Bottom 5 Sales Employees by Year</w:t>
      </w:r>
    </w:p>
    <w:p w14:paraId="4C77E965"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visualisation compares individual sales employees to identify top performers and those requiring performance support. This insight is valuable for incentive planning, training programmes, and workforce optimisation.</w:t>
      </w:r>
    </w:p>
    <w:p w14:paraId="2F41AD12" w14:textId="77777777"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8. Geographic Performance Analysis</w:t>
      </w:r>
    </w:p>
    <w:p w14:paraId="05995C2A" w14:textId="77777777" w:rsidR="00E44DDC" w:rsidRPr="00E44DDC" w:rsidRDefault="00E44DDC" w:rsidP="00E44DD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44DDC">
        <w:rPr>
          <w:rFonts w:ascii="Times New Roman" w:eastAsia="Times New Roman" w:hAnsi="Times New Roman" w:cs="Times New Roman"/>
          <w:b/>
          <w:bCs/>
          <w:sz w:val="27"/>
          <w:szCs w:val="27"/>
          <w:lang w:eastAsia="en-GB"/>
        </w:rPr>
        <w:t>8.1 Top and Bottom 5 Profitable States by Year</w:t>
      </w:r>
    </w:p>
    <w:p w14:paraId="67717BD1" w14:textId="40610510" w:rsid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State-level profitability analysis shows where the business performs strongest geographically. Top-performing states represent opportunities for further investment, while bottom-performing states may require targeted interventions or cost optimisation.</w:t>
      </w:r>
    </w:p>
    <w:p w14:paraId="587644A6" w14:textId="75E7FBC9" w:rsidR="00D90A66" w:rsidRPr="00E44DDC" w:rsidRDefault="00D90A66" w:rsidP="00E44DDC">
      <w:pPr>
        <w:spacing w:before="100" w:beforeAutospacing="1" w:after="100" w:afterAutospacing="1" w:line="240" w:lineRule="auto"/>
        <w:rPr>
          <w:rFonts w:ascii="Times New Roman" w:eastAsia="Times New Roman" w:hAnsi="Times New Roman" w:cs="Times New Roman"/>
          <w:sz w:val="24"/>
          <w:szCs w:val="24"/>
          <w:lang w:eastAsia="en-GB"/>
        </w:rPr>
      </w:pPr>
    </w:p>
    <w:p w14:paraId="07A7E27C" w14:textId="5FB33E56" w:rsidR="00E44DDC" w:rsidRPr="00E44DDC" w:rsidRDefault="00D90A66"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2122">
        <w:drawing>
          <wp:anchor distT="0" distB="0" distL="114300" distR="114300" simplePos="0" relativeHeight="251659264" behindDoc="0" locked="0" layoutInCell="1" allowOverlap="1" wp14:anchorId="2D5B4D8B" wp14:editId="36098A43">
            <wp:simplePos x="0" y="0"/>
            <wp:positionH relativeFrom="margin">
              <wp:posOffset>21523</wp:posOffset>
            </wp:positionH>
            <wp:positionV relativeFrom="paragraph">
              <wp:posOffset>315862</wp:posOffset>
            </wp:positionV>
            <wp:extent cx="5731510" cy="3274060"/>
            <wp:effectExtent l="0" t="0" r="2540" b="2540"/>
            <wp:wrapThrough wrapText="bothSides">
              <wp:wrapPolygon edited="0">
                <wp:start x="0" y="0"/>
                <wp:lineTo x="0" y="21491"/>
                <wp:lineTo x="21538" y="21491"/>
                <wp:lineTo x="21538" y="0"/>
                <wp:lineTo x="0" y="0"/>
              </wp:wrapPolygon>
            </wp:wrapThrough>
            <wp:docPr id="1680303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03476"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274060"/>
                    </a:xfrm>
                    <a:prstGeom prst="rect">
                      <a:avLst/>
                    </a:prstGeom>
                  </pic:spPr>
                </pic:pic>
              </a:graphicData>
            </a:graphic>
          </wp:anchor>
        </w:drawing>
      </w:r>
      <w:r w:rsidR="00E44DDC" w:rsidRPr="00E44DDC">
        <w:rPr>
          <w:rFonts w:ascii="Times New Roman" w:eastAsia="Times New Roman" w:hAnsi="Times New Roman" w:cs="Times New Roman"/>
          <w:b/>
          <w:bCs/>
          <w:sz w:val="36"/>
          <w:szCs w:val="36"/>
          <w:lang w:eastAsia="en-GB"/>
        </w:rPr>
        <w:t>9. Products Influencing Total Revenue</w:t>
      </w:r>
    </w:p>
    <w:p w14:paraId="4EA8758E"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lastRenderedPageBreak/>
        <w:t>This section focuses on identifying products with the greatest impact on overall revenue. A small number of high-impact products often contribute a significant share of total sales, highlighting the importance of protecting and strategically managing these key revenue drivers.</w:t>
      </w:r>
    </w:p>
    <w:p w14:paraId="2FB29F81" w14:textId="13C05349"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10. Customer Analysis</w:t>
      </w:r>
    </w:p>
    <w:p w14:paraId="729DE64F" w14:textId="77777777"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Customer trends over the five-year period provide insight into market growth and stability. Changes in customer numbers are analysed alongside revenue to understand whether growth is driven by increased customer volume, higher spending, or both.</w:t>
      </w:r>
    </w:p>
    <w:p w14:paraId="2E996BB9" w14:textId="59841235"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11. Interactive Q&amp;A and User Exploration</w:t>
      </w:r>
    </w:p>
    <w:p w14:paraId="4EC657F8" w14:textId="0DD992CF"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The report includes a Q&amp;A feature that allows users to ask natural language questions about the data. This enhances accessibility for non-technical stakeholders and supports self-service analytics without requiring advanced Power BI knowledge.</w:t>
      </w:r>
    </w:p>
    <w:p w14:paraId="2A29B50A" w14:textId="7BB49985" w:rsidR="00E44DDC" w:rsidRPr="00E44DDC" w:rsidRDefault="00D90A66"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062122">
        <w:drawing>
          <wp:anchor distT="0" distB="0" distL="114300" distR="114300" simplePos="0" relativeHeight="251660288" behindDoc="0" locked="0" layoutInCell="1" allowOverlap="1" wp14:anchorId="49DF5110" wp14:editId="76999225">
            <wp:simplePos x="0" y="0"/>
            <wp:positionH relativeFrom="margin">
              <wp:align>right</wp:align>
            </wp:positionH>
            <wp:positionV relativeFrom="paragraph">
              <wp:posOffset>-167</wp:posOffset>
            </wp:positionV>
            <wp:extent cx="5731510" cy="3245485"/>
            <wp:effectExtent l="0" t="0" r="2540" b="0"/>
            <wp:wrapThrough wrapText="bothSides">
              <wp:wrapPolygon edited="0">
                <wp:start x="0" y="0"/>
                <wp:lineTo x="0" y="21427"/>
                <wp:lineTo x="21538" y="21427"/>
                <wp:lineTo x="21538" y="0"/>
                <wp:lineTo x="0" y="0"/>
              </wp:wrapPolygon>
            </wp:wrapThrough>
            <wp:docPr id="393150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50612"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245485"/>
                    </a:xfrm>
                    <a:prstGeom prst="rect">
                      <a:avLst/>
                    </a:prstGeom>
                  </pic:spPr>
                </pic:pic>
              </a:graphicData>
            </a:graphic>
          </wp:anchor>
        </w:drawing>
      </w:r>
      <w:r w:rsidR="00E44DDC" w:rsidRPr="00E44DDC">
        <w:rPr>
          <w:rFonts w:ascii="Times New Roman" w:eastAsia="Times New Roman" w:hAnsi="Times New Roman" w:cs="Times New Roman"/>
          <w:b/>
          <w:bCs/>
          <w:sz w:val="36"/>
          <w:szCs w:val="36"/>
          <w:lang w:eastAsia="en-GB"/>
        </w:rPr>
        <w:t>12. Key Insights and Findings</w:t>
      </w:r>
    </w:p>
    <w:p w14:paraId="1D130259" w14:textId="57B822E6" w:rsidR="00E44DDC" w:rsidRPr="00E44DDC" w:rsidRDefault="00E44DDC" w:rsidP="00E44D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Revenue shows clear variation across years and quarters, indicating seasonality</w:t>
      </w:r>
    </w:p>
    <w:p w14:paraId="7D4DCF45" w14:textId="6012B575" w:rsidR="00E44DDC" w:rsidRPr="00E44DDC" w:rsidRDefault="00E44DDC" w:rsidP="00E44D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A small number of products and categories drive a large proportion of total revenue</w:t>
      </w:r>
    </w:p>
    <w:p w14:paraId="2D157A16" w14:textId="32325617" w:rsidR="00E44DDC" w:rsidRPr="00E44DDC" w:rsidRDefault="00E44DDC" w:rsidP="00E44D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Employee performance varies significantly, highlighting opportunities for targeted sales enablement</w:t>
      </w:r>
    </w:p>
    <w:p w14:paraId="2BF966C0" w14:textId="05DFF2CD" w:rsidR="00E44DDC" w:rsidRPr="00E44DDC" w:rsidRDefault="00E44DDC" w:rsidP="00E44D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Geographic performance is uneven, with certain states consistently more profitable</w:t>
      </w:r>
    </w:p>
    <w:p w14:paraId="19E7958A" w14:textId="6C191367" w:rsidR="00E44DDC" w:rsidRPr="00E44DDC" w:rsidRDefault="00E44DDC" w:rsidP="00E44DD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44DDC">
        <w:rPr>
          <w:rFonts w:ascii="Times New Roman" w:eastAsia="Times New Roman" w:hAnsi="Times New Roman" w:cs="Times New Roman"/>
          <w:b/>
          <w:bCs/>
          <w:sz w:val="36"/>
          <w:szCs w:val="36"/>
          <w:lang w:eastAsia="en-GB"/>
        </w:rPr>
        <w:t>13. Conclusion</w:t>
      </w:r>
    </w:p>
    <w:p w14:paraId="6460950A" w14:textId="55CE59B0"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lastRenderedPageBreak/>
        <w:t>This five-year sales performance analysis provides a clear, data-driven understanding of business performance across multiple dimensions. The Power BI visualisations support strategic decision-making by enabling users to explore trends, identify strengths and weaknesses, and ask ad-hoc questions.</w:t>
      </w:r>
    </w:p>
    <w:p w14:paraId="68428C87" w14:textId="09294ED3" w:rsidR="00E44DDC" w:rsidRPr="00E44DDC" w:rsidRDefault="00E44DDC" w:rsidP="00E44DDC">
      <w:pPr>
        <w:spacing w:before="100" w:beforeAutospacing="1" w:after="100" w:afterAutospacing="1" w:line="240" w:lineRule="auto"/>
        <w:rPr>
          <w:rFonts w:ascii="Times New Roman" w:eastAsia="Times New Roman" w:hAnsi="Times New Roman" w:cs="Times New Roman"/>
          <w:sz w:val="24"/>
          <w:szCs w:val="24"/>
          <w:lang w:eastAsia="en-GB"/>
        </w:rPr>
      </w:pPr>
      <w:r w:rsidRPr="00E44DDC">
        <w:rPr>
          <w:rFonts w:ascii="Times New Roman" w:eastAsia="Times New Roman" w:hAnsi="Times New Roman" w:cs="Times New Roman"/>
          <w:sz w:val="24"/>
          <w:szCs w:val="24"/>
          <w:lang w:eastAsia="en-GB"/>
        </w:rPr>
        <w:t>Overall, the report demonstrates how interactive data visualisation can transform raw sales data into meaningful business insights, aligning closely with the client’s reporting requirements for this capstone project.</w:t>
      </w:r>
    </w:p>
    <w:p w14:paraId="3F517877" w14:textId="77777777" w:rsidR="0095389E" w:rsidRDefault="0095389E"/>
    <w:sectPr w:rsidR="00953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74F0"/>
    <w:multiLevelType w:val="multilevel"/>
    <w:tmpl w:val="CE42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505F9"/>
    <w:multiLevelType w:val="multilevel"/>
    <w:tmpl w:val="A47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BA56CD"/>
    <w:multiLevelType w:val="multilevel"/>
    <w:tmpl w:val="6E2C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828A9"/>
    <w:multiLevelType w:val="multilevel"/>
    <w:tmpl w:val="362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C37DCD"/>
    <w:multiLevelType w:val="multilevel"/>
    <w:tmpl w:val="D286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40408">
    <w:abstractNumId w:val="2"/>
  </w:num>
  <w:num w:numId="2" w16cid:durableId="368654135">
    <w:abstractNumId w:val="0"/>
  </w:num>
  <w:num w:numId="3" w16cid:durableId="870074340">
    <w:abstractNumId w:val="4"/>
  </w:num>
  <w:num w:numId="4" w16cid:durableId="931427254">
    <w:abstractNumId w:val="1"/>
  </w:num>
  <w:num w:numId="5" w16cid:durableId="452677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DC"/>
    <w:rsid w:val="001021ED"/>
    <w:rsid w:val="0095389E"/>
    <w:rsid w:val="00BF09ED"/>
    <w:rsid w:val="00D90A66"/>
    <w:rsid w:val="00E44DD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D3B23"/>
  <w15:chartTrackingRefBased/>
  <w15:docId w15:val="{121F1291-87D4-4B1C-A354-28733D8D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DDC"/>
    <w:rPr>
      <w:rFonts w:eastAsiaTheme="majorEastAsia" w:cstheme="majorBidi"/>
      <w:color w:val="272727" w:themeColor="text1" w:themeTint="D8"/>
    </w:rPr>
  </w:style>
  <w:style w:type="paragraph" w:styleId="Title">
    <w:name w:val="Title"/>
    <w:basedOn w:val="Normal"/>
    <w:next w:val="Normal"/>
    <w:link w:val="TitleChar"/>
    <w:uiPriority w:val="10"/>
    <w:qFormat/>
    <w:rsid w:val="00E44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DDC"/>
    <w:pPr>
      <w:spacing w:before="160"/>
      <w:jc w:val="center"/>
    </w:pPr>
    <w:rPr>
      <w:i/>
      <w:iCs/>
      <w:color w:val="404040" w:themeColor="text1" w:themeTint="BF"/>
    </w:rPr>
  </w:style>
  <w:style w:type="character" w:customStyle="1" w:styleId="QuoteChar">
    <w:name w:val="Quote Char"/>
    <w:basedOn w:val="DefaultParagraphFont"/>
    <w:link w:val="Quote"/>
    <w:uiPriority w:val="29"/>
    <w:rsid w:val="00E44DDC"/>
    <w:rPr>
      <w:i/>
      <w:iCs/>
      <w:color w:val="404040" w:themeColor="text1" w:themeTint="BF"/>
    </w:rPr>
  </w:style>
  <w:style w:type="paragraph" w:styleId="ListParagraph">
    <w:name w:val="List Paragraph"/>
    <w:basedOn w:val="Normal"/>
    <w:uiPriority w:val="34"/>
    <w:qFormat/>
    <w:rsid w:val="00E44DDC"/>
    <w:pPr>
      <w:ind w:left="720"/>
      <w:contextualSpacing/>
    </w:pPr>
  </w:style>
  <w:style w:type="character" w:styleId="IntenseEmphasis">
    <w:name w:val="Intense Emphasis"/>
    <w:basedOn w:val="DefaultParagraphFont"/>
    <w:uiPriority w:val="21"/>
    <w:qFormat/>
    <w:rsid w:val="00E44DDC"/>
    <w:rPr>
      <w:i/>
      <w:iCs/>
      <w:color w:val="0F4761" w:themeColor="accent1" w:themeShade="BF"/>
    </w:rPr>
  </w:style>
  <w:style w:type="paragraph" w:styleId="IntenseQuote">
    <w:name w:val="Intense Quote"/>
    <w:basedOn w:val="Normal"/>
    <w:next w:val="Normal"/>
    <w:link w:val="IntenseQuoteChar"/>
    <w:uiPriority w:val="30"/>
    <w:qFormat/>
    <w:rsid w:val="00E44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DDC"/>
    <w:rPr>
      <w:i/>
      <w:iCs/>
      <w:color w:val="0F4761" w:themeColor="accent1" w:themeShade="BF"/>
    </w:rPr>
  </w:style>
  <w:style w:type="character" w:styleId="IntenseReference">
    <w:name w:val="Intense Reference"/>
    <w:basedOn w:val="DefaultParagraphFont"/>
    <w:uiPriority w:val="32"/>
    <w:qFormat/>
    <w:rsid w:val="00E44D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877</Words>
  <Characters>4999</Characters>
  <Application>Microsoft Office Word</Application>
  <DocSecurity>0</DocSecurity>
  <Lines>41</Lines>
  <Paragraphs>11</Paragraphs>
  <ScaleCrop>false</ScaleCrop>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Abeer Kareem</dc:creator>
  <cp:keywords/>
  <dc:description/>
  <cp:lastModifiedBy>Abeer Kareem</cp:lastModifiedBy>
  <cp:revision>2</cp:revision>
  <dcterms:created xsi:type="dcterms:W3CDTF">2026-02-17T11:18:00Z</dcterms:created>
  <dcterms:modified xsi:type="dcterms:W3CDTF">2026-02-17T11:41:00Z</dcterms:modified>
</cp:coreProperties>
</file>