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68C9C" w14:textId="50EFF42F" w:rsidR="00954AA6" w:rsidRPr="009315B1" w:rsidRDefault="00954AA6" w:rsidP="00F550BF">
      <w:pPr>
        <w:spacing w:line="480" w:lineRule="auto"/>
        <w:jc w:val="both"/>
        <w:rPr>
          <w:rFonts w:ascii="Arial" w:hAnsi="Arial" w:cs="Arial"/>
        </w:rPr>
      </w:pPr>
      <w:r w:rsidRPr="009315B1">
        <w:rPr>
          <w:rFonts w:ascii="Arial" w:hAnsi="Arial" w:cs="Arial"/>
        </w:rPr>
        <w:t>4-page report, with appendix allowed for non-essential stuff.</w:t>
      </w:r>
    </w:p>
    <w:p w14:paraId="2836235E" w14:textId="309BF1BC" w:rsidR="00954AA6" w:rsidRPr="009315B1" w:rsidRDefault="00954AA6" w:rsidP="00F550BF">
      <w:pPr>
        <w:spacing w:line="480" w:lineRule="auto"/>
        <w:jc w:val="both"/>
        <w:rPr>
          <w:rFonts w:ascii="Arial" w:hAnsi="Arial" w:cs="Arial"/>
        </w:rPr>
      </w:pPr>
      <w:r w:rsidRPr="009315B1">
        <w:rPr>
          <w:rFonts w:ascii="Arial" w:hAnsi="Arial" w:cs="Arial"/>
        </w:rPr>
        <w:t>12pm, Weds Wk1, 21 Jan.</w:t>
      </w:r>
    </w:p>
    <w:p w14:paraId="2B00CE77" w14:textId="1FAC3256" w:rsidR="00954AA6" w:rsidRPr="009315B1" w:rsidRDefault="00954AA6" w:rsidP="00F550BF">
      <w:pPr>
        <w:spacing w:line="480" w:lineRule="auto"/>
        <w:jc w:val="both"/>
        <w:rPr>
          <w:rFonts w:ascii="Arial" w:hAnsi="Arial" w:cs="Arial"/>
        </w:rPr>
      </w:pPr>
      <w:r w:rsidRPr="009315B1">
        <w:rPr>
          <w:rFonts w:ascii="Arial" w:hAnsi="Arial" w:cs="Arial"/>
        </w:rPr>
        <w:t>Include candidate number but not name or student number (see Student Self Service)</w:t>
      </w:r>
    </w:p>
    <w:p w14:paraId="0FEE80D3" w14:textId="5F2FC600" w:rsidR="00954AA6" w:rsidRPr="009315B1" w:rsidRDefault="00954AA6" w:rsidP="00F550BF">
      <w:pPr>
        <w:spacing w:line="480" w:lineRule="auto"/>
        <w:jc w:val="both"/>
        <w:rPr>
          <w:rFonts w:ascii="Arial" w:hAnsi="Arial" w:cs="Arial"/>
        </w:rPr>
      </w:pPr>
      <w:r w:rsidRPr="009315B1">
        <w:rPr>
          <w:rFonts w:ascii="Arial" w:hAnsi="Arial" w:cs="Arial"/>
        </w:rPr>
        <w:t>All pages numbered, margins of at least 20mm all-round, 11pt font, double-line spacing.</w:t>
      </w:r>
    </w:p>
    <w:p w14:paraId="44097C2B" w14:textId="1FDD427F" w:rsidR="00D55491" w:rsidRPr="009315B1" w:rsidRDefault="00954AA6" w:rsidP="00F550BF">
      <w:pPr>
        <w:pBdr>
          <w:top w:val="single" w:sz="12" w:space="1" w:color="auto"/>
          <w:bottom w:val="single" w:sz="12" w:space="1" w:color="auto"/>
        </w:pBdr>
        <w:spacing w:line="480" w:lineRule="auto"/>
        <w:jc w:val="both"/>
        <w:rPr>
          <w:rFonts w:ascii="Arial" w:hAnsi="Arial" w:cs="Arial"/>
        </w:rPr>
      </w:pPr>
      <w:r w:rsidRPr="009315B1">
        <w:rPr>
          <w:rFonts w:ascii="Arial" w:hAnsi="Arial" w:cs="Arial"/>
        </w:rPr>
        <w:t>Theoretically, the function u(x, t) should look like a translated version of the initial conditions (f(x) or g(x)) in this case, and the rate of translation is governed by c. If c is positive, u(x, t) should move in the positive x direction, and vice versa.</w:t>
      </w:r>
    </w:p>
    <w:p w14:paraId="512E7D5A" w14:textId="2E804EEB" w:rsidR="00D22FF0" w:rsidRPr="009315B1" w:rsidRDefault="00954AA6" w:rsidP="00F550BF">
      <w:pPr>
        <w:spacing w:line="480" w:lineRule="auto"/>
        <w:jc w:val="both"/>
        <w:rPr>
          <w:rFonts w:ascii="Arial" w:hAnsi="Arial" w:cs="Arial"/>
        </w:rPr>
      </w:pPr>
      <w:r w:rsidRPr="009315B1">
        <w:rPr>
          <w:rFonts w:ascii="Arial" w:hAnsi="Arial" w:cs="Arial"/>
          <w:b/>
          <w:bCs/>
        </w:rPr>
        <w:t>FTCS</w:t>
      </w:r>
    </w:p>
    <w:tbl>
      <w:tblPr>
        <w:tblStyle w:val="TableGrid"/>
        <w:tblW w:w="0" w:type="auto"/>
        <w:tblLook w:val="04A0" w:firstRow="1" w:lastRow="0" w:firstColumn="1" w:lastColumn="0" w:noHBand="0" w:noVBand="1"/>
      </w:tblPr>
      <w:tblGrid>
        <w:gridCol w:w="4708"/>
        <w:gridCol w:w="4642"/>
      </w:tblGrid>
      <w:tr w:rsidR="00D22FF0" w:rsidRPr="009315B1" w14:paraId="7BDA1DCE" w14:textId="77777777" w:rsidTr="00D22FF0">
        <w:tc>
          <w:tcPr>
            <w:tcW w:w="4675" w:type="dxa"/>
          </w:tcPr>
          <w:p w14:paraId="5EA040A8" w14:textId="6D6FACAC" w:rsidR="00D22FF0" w:rsidRPr="009315B1" w:rsidRDefault="00D22FF0" w:rsidP="00F550BF">
            <w:pPr>
              <w:spacing w:line="480" w:lineRule="auto"/>
              <w:jc w:val="both"/>
              <w:rPr>
                <w:rFonts w:ascii="Arial" w:hAnsi="Arial" w:cs="Arial"/>
              </w:rPr>
            </w:pPr>
            <w:r w:rsidRPr="009315B1">
              <w:rPr>
                <w:rFonts w:ascii="Arial" w:hAnsi="Arial" w:cs="Arial"/>
                <w:noProof/>
              </w:rPr>
              <w:drawing>
                <wp:inline distT="0" distB="0" distL="0" distR="0" wp14:anchorId="70404010" wp14:editId="75D2F7FD">
                  <wp:extent cx="2880429" cy="2518608"/>
                  <wp:effectExtent l="0" t="0" r="0" b="0"/>
                  <wp:docPr id="14852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67848" name="Picture 1"/>
                          <pic:cNvPicPr/>
                        </pic:nvPicPr>
                        <pic:blipFill>
                          <a:blip r:embed="rId4" cstate="print">
                            <a:extLst>
                              <a:ext uri="{28A0092B-C50C-407E-A947-70E740481C1C}">
                                <a14:useLocalDpi xmlns:a14="http://schemas.microsoft.com/office/drawing/2010/main" val="0"/>
                              </a:ext>
                            </a:extLst>
                          </a:blip>
                          <a:stretch>
                            <a:fillRect/>
                          </a:stretch>
                        </pic:blipFill>
                        <pic:spPr>
                          <a:xfrm>
                            <a:off x="0" y="0"/>
                            <a:ext cx="2880429" cy="2518608"/>
                          </a:xfrm>
                          <a:prstGeom prst="rect">
                            <a:avLst/>
                          </a:prstGeom>
                        </pic:spPr>
                      </pic:pic>
                    </a:graphicData>
                  </a:graphic>
                </wp:inline>
              </w:drawing>
            </w:r>
          </w:p>
        </w:tc>
        <w:tc>
          <w:tcPr>
            <w:tcW w:w="4675" w:type="dxa"/>
          </w:tcPr>
          <w:p w14:paraId="44DD60DF" w14:textId="68F5CF14" w:rsidR="00D22FF0" w:rsidRPr="009315B1" w:rsidRDefault="00D22FF0" w:rsidP="00F550BF">
            <w:pPr>
              <w:spacing w:line="480" w:lineRule="auto"/>
              <w:jc w:val="both"/>
              <w:rPr>
                <w:rFonts w:ascii="Arial" w:hAnsi="Arial" w:cs="Arial"/>
              </w:rPr>
            </w:pPr>
            <w:r w:rsidRPr="009315B1">
              <w:rPr>
                <w:rFonts w:ascii="Arial" w:hAnsi="Arial" w:cs="Arial"/>
                <w:noProof/>
              </w:rPr>
              <w:drawing>
                <wp:inline distT="0" distB="0" distL="0" distR="0" wp14:anchorId="39161B64" wp14:editId="5BA576FF">
                  <wp:extent cx="2831465" cy="2518410"/>
                  <wp:effectExtent l="0" t="0" r="6985" b="0"/>
                  <wp:docPr id="721844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891"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833928" cy="2520601"/>
                          </a:xfrm>
                          <a:prstGeom prst="rect">
                            <a:avLst/>
                          </a:prstGeom>
                        </pic:spPr>
                      </pic:pic>
                    </a:graphicData>
                  </a:graphic>
                </wp:inline>
              </w:drawing>
            </w:r>
          </w:p>
        </w:tc>
      </w:tr>
    </w:tbl>
    <w:p w14:paraId="242F7526" w14:textId="77777777" w:rsidR="00072AD1" w:rsidRPr="009315B1" w:rsidRDefault="00D22FF0" w:rsidP="00F550BF">
      <w:pPr>
        <w:spacing w:line="480" w:lineRule="auto"/>
        <w:jc w:val="both"/>
        <w:rPr>
          <w:rFonts w:ascii="Arial" w:hAnsi="Arial" w:cs="Arial"/>
        </w:rPr>
      </w:pPr>
      <w:r w:rsidRPr="009315B1">
        <w:rPr>
          <w:rFonts w:ascii="Arial" w:hAnsi="Arial" w:cs="Arial"/>
        </w:rPr>
        <w:tab/>
        <w:t>Above analysis with nx = 101, nt = 200, c = 2.5.</w:t>
      </w:r>
      <w:r w:rsidR="00495A35" w:rsidRPr="009315B1">
        <w:rPr>
          <w:rFonts w:ascii="Arial" w:hAnsi="Arial" w:cs="Arial"/>
        </w:rPr>
        <w:t xml:space="preserve"> It supports the hypothesis that FTCS is unstable, as the maximum and minimum points continually diverge outwards.</w:t>
      </w:r>
    </w:p>
    <w:p w14:paraId="1F1CC60F" w14:textId="3445635A" w:rsidR="00D264BD" w:rsidRPr="009315B1" w:rsidRDefault="00072AD1" w:rsidP="00F550BF">
      <w:pPr>
        <w:spacing w:line="480" w:lineRule="auto"/>
        <w:jc w:val="both"/>
        <w:rPr>
          <w:rFonts w:ascii="Arial" w:hAnsi="Arial" w:cs="Arial"/>
        </w:rPr>
      </w:pPr>
      <w:r w:rsidRPr="009315B1">
        <w:rPr>
          <w:rFonts w:ascii="Arial" w:hAnsi="Arial" w:cs="Arial"/>
        </w:rPr>
        <w:tab/>
        <w:t xml:space="preserve">To reduce timestep while keeping </w:t>
      </w:r>
      <m:oMath>
        <m:r>
          <w:rPr>
            <w:rFonts w:ascii="Cambria Math" w:hAnsi="Cambria Math" w:cs="Arial"/>
          </w:rPr>
          <m:t>C=</m:t>
        </m:r>
        <m:f>
          <m:fPr>
            <m:ctrlPr>
              <w:rPr>
                <w:rFonts w:ascii="Cambria Math" w:hAnsi="Cambria Math" w:cs="Arial"/>
                <w:i/>
              </w:rPr>
            </m:ctrlPr>
          </m:fPr>
          <m:num>
            <m:r>
              <w:rPr>
                <w:rFonts w:ascii="Cambria Math" w:hAnsi="Cambria Math" w:cs="Arial"/>
              </w:rPr>
              <m:t>c</m:t>
            </m:r>
            <m:r>
              <m:rPr>
                <m:sty m:val="p"/>
              </m:rPr>
              <w:rPr>
                <w:rFonts w:ascii="Cambria Math" w:hAnsi="Cambria Math" w:cs="Arial"/>
              </w:rPr>
              <m:t>Δ</m:t>
            </m:r>
            <m:r>
              <w:rPr>
                <w:rFonts w:ascii="Cambria Math" w:hAnsi="Cambria Math" w:cs="Arial"/>
              </w:rPr>
              <m:t>t</m:t>
            </m:r>
          </m:num>
          <m:den>
            <m:r>
              <m:rPr>
                <m:sty m:val="p"/>
              </m:rPr>
              <w:rPr>
                <w:rFonts w:ascii="Cambria Math" w:hAnsi="Cambria Math" w:cs="Arial"/>
              </w:rPr>
              <m:t>Δ</m:t>
            </m:r>
            <m:r>
              <w:rPr>
                <w:rFonts w:ascii="Cambria Math" w:hAnsi="Cambria Math" w:cs="Arial"/>
              </w:rPr>
              <m:t>x</m:t>
            </m:r>
          </m:den>
        </m:f>
      </m:oMath>
      <w:r w:rsidRPr="009315B1">
        <w:rPr>
          <w:rFonts w:ascii="Arial" w:hAnsi="Arial" w:cs="Arial"/>
        </w:rPr>
        <w:t xml:space="preserve"> constant, we can decrease </w:t>
      </w:r>
      <m:oMath>
        <m:r>
          <m:rPr>
            <m:sty m:val="p"/>
          </m:rPr>
          <w:rPr>
            <w:rFonts w:ascii="Cambria Math" w:hAnsi="Cambria Math" w:cs="Arial"/>
          </w:rPr>
          <m:t>Δ</m:t>
        </m:r>
        <m:r>
          <w:rPr>
            <w:rFonts w:ascii="Cambria Math" w:hAnsi="Cambria Math" w:cs="Arial"/>
          </w:rPr>
          <m:t>x</m:t>
        </m:r>
      </m:oMath>
      <w:r w:rsidRPr="009315B1">
        <w:rPr>
          <w:rFonts w:ascii="Arial" w:hAnsi="Arial" w:cs="Arial"/>
        </w:rPr>
        <w:t xml:space="preserve"> (because increasing c will change the problem completely). We decrease delta x </w:t>
      </w:r>
      <w:r w:rsidR="007B7137" w:rsidRPr="009315B1">
        <w:rPr>
          <w:rFonts w:ascii="Arial" w:hAnsi="Arial" w:cs="Arial"/>
        </w:rPr>
        <w:t xml:space="preserve">and delta t by increasing nx and nt (to 201 and 400 respectively, for example). </w:t>
      </w:r>
      <w:r w:rsidR="00D264BD" w:rsidRPr="009315B1">
        <w:rPr>
          <w:rFonts w:ascii="Arial" w:hAnsi="Arial" w:cs="Arial"/>
        </w:rPr>
        <w:t xml:space="preserve">However, we can be sure </w:t>
      </w:r>
      <w:r w:rsidR="00D264BD" w:rsidRPr="009315B1">
        <w:rPr>
          <w:rFonts w:ascii="Arial" w:hAnsi="Arial" w:cs="Arial"/>
        </w:rPr>
        <w:lastRenderedPageBreak/>
        <w:t xml:space="preserve">that doing this will not make it stable. As we keep </w:t>
      </w:r>
      <m:oMath>
        <m:r>
          <w:rPr>
            <w:rFonts w:ascii="Cambria Math" w:hAnsi="Cambria Math" w:cs="Arial"/>
          </w:rPr>
          <m:t>C</m:t>
        </m:r>
      </m:oMath>
      <w:r w:rsidR="00D264BD" w:rsidRPr="009315B1">
        <w:rPr>
          <w:rFonts w:ascii="Arial" w:hAnsi="Arial" w:cs="Arial"/>
        </w:rPr>
        <w:t xml:space="preserve"> constant, in </w:t>
      </w:r>
      <m:oMath>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ω</m:t>
                </m:r>
              </m:e>
              <m:sub>
                <m:r>
                  <w:rPr>
                    <w:rFonts w:ascii="Cambria Math" w:hAnsi="Cambria Math" w:cs="Arial"/>
                  </w:rPr>
                  <m:t>i</m:t>
                </m:r>
              </m:sub>
            </m:sSub>
            <m:r>
              <m:rPr>
                <m:sty m:val="p"/>
              </m:rPr>
              <w:rPr>
                <w:rFonts w:ascii="Cambria Math" w:hAnsi="Cambria Math" w:cs="Arial"/>
              </w:rPr>
              <m:t>Δ</m:t>
            </m:r>
            <m:r>
              <w:rPr>
                <w:rFonts w:ascii="Cambria Math" w:hAnsi="Cambria Math" w:cs="Arial"/>
              </w:rPr>
              <m:t>t</m:t>
            </m:r>
          </m:sup>
        </m:sSup>
        <m:r>
          <w:rPr>
            <w:rFonts w:ascii="Cambria Math" w:hAnsi="Cambria Math" w:cs="Arial"/>
          </w:rPr>
          <m:t>=</m:t>
        </m:r>
        <m:rad>
          <m:radPr>
            <m:degHide m:val="1"/>
            <m:ctrlPr>
              <w:rPr>
                <w:rFonts w:ascii="Cambria Math" w:hAnsi="Cambria Math" w:cs="Arial"/>
                <w:i/>
              </w:rPr>
            </m:ctrlPr>
          </m:radPr>
          <m:deg/>
          <m:e>
            <m:r>
              <w:rPr>
                <w:rFonts w:ascii="Cambria Math" w:hAnsi="Cambria Math" w:cs="Arial"/>
              </w:rPr>
              <m:t>1+</m:t>
            </m:r>
            <m:sSup>
              <m:sSupPr>
                <m:ctrlPr>
                  <w:rPr>
                    <w:rFonts w:ascii="Cambria Math" w:hAnsi="Cambria Math" w:cs="Arial"/>
                    <w:i/>
                  </w:rPr>
                </m:ctrlPr>
              </m:sSupPr>
              <m:e>
                <m:r>
                  <w:rPr>
                    <w:rFonts w:ascii="Cambria Math" w:hAnsi="Cambria Math" w:cs="Arial"/>
                  </w:rPr>
                  <m:t>C</m:t>
                </m:r>
              </m:e>
              <m:sup>
                <m:r>
                  <w:rPr>
                    <w:rFonts w:ascii="Cambria Math" w:hAnsi="Cambria Math" w:cs="Arial"/>
                  </w:rPr>
                  <m:t>2</m:t>
                </m:r>
              </m:sup>
            </m:sSup>
            <m:func>
              <m:funcPr>
                <m:ctrlPr>
                  <w:rPr>
                    <w:rFonts w:ascii="Cambria Math" w:hAnsi="Cambria Math" w:cs="Arial"/>
                    <w:i/>
                  </w:rPr>
                </m:ctrlPr>
              </m:funcPr>
              <m:fName>
                <m:sSup>
                  <m:sSupPr>
                    <m:ctrlPr>
                      <w:rPr>
                        <w:rFonts w:ascii="Cambria Math" w:hAnsi="Cambria Math" w:cs="Arial"/>
                      </w:rPr>
                    </m:ctrlPr>
                  </m:sSupPr>
                  <m:e>
                    <m:r>
                      <m:rPr>
                        <m:sty m:val="p"/>
                      </m:rPr>
                      <w:rPr>
                        <w:rFonts w:ascii="Cambria Math" w:hAnsi="Cambria Math" w:cs="Arial"/>
                      </w:rPr>
                      <m:t>sin</m:t>
                    </m:r>
                  </m:e>
                  <m:sup>
                    <m:r>
                      <m:rPr>
                        <m:sty m:val="p"/>
                      </m:rPr>
                      <w:rPr>
                        <w:rFonts w:ascii="Cambria Math" w:hAnsi="Cambria Math" w:cs="Arial"/>
                      </w:rPr>
                      <m:t>2</m:t>
                    </m:r>
                  </m:sup>
                </m:sSup>
              </m:fName>
              <m:e>
                <m:r>
                  <w:rPr>
                    <w:rFonts w:ascii="Cambria Math" w:hAnsi="Cambria Math" w:cs="Arial"/>
                  </w:rPr>
                  <m:t>k</m:t>
                </m:r>
                <m:r>
                  <m:rPr>
                    <m:sty m:val="p"/>
                  </m:rPr>
                  <w:rPr>
                    <w:rFonts w:ascii="Cambria Math" w:hAnsi="Cambria Math" w:cs="Arial"/>
                  </w:rPr>
                  <m:t>Δ</m:t>
                </m:r>
                <m:r>
                  <w:rPr>
                    <w:rFonts w:ascii="Cambria Math" w:hAnsi="Cambria Math" w:cs="Arial"/>
                  </w:rPr>
                  <m:t>x</m:t>
                </m:r>
              </m:e>
            </m:func>
          </m:e>
        </m:rad>
      </m:oMath>
      <w:r w:rsidR="00D264BD" w:rsidRPr="009315B1">
        <w:rPr>
          <w:rFonts w:ascii="Arial" w:hAnsi="Arial" w:cs="Arial"/>
        </w:rPr>
        <w:t xml:space="preserve">, we keep the right hand side constant in magnitude, so the left hand side is also constant in magnitude. However, the factor of </w:t>
      </w:r>
      <m:oMath>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ω</m:t>
                </m:r>
              </m:e>
              <m:sub>
                <m:r>
                  <w:rPr>
                    <w:rFonts w:ascii="Cambria Math" w:hAnsi="Cambria Math" w:cs="Arial"/>
                  </w:rPr>
                  <m:t>i</m:t>
                </m:r>
              </m:sub>
            </m:sSub>
            <m:r>
              <m:rPr>
                <m:sty m:val="p"/>
              </m:rPr>
              <w:rPr>
                <w:rFonts w:ascii="Cambria Math" w:hAnsi="Cambria Math" w:cs="Arial"/>
              </w:rPr>
              <m:t>Δ</m:t>
            </m:r>
            <m:r>
              <w:rPr>
                <w:rFonts w:ascii="Cambria Math" w:hAnsi="Cambria Math" w:cs="Arial"/>
              </w:rPr>
              <m:t>t</m:t>
            </m:r>
          </m:sup>
        </m:sSup>
      </m:oMath>
      <w:r w:rsidR="00D264BD" w:rsidRPr="009315B1">
        <w:rPr>
          <w:rFonts w:ascii="Arial" w:hAnsi="Arial" w:cs="Arial"/>
        </w:rPr>
        <w:t xml:space="preserve"> is a magnification factor that is applied at each timestep, as in in equation (11) of the worksheet. Thus, by decreasing the timestep, we increase the number of iterations and so the number of times this magnification term is compounded, leading to a larger overall deviation from the ideal solution.</w:t>
      </w:r>
    </w:p>
    <w:p w14:paraId="6131F7A8" w14:textId="637BBD4E" w:rsidR="00D22FF0" w:rsidRPr="009315B1" w:rsidRDefault="00D264BD" w:rsidP="00F550BF">
      <w:pPr>
        <w:spacing w:line="480" w:lineRule="auto"/>
        <w:jc w:val="both"/>
        <w:rPr>
          <w:rFonts w:ascii="Arial" w:hAnsi="Arial" w:cs="Arial"/>
        </w:rPr>
      </w:pPr>
      <w:r w:rsidRPr="009315B1">
        <w:rPr>
          <w:rFonts w:ascii="Arial" w:hAnsi="Arial" w:cs="Arial"/>
        </w:rPr>
        <w:tab/>
        <w:t>This is supported by the following simulation. W</w:t>
      </w:r>
      <w:r w:rsidR="007B7137" w:rsidRPr="009315B1">
        <w:rPr>
          <w:rFonts w:ascii="Arial" w:hAnsi="Arial" w:cs="Arial"/>
        </w:rPr>
        <w:t xml:space="preserve">ith this configuration, the performance is </w:t>
      </w:r>
      <w:r w:rsidR="00213765" w:rsidRPr="009315B1">
        <w:rPr>
          <w:rFonts w:ascii="Arial" w:hAnsi="Arial" w:cs="Arial"/>
        </w:rPr>
        <w:t>similar up</w:t>
      </w:r>
      <w:r w:rsidR="00604073" w:rsidRPr="009315B1">
        <w:rPr>
          <w:rFonts w:ascii="Arial" w:hAnsi="Arial" w:cs="Arial"/>
        </w:rPr>
        <w:t xml:space="preserve"> until about t = 0.75s</w:t>
      </w:r>
      <w:r w:rsidR="00213765" w:rsidRPr="009315B1">
        <w:rPr>
          <w:rFonts w:ascii="Arial" w:hAnsi="Arial" w:cs="Arial"/>
        </w:rPr>
        <w:t xml:space="preserve">, where the new configuration has more vigorous oscillations, both in terms of oscillation amplitude and wavenumber. After that, however, </w:t>
      </w:r>
      <w:r w:rsidR="00604073" w:rsidRPr="009315B1">
        <w:rPr>
          <w:rFonts w:ascii="Arial" w:hAnsi="Arial" w:cs="Arial"/>
        </w:rPr>
        <w:t xml:space="preserve">suddenly the deviation from the ideal solution is amplified (compare the t = 1.00s plots. Note t = 0.99s and t = 1.00s both resemble the final snapshot, just that the second one having nt = 400 means the divisions are more refined so it is closer to t = 1.00s). However, approximately, the shapes of the graph at the final snapshot is similar. You can make out the point of division between the forward distortion and the backward distortion. Moreover, the envelope of the forward distortion still has some resemblance to the original bell-shape. The minimum and maximum points at the final snapshot also occur at similar </w:t>
      </w:r>
      <w:r w:rsidRPr="009315B1">
        <w:rPr>
          <w:rFonts w:ascii="Arial" w:hAnsi="Arial" w:cs="Arial"/>
        </w:rPr>
        <w:t xml:space="preserve">positions. </w:t>
      </w:r>
    </w:p>
    <w:p w14:paraId="1CF8339B" w14:textId="5746052C" w:rsidR="007B7137" w:rsidRPr="009315B1" w:rsidRDefault="007B7137" w:rsidP="00F550BF">
      <w:pPr>
        <w:pBdr>
          <w:bottom w:val="single" w:sz="12" w:space="1" w:color="auto"/>
        </w:pBdr>
        <w:spacing w:line="480" w:lineRule="auto"/>
        <w:jc w:val="both"/>
        <w:rPr>
          <w:rFonts w:ascii="Arial" w:hAnsi="Arial" w:cs="Arial"/>
        </w:rPr>
      </w:pPr>
      <w:r w:rsidRPr="009315B1">
        <w:rPr>
          <w:rFonts w:ascii="Arial" w:hAnsi="Arial" w:cs="Arial"/>
          <w:noProof/>
        </w:rPr>
        <w:lastRenderedPageBreak/>
        <w:drawing>
          <wp:inline distT="0" distB="0" distL="0" distR="0" wp14:anchorId="344146B9" wp14:editId="148C0B98">
            <wp:extent cx="4373129" cy="3651111"/>
            <wp:effectExtent l="0" t="0" r="8890" b="6985"/>
            <wp:docPr id="18293173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17332" name="Pictur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73129" cy="3651111"/>
                    </a:xfrm>
                    <a:prstGeom prst="rect">
                      <a:avLst/>
                    </a:prstGeom>
                  </pic:spPr>
                </pic:pic>
              </a:graphicData>
            </a:graphic>
          </wp:inline>
        </w:drawing>
      </w:r>
    </w:p>
    <w:p w14:paraId="6B7562AB" w14:textId="0E1C4137" w:rsidR="00213765" w:rsidRPr="009315B1" w:rsidRDefault="00213765" w:rsidP="00F550BF">
      <w:pPr>
        <w:spacing w:line="480" w:lineRule="auto"/>
        <w:jc w:val="both"/>
        <w:rPr>
          <w:rFonts w:ascii="Arial" w:hAnsi="Arial" w:cs="Arial"/>
          <w:b/>
          <w:bCs/>
        </w:rPr>
      </w:pPr>
      <w:r w:rsidRPr="009315B1">
        <w:rPr>
          <w:rFonts w:ascii="Arial" w:hAnsi="Arial" w:cs="Arial"/>
          <w:b/>
          <w:bCs/>
        </w:rPr>
        <w:t>Lax-Friedrichs</w:t>
      </w:r>
    </w:p>
    <w:tbl>
      <w:tblPr>
        <w:tblStyle w:val="TableGrid"/>
        <w:tblW w:w="0" w:type="auto"/>
        <w:tblLook w:val="04A0" w:firstRow="1" w:lastRow="0" w:firstColumn="1" w:lastColumn="0" w:noHBand="0" w:noVBand="1"/>
      </w:tblPr>
      <w:tblGrid>
        <w:gridCol w:w="4686"/>
        <w:gridCol w:w="4664"/>
      </w:tblGrid>
      <w:tr w:rsidR="00213765" w:rsidRPr="009315B1" w14:paraId="474BE563" w14:textId="77777777" w:rsidTr="00C057BB">
        <w:tc>
          <w:tcPr>
            <w:tcW w:w="4675" w:type="dxa"/>
          </w:tcPr>
          <w:p w14:paraId="7CCF8AE9" w14:textId="77777777" w:rsidR="00213765" w:rsidRPr="009315B1" w:rsidRDefault="00213765" w:rsidP="00F550BF">
            <w:pPr>
              <w:spacing w:line="480" w:lineRule="auto"/>
              <w:jc w:val="both"/>
              <w:rPr>
                <w:rFonts w:ascii="Arial" w:hAnsi="Arial" w:cs="Arial"/>
              </w:rPr>
            </w:pPr>
            <w:r w:rsidRPr="009315B1">
              <w:rPr>
                <w:rFonts w:ascii="Arial" w:hAnsi="Arial" w:cs="Arial"/>
                <w:noProof/>
              </w:rPr>
              <w:drawing>
                <wp:inline distT="0" distB="0" distL="0" distR="0" wp14:anchorId="45ABE8F9" wp14:editId="156310E6">
                  <wp:extent cx="2836197" cy="2464790"/>
                  <wp:effectExtent l="0" t="0" r="2540" b="0"/>
                  <wp:docPr id="187728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85576"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36197" cy="2464790"/>
                          </a:xfrm>
                          <a:prstGeom prst="rect">
                            <a:avLst/>
                          </a:prstGeom>
                        </pic:spPr>
                      </pic:pic>
                    </a:graphicData>
                  </a:graphic>
                </wp:inline>
              </w:drawing>
            </w:r>
          </w:p>
        </w:tc>
        <w:tc>
          <w:tcPr>
            <w:tcW w:w="4675" w:type="dxa"/>
          </w:tcPr>
          <w:p w14:paraId="4111147D" w14:textId="77777777" w:rsidR="00213765" w:rsidRPr="009315B1" w:rsidRDefault="00213765" w:rsidP="00F550BF">
            <w:pPr>
              <w:spacing w:line="480" w:lineRule="auto"/>
              <w:jc w:val="both"/>
              <w:rPr>
                <w:rFonts w:ascii="Arial" w:hAnsi="Arial" w:cs="Arial"/>
              </w:rPr>
            </w:pPr>
            <w:r w:rsidRPr="009315B1">
              <w:rPr>
                <w:rFonts w:ascii="Arial" w:hAnsi="Arial" w:cs="Arial"/>
                <w:noProof/>
              </w:rPr>
              <w:drawing>
                <wp:inline distT="0" distB="0" distL="0" distR="0" wp14:anchorId="226D3AB3" wp14:editId="43685A75">
                  <wp:extent cx="2699297" cy="2369530"/>
                  <wp:effectExtent l="0" t="0" r="6350" b="0"/>
                  <wp:docPr id="77012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239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99297" cy="2369530"/>
                          </a:xfrm>
                          <a:prstGeom prst="rect">
                            <a:avLst/>
                          </a:prstGeom>
                        </pic:spPr>
                      </pic:pic>
                    </a:graphicData>
                  </a:graphic>
                </wp:inline>
              </w:drawing>
            </w:r>
          </w:p>
        </w:tc>
      </w:tr>
    </w:tbl>
    <w:p w14:paraId="5D4C3996" w14:textId="77777777" w:rsidR="009315B1" w:rsidRDefault="00213765" w:rsidP="00F550BF">
      <w:pPr>
        <w:spacing w:line="480" w:lineRule="auto"/>
        <w:jc w:val="both"/>
        <w:rPr>
          <w:rFonts w:ascii="Arial" w:hAnsi="Arial" w:cs="Arial"/>
        </w:rPr>
      </w:pPr>
      <w:r w:rsidRPr="009315B1">
        <w:rPr>
          <w:rFonts w:ascii="Arial" w:hAnsi="Arial" w:cs="Arial"/>
        </w:rPr>
        <w:t>At the base configuration, this is stable</w:t>
      </w:r>
      <w:r w:rsidR="005D7C52" w:rsidRPr="009315B1">
        <w:rPr>
          <w:rFonts w:ascii="Arial" w:hAnsi="Arial" w:cs="Arial"/>
        </w:rPr>
        <w:t xml:space="preserve">. There is no distortion like FTCS, but we can see </w:t>
      </w:r>
      <w:r w:rsidR="009315B1" w:rsidRPr="009315B1">
        <w:rPr>
          <w:rFonts w:ascii="Arial" w:hAnsi="Arial" w:cs="Arial"/>
        </w:rPr>
        <w:t xml:space="preserve">new </w:t>
      </w:r>
      <w:r w:rsidR="005D7C52" w:rsidRPr="009315B1">
        <w:rPr>
          <w:rFonts w:ascii="Arial" w:hAnsi="Arial" w:cs="Arial"/>
        </w:rPr>
        <w:t xml:space="preserve">dispersive effects here. For both cases, the waveform spreads out as it propagates over time. </w:t>
      </w:r>
      <w:r w:rsidR="009315B1" w:rsidRPr="009315B1">
        <w:rPr>
          <w:rFonts w:ascii="Arial" w:hAnsi="Arial" w:cs="Arial"/>
        </w:rPr>
        <w:t>This is because of taking the average of values neighbouring in space</w:t>
      </w:r>
      <w:r w:rsidR="009315B1">
        <w:rPr>
          <w:rFonts w:ascii="Arial" w:hAnsi="Arial" w:cs="Arial"/>
        </w:rPr>
        <w:t xml:space="preserve">. This </w:t>
      </w:r>
      <w:r w:rsidR="009315B1">
        <w:rPr>
          <w:rFonts w:ascii="Arial" w:hAnsi="Arial" w:cs="Arial"/>
        </w:rPr>
        <w:lastRenderedPageBreak/>
        <w:t>constant averaging, coupled with the edges being fixed at 0, will mean that the waveform tends to 0 in the limit of infinite time and iterations</w:t>
      </w:r>
      <w:r w:rsidR="009315B1" w:rsidRPr="009315B1">
        <w:rPr>
          <w:rFonts w:ascii="Arial" w:hAnsi="Arial" w:cs="Arial"/>
        </w:rPr>
        <w:t>.</w:t>
      </w:r>
    </w:p>
    <w:p w14:paraId="70486AA7" w14:textId="77777777" w:rsidR="00F550BF" w:rsidRDefault="005D7C52" w:rsidP="00F550BF">
      <w:pPr>
        <w:spacing w:line="480" w:lineRule="auto"/>
        <w:jc w:val="both"/>
        <w:rPr>
          <w:rFonts w:ascii="Arial" w:hAnsi="Arial" w:cs="Arial"/>
        </w:rPr>
      </w:pPr>
      <w:r w:rsidRPr="009315B1">
        <w:rPr>
          <w:rFonts w:ascii="Arial" w:hAnsi="Arial" w:cs="Arial"/>
        </w:rPr>
        <w:t>For the case of initial f(x), as the initial condition is symmetric (about the max point), and the algorithm does not have any magnification factor like FTCS, the resulting solution is also symmetric (about the max point) (until it hits the boundary).</w:t>
      </w:r>
      <w:r w:rsidR="009315B1">
        <w:rPr>
          <w:rFonts w:ascii="Arial" w:hAnsi="Arial" w:cs="Arial"/>
        </w:rPr>
        <w:t xml:space="preserve"> Also, as the initial condition has no discontinuities, the time evolution continues to be smooth as it spreads out.</w:t>
      </w:r>
    </w:p>
    <w:p w14:paraId="5038E60A" w14:textId="2FC1F8FE" w:rsidR="00954AA6" w:rsidRPr="009315B1" w:rsidRDefault="009315B1" w:rsidP="00F550BF">
      <w:pPr>
        <w:spacing w:line="480" w:lineRule="auto"/>
        <w:jc w:val="both"/>
        <w:rPr>
          <w:rFonts w:ascii="Arial" w:hAnsi="Arial" w:cs="Arial"/>
        </w:rPr>
      </w:pPr>
      <w:r>
        <w:rPr>
          <w:rFonts w:ascii="Arial" w:hAnsi="Arial" w:cs="Arial"/>
        </w:rPr>
        <w:t>Meanwhile, for initial g(x), because of the discontinuity at x = 1, especially as the left-limit and right-limit at that point is, relatively, very different, the first timestep introduces one non-differentiable peak. This non-differentiable peak</w:t>
      </w:r>
      <w:r w:rsidR="00F550BF">
        <w:rPr>
          <w:rFonts w:ascii="Arial" w:hAnsi="Arial" w:cs="Arial"/>
        </w:rPr>
        <w:t xml:space="preserve"> then produces another non-differentiable peak at the next timestep, thus there is theoretically a linear relationship between the number of non-differentiable peaks and the number of timesteps. However, as the waveform still tends to a constant 0 in the limit of infinite time, the non-differentiable peaks “smoothen out” over time. This is illustrated by how the graph at t = 0.99s has less vigorous peaks than at t = 0.33s.</w:t>
      </w:r>
    </w:p>
    <w:sectPr w:rsidR="00954AA6" w:rsidRPr="009315B1" w:rsidSect="00D70F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DE7"/>
    <w:rsid w:val="00072AD1"/>
    <w:rsid w:val="00077192"/>
    <w:rsid w:val="00175CD6"/>
    <w:rsid w:val="001C6056"/>
    <w:rsid w:val="00213765"/>
    <w:rsid w:val="00255468"/>
    <w:rsid w:val="002C0E2E"/>
    <w:rsid w:val="003639B9"/>
    <w:rsid w:val="003A5473"/>
    <w:rsid w:val="004956DA"/>
    <w:rsid w:val="00495A35"/>
    <w:rsid w:val="00570DE7"/>
    <w:rsid w:val="005D7C52"/>
    <w:rsid w:val="00604073"/>
    <w:rsid w:val="007B7137"/>
    <w:rsid w:val="007E1672"/>
    <w:rsid w:val="008A689B"/>
    <w:rsid w:val="008F16CD"/>
    <w:rsid w:val="009315B1"/>
    <w:rsid w:val="00954AA6"/>
    <w:rsid w:val="00BC6298"/>
    <w:rsid w:val="00BE38EA"/>
    <w:rsid w:val="00CC5E01"/>
    <w:rsid w:val="00CF33C8"/>
    <w:rsid w:val="00D06033"/>
    <w:rsid w:val="00D12A3F"/>
    <w:rsid w:val="00D22FF0"/>
    <w:rsid w:val="00D264BD"/>
    <w:rsid w:val="00D55491"/>
    <w:rsid w:val="00D70F0E"/>
    <w:rsid w:val="00DE2C85"/>
    <w:rsid w:val="00E56E7A"/>
    <w:rsid w:val="00E909E1"/>
    <w:rsid w:val="00F550BF"/>
    <w:rsid w:val="00FE1F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4CD75"/>
  <w15:chartTrackingRefBased/>
  <w15:docId w15:val="{1EB198FB-56D0-4237-8B7C-B5AB040C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765"/>
  </w:style>
  <w:style w:type="paragraph" w:styleId="Heading1">
    <w:name w:val="heading 1"/>
    <w:basedOn w:val="Normal"/>
    <w:next w:val="Normal"/>
    <w:link w:val="Heading1Char"/>
    <w:uiPriority w:val="9"/>
    <w:qFormat/>
    <w:rsid w:val="00570D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0D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0D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0D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0D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0D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D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D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D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D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0D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0D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0D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0D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0D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D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D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DE7"/>
    <w:rPr>
      <w:rFonts w:eastAsiaTheme="majorEastAsia" w:cstheme="majorBidi"/>
      <w:color w:val="272727" w:themeColor="text1" w:themeTint="D8"/>
    </w:rPr>
  </w:style>
  <w:style w:type="paragraph" w:styleId="Title">
    <w:name w:val="Title"/>
    <w:basedOn w:val="Normal"/>
    <w:next w:val="Normal"/>
    <w:link w:val="TitleChar"/>
    <w:uiPriority w:val="10"/>
    <w:qFormat/>
    <w:rsid w:val="00570D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D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D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D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DE7"/>
    <w:pPr>
      <w:spacing w:before="160"/>
      <w:jc w:val="center"/>
    </w:pPr>
    <w:rPr>
      <w:i/>
      <w:iCs/>
      <w:color w:val="404040" w:themeColor="text1" w:themeTint="BF"/>
    </w:rPr>
  </w:style>
  <w:style w:type="character" w:customStyle="1" w:styleId="QuoteChar">
    <w:name w:val="Quote Char"/>
    <w:basedOn w:val="DefaultParagraphFont"/>
    <w:link w:val="Quote"/>
    <w:uiPriority w:val="29"/>
    <w:rsid w:val="00570DE7"/>
    <w:rPr>
      <w:i/>
      <w:iCs/>
      <w:color w:val="404040" w:themeColor="text1" w:themeTint="BF"/>
    </w:rPr>
  </w:style>
  <w:style w:type="paragraph" w:styleId="ListParagraph">
    <w:name w:val="List Paragraph"/>
    <w:basedOn w:val="Normal"/>
    <w:uiPriority w:val="34"/>
    <w:qFormat/>
    <w:rsid w:val="00570DE7"/>
    <w:pPr>
      <w:ind w:left="720"/>
      <w:contextualSpacing/>
    </w:pPr>
  </w:style>
  <w:style w:type="character" w:styleId="IntenseEmphasis">
    <w:name w:val="Intense Emphasis"/>
    <w:basedOn w:val="DefaultParagraphFont"/>
    <w:uiPriority w:val="21"/>
    <w:qFormat/>
    <w:rsid w:val="00570DE7"/>
    <w:rPr>
      <w:i/>
      <w:iCs/>
      <w:color w:val="2F5496" w:themeColor="accent1" w:themeShade="BF"/>
    </w:rPr>
  </w:style>
  <w:style w:type="paragraph" w:styleId="IntenseQuote">
    <w:name w:val="Intense Quote"/>
    <w:basedOn w:val="Normal"/>
    <w:next w:val="Normal"/>
    <w:link w:val="IntenseQuoteChar"/>
    <w:uiPriority w:val="30"/>
    <w:qFormat/>
    <w:rsid w:val="00570D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0DE7"/>
    <w:rPr>
      <w:i/>
      <w:iCs/>
      <w:color w:val="2F5496" w:themeColor="accent1" w:themeShade="BF"/>
    </w:rPr>
  </w:style>
  <w:style w:type="character" w:styleId="IntenseReference">
    <w:name w:val="Intense Reference"/>
    <w:basedOn w:val="DefaultParagraphFont"/>
    <w:uiPriority w:val="32"/>
    <w:qFormat/>
    <w:rsid w:val="00570DE7"/>
    <w:rPr>
      <w:b/>
      <w:bCs/>
      <w:smallCaps/>
      <w:color w:val="2F5496" w:themeColor="accent1" w:themeShade="BF"/>
      <w:spacing w:val="5"/>
    </w:rPr>
  </w:style>
  <w:style w:type="table" w:styleId="TableGrid">
    <w:name w:val="Table Grid"/>
    <w:basedOn w:val="TableNormal"/>
    <w:uiPriority w:val="39"/>
    <w:rsid w:val="00D22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72A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TotalTime>
  <Pages>4</Pages>
  <Words>579</Words>
  <Characters>3301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Nehemiah Johan</dc:creator>
  <cp:keywords/>
  <dc:description/>
  <cp:lastModifiedBy>Nehemiah Johan</cp:lastModifiedBy>
  <cp:revision>3</cp:revision>
  <dcterms:created xsi:type="dcterms:W3CDTF">2026-01-10T11:18:00Z</dcterms:created>
  <dcterms:modified xsi:type="dcterms:W3CDTF">2026-01-10T15:56:00Z</dcterms:modified>
</cp:coreProperties>
</file>