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6978" w14:textId="77777777" w:rsidR="00405110" w:rsidRDefault="00405110">
      <w:pPr>
        <w:jc w:val="center"/>
        <w:rPr>
          <w:rFonts w:ascii="Times New Roman" w:hAnsi="Times New Roman" w:cs="Times New Roman"/>
          <w:b/>
          <w:color w:val="000000" w:themeColor="text1"/>
          <w:sz w:val="26"/>
          <w:lang w:val="es-DO"/>
        </w:rPr>
      </w:pPr>
    </w:p>
    <w:p w14:paraId="4D7A3546" w14:textId="77777777" w:rsidR="00405110" w:rsidRDefault="00405110">
      <w:pPr>
        <w:jc w:val="center"/>
        <w:rPr>
          <w:rFonts w:ascii="Times New Roman" w:hAnsi="Times New Roman" w:cs="Times New Roman"/>
          <w:b/>
          <w:color w:val="000000" w:themeColor="text1"/>
          <w:sz w:val="26"/>
          <w:lang w:val="es-DO"/>
        </w:rPr>
      </w:pPr>
    </w:p>
    <w:p w14:paraId="01A1CB7A" w14:textId="77777777" w:rsidR="00405110" w:rsidRDefault="00405110">
      <w:pPr>
        <w:jc w:val="center"/>
        <w:rPr>
          <w:rFonts w:ascii="Times New Roman" w:hAnsi="Times New Roman" w:cs="Times New Roman"/>
          <w:b/>
          <w:color w:val="000000" w:themeColor="text1"/>
          <w:sz w:val="26"/>
          <w:lang w:val="es-DO"/>
        </w:rPr>
      </w:pPr>
    </w:p>
    <w:p w14:paraId="3E091C1F" w14:textId="77777777" w:rsidR="00405110" w:rsidRDefault="00405110">
      <w:pPr>
        <w:jc w:val="center"/>
        <w:rPr>
          <w:rFonts w:ascii="Times New Roman" w:hAnsi="Times New Roman" w:cs="Times New Roman"/>
          <w:b/>
          <w:color w:val="000000" w:themeColor="text1"/>
          <w:sz w:val="26"/>
          <w:lang w:val="es-DO"/>
        </w:rPr>
      </w:pPr>
    </w:p>
    <w:p w14:paraId="61C694A3" w14:textId="3707B720" w:rsidR="00737FDF" w:rsidRPr="004B4E45" w:rsidRDefault="00000000">
      <w:pPr>
        <w:jc w:val="center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6"/>
          <w:lang w:val="es-DO"/>
        </w:rPr>
        <w:t>INSTITUTO TECNOLÓGICO DE LAS AMÉRICAS (ITLA)</w:t>
      </w:r>
      <w:r w:rsidRPr="004B4E45">
        <w:rPr>
          <w:rFonts w:ascii="Times New Roman" w:hAnsi="Times New Roman" w:cs="Times New Roman"/>
          <w:b/>
          <w:color w:val="000000" w:themeColor="text1"/>
          <w:sz w:val="26"/>
          <w:lang w:val="es-DO"/>
        </w:rPr>
        <w:br/>
      </w:r>
      <w:r w:rsidRPr="004B4E45">
        <w:rPr>
          <w:rFonts w:ascii="Times New Roman" w:hAnsi="Times New Roman" w:cs="Times New Roman"/>
          <w:color w:val="000000" w:themeColor="text1"/>
          <w:sz w:val="21"/>
          <w:lang w:val="es-DO"/>
        </w:rPr>
        <w:br/>
      </w:r>
    </w:p>
    <w:p w14:paraId="1A412AE7" w14:textId="77777777" w:rsidR="00737FDF" w:rsidRPr="004B4E45" w:rsidRDefault="00000000">
      <w:pPr>
        <w:jc w:val="center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40"/>
          <w:lang w:val="es-DO"/>
        </w:rPr>
        <w:t>Documento de Infraestructura del Proyecto</w:t>
      </w:r>
    </w:p>
    <w:p w14:paraId="511792CB" w14:textId="5BAFC0AC" w:rsidR="00737FDF" w:rsidRPr="004B4E45" w:rsidRDefault="00000000">
      <w:pPr>
        <w:spacing w:after="320"/>
        <w:jc w:val="center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7"/>
          <w:lang w:val="es-DO"/>
        </w:rPr>
        <w:t>Predicción de Precios de META mediante Regresión Lineal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37FDF" w:rsidRPr="004B4E45" w14:paraId="6850890C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45C848" w14:textId="19B97A7E" w:rsidR="004B4E45" w:rsidRPr="00405110" w:rsidRDefault="00000000">
            <w:pPr>
              <w:spacing w:after="0"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</w:pPr>
            <w:r w:rsidRPr="0040511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DO"/>
              </w:rPr>
              <w:t>PRESENTACIÓN</w:t>
            </w:r>
            <w:r w:rsidRPr="0040511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DO"/>
              </w:rPr>
              <w:br/>
              <w:t xml:space="preserve">• Asignatura: </w:t>
            </w:r>
            <w:r w:rsidR="004B4E45" w:rsidRPr="0040511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32"/>
                <w:lang w:val="es-DO"/>
              </w:rPr>
              <w:t>Inteligencia Artificial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br/>
            </w:r>
            <w:r w:rsidRPr="0040511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DO"/>
              </w:rPr>
              <w:t xml:space="preserve">• Profesor: 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Ramón E. Álvarez S.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br/>
            </w:r>
            <w:r w:rsidRPr="0040511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DO"/>
              </w:rPr>
              <w:t>• Integrantes del Equipo:</w:t>
            </w:r>
            <w:r w:rsidRPr="0040511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DO"/>
              </w:rPr>
              <w:br/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 xml:space="preserve">   - Abel Quezada Lorenzo (</w:t>
            </w:r>
            <w:r w:rsidR="004B4E45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2025-1308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)</w:t>
            </w:r>
          </w:p>
          <w:p w14:paraId="10675C67" w14:textId="02C9026B" w:rsidR="00737FDF" w:rsidRPr="00405110" w:rsidRDefault="004B4E45">
            <w:pPr>
              <w:spacing w:after="0"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</w:pP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 xml:space="preserve">   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- Demi Alexander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 xml:space="preserve"> 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(20231161)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br/>
              <w:t xml:space="preserve">   - 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 xml:space="preserve">Diony Guillermo Santana 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Rodríguez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 xml:space="preserve"> 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(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2023-0973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)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br/>
              <w:t xml:space="preserve">   - 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 xml:space="preserve">Juan Sachiret 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(</w:t>
            </w:r>
            <w:r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20251869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)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br/>
            </w:r>
            <w:r w:rsidR="00000000" w:rsidRPr="0040511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DO"/>
              </w:rPr>
              <w:t xml:space="preserve">• Fecha de Entrega: </w:t>
            </w:r>
            <w:r w:rsidRPr="0040511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32"/>
                <w:lang w:val="es-DO"/>
              </w:rPr>
              <w:t xml:space="preserve">23 de </w:t>
            </w:r>
            <w:r w:rsidR="00000000" w:rsidRPr="00405110">
              <w:rPr>
                <w:rFonts w:ascii="Times New Roman" w:hAnsi="Times New Roman" w:cs="Times New Roman"/>
                <w:color w:val="000000" w:themeColor="text1"/>
                <w:sz w:val="28"/>
                <w:szCs w:val="32"/>
                <w:lang w:val="es-DO"/>
              </w:rPr>
              <w:t>Julio de 2026</w:t>
            </w:r>
          </w:p>
        </w:tc>
      </w:tr>
    </w:tbl>
    <w:p w14:paraId="74A682F3" w14:textId="77777777" w:rsidR="00737FDF" w:rsidRPr="004B4E45" w:rsidRDefault="00737FDF">
      <w:pPr>
        <w:spacing w:after="240"/>
        <w:rPr>
          <w:rFonts w:ascii="Times New Roman" w:hAnsi="Times New Roman" w:cs="Times New Roman"/>
          <w:color w:val="000000" w:themeColor="text1"/>
          <w:lang w:val="es-DO"/>
        </w:rPr>
      </w:pPr>
    </w:p>
    <w:p w14:paraId="24224E50" w14:textId="77777777" w:rsidR="00405110" w:rsidRDefault="00405110">
      <w:pPr>
        <w:spacing w:after="200"/>
        <w:rPr>
          <w:rFonts w:ascii="Times New Roman" w:hAnsi="Times New Roman" w:cs="Times New Roman"/>
          <w:b/>
          <w:color w:val="000000" w:themeColor="text1"/>
          <w:sz w:val="29"/>
          <w:lang w:val="es-DO"/>
        </w:rPr>
      </w:pPr>
      <w:r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br w:type="page"/>
      </w:r>
    </w:p>
    <w:p w14:paraId="32FA8C34" w14:textId="0E711AEA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lastRenderedPageBreak/>
        <w:t>1. Introducción y Objetivo</w:t>
      </w:r>
    </w:p>
    <w:p w14:paraId="50E17E55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El presente proyecto tiene como objetivo desarrollar un sistema de Machine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Learning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supervisado capaz de estimar el precio de cierre futuro de la acción de Meta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Platforms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(META), a partir de datos históricos del mercado bursátil obtenidos mediante la API de Alpaca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Markets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. Se entrenaron y compararon ocho modelos de regresión distintos, evaluando de forma rigurosa su desempeño mediante métricas estándar y analizando la sensibilidad de sus respectivos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hiperparámetros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, con el fin de seleccionar el modelo con mayor capacidad predictiva y de generalización.</w:t>
      </w:r>
    </w:p>
    <w:p w14:paraId="75B85BBE" w14:textId="77777777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t>2. Recolección y Preparación de los Datos</w:t>
      </w:r>
    </w:p>
    <w:p w14:paraId="3CA47233" w14:textId="77777777" w:rsidR="00737FDF" w:rsidRPr="004B4E45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4"/>
          <w:lang w:val="es-DO"/>
        </w:rPr>
        <w:t>2.1 Fuente de datos</w:t>
      </w:r>
    </w:p>
    <w:p w14:paraId="0BBDD0D8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Los datos históricos se obtuvieron mediante la librería alpaca-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py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, utilizando velas diarias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TimeFrame.Day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) del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ticker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META, con un rango desde el 1 de enero de 2018 hasta la fecha de corte del proyecto. Esto garantizó un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dataset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con más de 800 registros, cumpliendo holgadamente el requisito mínimo establecido.</w:t>
      </w:r>
    </w:p>
    <w:p w14:paraId="0C01986F" w14:textId="77777777" w:rsidR="00737FDF" w:rsidRPr="004B4E45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4"/>
          <w:lang w:val="es-DO"/>
        </w:rPr>
        <w:t>2.2 Variables originales obtenidas</w:t>
      </w:r>
    </w:p>
    <w:p w14:paraId="34418303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La captura de datos brutos incluyó las siguientes variables fundamentales proporcionadas por el proveedor financiero:</w:t>
      </w:r>
    </w:p>
    <w:p w14:paraId="504BD5C4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open,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high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,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low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,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close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Precios de apertura, máximo, mínimo y cierre de cada jornada.</w:t>
      </w:r>
    </w:p>
    <w:p w14:paraId="0854AB94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volume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Volumen total de acciones transaccionadas en el día.</w:t>
      </w:r>
    </w:p>
    <w:p w14:paraId="33470B68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trade_count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Número total de operaciones financieras realizadas.</w:t>
      </w:r>
    </w:p>
    <w:p w14:paraId="478D68ED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vwap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Precio promedio del activo ponderado por volumen.</w:t>
      </w:r>
    </w:p>
    <w:p w14:paraId="16FF2544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2.3 Ingeniería de características (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Feature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Engineering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)</w:t>
      </w:r>
    </w:p>
    <w:p w14:paraId="55455B06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 partir de las variables originales se construyeron nuevas variables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features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) orientadas a capturar la tendencia, el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momentum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y la volatilidad del activo: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7FDF" w:rsidRPr="004B4E45" w14:paraId="34F5FA09" w14:textId="77777777" w:rsidTr="004B4E45">
        <w:tc>
          <w:tcPr>
            <w:tcW w:w="3120" w:type="dxa"/>
          </w:tcPr>
          <w:p w14:paraId="60C1CD4B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Variable</w:t>
            </w:r>
          </w:p>
        </w:tc>
        <w:tc>
          <w:tcPr>
            <w:tcW w:w="3120" w:type="dxa"/>
          </w:tcPr>
          <w:p w14:paraId="05EDA777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Descripción</w:t>
            </w:r>
          </w:p>
        </w:tc>
        <w:tc>
          <w:tcPr>
            <w:tcW w:w="3120" w:type="dxa"/>
          </w:tcPr>
          <w:p w14:paraId="093E4551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Justificación Técnica</w:t>
            </w:r>
          </w:p>
        </w:tc>
      </w:tr>
      <w:tr w:rsidR="00737FDF" w:rsidRPr="004B4E45" w14:paraId="29D02A96" w14:textId="77777777" w:rsidTr="004B4E45">
        <w:tc>
          <w:tcPr>
            <w:tcW w:w="3120" w:type="dxa"/>
          </w:tcPr>
          <w:p w14:paraId="5B85FB4B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close</w:t>
            </w:r>
          </w:p>
        </w:tc>
        <w:tc>
          <w:tcPr>
            <w:tcW w:w="3120" w:type="dxa"/>
          </w:tcPr>
          <w:p w14:paraId="3E0645C9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Precio de cierre</w:t>
            </w:r>
          </w:p>
        </w:tc>
        <w:tc>
          <w:tcPr>
            <w:tcW w:w="3120" w:type="dxa"/>
          </w:tcPr>
          <w:p w14:paraId="11B00C2F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Punto de partida directo para predecir la cotización futura; presenta la mayor correlación esperada con la variable objetivo.</w:t>
            </w:r>
          </w:p>
        </w:tc>
      </w:tr>
      <w:tr w:rsidR="00737FDF" w:rsidRPr="004B4E45" w14:paraId="587CBFC6" w14:textId="77777777" w:rsidTr="004B4E45">
        <w:tc>
          <w:tcPr>
            <w:tcW w:w="3120" w:type="dxa"/>
          </w:tcPr>
          <w:p w14:paraId="31FE8938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volume</w:t>
            </w:r>
          </w:p>
        </w:tc>
        <w:tc>
          <w:tcPr>
            <w:tcW w:w="3120" w:type="dxa"/>
          </w:tcPr>
          <w:p w14:paraId="0CE30330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Volumen de transacciones</w:t>
            </w:r>
          </w:p>
        </w:tc>
        <w:tc>
          <w:tcPr>
            <w:tcW w:w="3120" w:type="dxa"/>
          </w:tcPr>
          <w:p w14:paraId="7BFDF3BE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Indicador de liquidez; un volumen elevado suele anticipar movimientos de precio más significativos.</w:t>
            </w:r>
          </w:p>
        </w:tc>
      </w:tr>
      <w:tr w:rsidR="00737FDF" w:rsidRPr="004B4E45" w14:paraId="7F4BD809" w14:textId="77777777" w:rsidTr="004B4E45">
        <w:tc>
          <w:tcPr>
            <w:tcW w:w="3120" w:type="dxa"/>
          </w:tcPr>
          <w:p w14:paraId="44D60398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daily_return</w:t>
            </w:r>
            <w:proofErr w:type="spellEnd"/>
          </w:p>
        </w:tc>
        <w:tc>
          <w:tcPr>
            <w:tcW w:w="3120" w:type="dxa"/>
          </w:tcPr>
          <w:p w14:paraId="6154B0F0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Retorno diario (%)</w:t>
            </w:r>
          </w:p>
        </w:tc>
        <w:tc>
          <w:tcPr>
            <w:tcW w:w="3120" w:type="dxa"/>
          </w:tcPr>
          <w:p w14:paraId="0914D569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 xml:space="preserve">Mide el porcentaje de variación respecto al día anterior, capturando el </w:t>
            </w:r>
            <w:proofErr w:type="spellStart"/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momentum</w:t>
            </w:r>
            <w:proofErr w:type="spellEnd"/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 xml:space="preserve"> inmediato del activo.</w:t>
            </w:r>
          </w:p>
        </w:tc>
      </w:tr>
      <w:tr w:rsidR="00737FDF" w:rsidRPr="004B4E45" w14:paraId="58034CED" w14:textId="77777777" w:rsidTr="004B4E45">
        <w:tc>
          <w:tcPr>
            <w:tcW w:w="3120" w:type="dxa"/>
          </w:tcPr>
          <w:p w14:paraId="1BABC8A2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lastRenderedPageBreak/>
              <w:t>sma_7</w:t>
            </w:r>
          </w:p>
        </w:tc>
        <w:tc>
          <w:tcPr>
            <w:tcW w:w="3120" w:type="dxa"/>
          </w:tcPr>
          <w:p w14:paraId="283CAFF7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Media móvil simple (7 días)</w:t>
            </w:r>
          </w:p>
        </w:tc>
        <w:tc>
          <w:tcPr>
            <w:tcW w:w="3120" w:type="dxa"/>
          </w:tcPr>
          <w:p w14:paraId="3B376AA7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Suaviza las fluctuaciones diarias y refleja la tendencia dominante de corto plazo.</w:t>
            </w:r>
          </w:p>
        </w:tc>
      </w:tr>
      <w:tr w:rsidR="00737FDF" w:rsidRPr="004B4E45" w14:paraId="2407BE90" w14:textId="77777777" w:rsidTr="004B4E45">
        <w:tc>
          <w:tcPr>
            <w:tcW w:w="3120" w:type="dxa"/>
          </w:tcPr>
          <w:p w14:paraId="11AB0C26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volatility_7</w:t>
            </w:r>
          </w:p>
        </w:tc>
        <w:tc>
          <w:tcPr>
            <w:tcW w:w="3120" w:type="dxa"/>
          </w:tcPr>
          <w:p w14:paraId="69FDBE6E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Desviación estándar (7 días)</w:t>
            </w:r>
          </w:p>
        </w:tc>
        <w:tc>
          <w:tcPr>
            <w:tcW w:w="3120" w:type="dxa"/>
          </w:tcPr>
          <w:p w14:paraId="467F7DBE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Cuantifica la dispersión e inestabilidad reciente en los precios de cotización.</w:t>
            </w:r>
          </w:p>
        </w:tc>
      </w:tr>
      <w:tr w:rsidR="00737FDF" w:rsidRPr="004B4E45" w14:paraId="37F8E269" w14:textId="77777777" w:rsidTr="004B4E45">
        <w:tc>
          <w:tcPr>
            <w:tcW w:w="3120" w:type="dxa"/>
          </w:tcPr>
          <w:p w14:paraId="58265A4D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daily_range</w:t>
            </w:r>
            <w:proofErr w:type="spellEnd"/>
          </w:p>
        </w:tc>
        <w:tc>
          <w:tcPr>
            <w:tcW w:w="3120" w:type="dxa"/>
          </w:tcPr>
          <w:p w14:paraId="52631A75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Diferencia intradiaria (High - Low)</w:t>
            </w:r>
          </w:p>
        </w:tc>
        <w:tc>
          <w:tcPr>
            <w:tcW w:w="3120" w:type="dxa"/>
          </w:tcPr>
          <w:p w14:paraId="3EFAD637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Refleja la magnitud de la presión compradora o vendedora durante la jornada.</w:t>
            </w:r>
          </w:p>
        </w:tc>
      </w:tr>
      <w:tr w:rsidR="00737FDF" w:rsidRPr="004B4E45" w14:paraId="1D4FB323" w14:textId="77777777" w:rsidTr="004B4E45">
        <w:tc>
          <w:tcPr>
            <w:tcW w:w="3120" w:type="dxa"/>
          </w:tcPr>
          <w:p w14:paraId="6212953B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volume_change</w:t>
            </w:r>
            <w:proofErr w:type="spellEnd"/>
          </w:p>
        </w:tc>
        <w:tc>
          <w:tcPr>
            <w:tcW w:w="3120" w:type="dxa"/>
          </w:tcPr>
          <w:p w14:paraId="7DF3F662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Variación del volumen (%)</w:t>
            </w:r>
          </w:p>
        </w:tc>
        <w:tc>
          <w:tcPr>
            <w:tcW w:w="3120" w:type="dxa"/>
          </w:tcPr>
          <w:p w14:paraId="13401AC5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  <w:lang w:val="es-DO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  <w:lang w:val="es-DO"/>
              </w:rPr>
              <w:t>Detecta aceleraciones o cambios bruscos en el nivel de interés del mercado.</w:t>
            </w:r>
          </w:p>
        </w:tc>
      </w:tr>
    </w:tbl>
    <w:p w14:paraId="159808B4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Variable objetivo (y): </w:t>
      </w:r>
      <w:proofErr w:type="spellStart"/>
      <w:proofErr w:type="gram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target</w:t>
      </w:r>
      <w:proofErr w:type="gram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_close_next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, correspondiente al precio de cierre del día subsiguiente, generado mediante la función de desplazamiento temporal </w:t>
      </w:r>
      <w:proofErr w:type="spellStart"/>
      <w:proofErr w:type="gram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close.shift</w:t>
      </w:r>
      <w:proofErr w:type="spellEnd"/>
      <w:proofErr w:type="gram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(-1).</w:t>
      </w:r>
    </w:p>
    <w:p w14:paraId="0492A3B5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2.4 Eliminación de variables redundantes</w:t>
      </w:r>
    </w:p>
    <w:p w14:paraId="089F00B8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Durante la fase de Análisis Exploratorio de Datos se identificó una correlación lineal de 0.99 entre sma_7 y sma_21 (media móvil de 21 días), así como una correlación perfecta de 1.00 entre sma_21 y el precio de cierre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close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). Para evitar problemas severos de multicolinealidad e inestabilidad en la estimación de coeficientes, se determinó eliminar sma_21, conservando sma_7 como representación compacta de la tendencia reciente. Esta decisión fue respaldada posteriormente por el modelo Lasso (sección 5.2), el cual anuló de forma autónoma la influencia de variables redundantes.</w:t>
      </w:r>
    </w:p>
    <w:p w14:paraId="56EB3B87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2.5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Limpieza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y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normalización</w:t>
      </w:r>
      <w:proofErr w:type="spellEnd"/>
    </w:p>
    <w:p w14:paraId="19579C16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Tratamiento de nulos: Se removieron los registros iniciales y finales con datos faltantes generados por ventanas móviles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rolling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 y desplazamientos (shift).</w:t>
      </w:r>
    </w:p>
    <w:p w14:paraId="510BBD00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Codificación: No se requirió codificación categórica al tratarse de un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dataset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exclusivamente numérico y continuo.</w:t>
      </w:r>
    </w:p>
    <w:p w14:paraId="4A5E8E01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Estandarización: Se aplicó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StandardScaler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de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scikit-learn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a las características de entrada para transformar sus distribuciones a media 0 y varianza 1. El objeto escalador fue exportado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models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/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scaler.pkl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 para garantizar que las inferencias futuras empleen exactamente los mismos parámetros estadísticos del entrenamiento.</w:t>
      </w:r>
    </w:p>
    <w:p w14:paraId="287A9082" w14:textId="77777777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lastRenderedPageBreak/>
        <w:t>3. Análisis Exploratorio de Datos (EDA)</w:t>
      </w:r>
    </w:p>
    <w:p w14:paraId="0106A465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3.1 Serie de tiempo del precio de cierre</w:t>
      </w:r>
    </w:p>
    <w:p w14:paraId="76DD7002" w14:textId="7853EEEA" w:rsidR="00737FDF" w:rsidRPr="00825EFA" w:rsidRDefault="00405110">
      <w:pPr>
        <w:spacing w:before="80"/>
        <w:ind w:left="432" w:right="432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s-DO"/>
        </w:rPr>
        <w:drawing>
          <wp:inline distT="0" distB="0" distL="0" distR="0" wp14:anchorId="0C641488" wp14:editId="4F1BCB52">
            <wp:extent cx="5935980" cy="2476500"/>
            <wp:effectExtent l="0" t="0" r="7620" b="0"/>
            <wp:docPr id="2110051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br/>
      </w:r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Comportamiento histórico continuo del precio de cierre de META desde enero de 2018.</w:t>
      </w:r>
    </w:p>
    <w:p w14:paraId="281EFB35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La serie histórica del precio de META muestra una clara trayectoria alcista a lo largo del periodo examinado, con intervalos delimitados de mayor volatilidad vinculados a dinámicas generales del mercado y eventos corporativos del sector tecnológico.</w:t>
      </w:r>
    </w:p>
    <w:p w14:paraId="4797F6A5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3.2 Distribución del retorno diario</w:t>
      </w:r>
    </w:p>
    <w:p w14:paraId="2BDE0257" w14:textId="24C93720" w:rsidR="00737FDF" w:rsidRPr="00825EFA" w:rsidRDefault="00405110">
      <w:pPr>
        <w:spacing w:before="80"/>
        <w:ind w:left="432" w:right="432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>
        <w:rPr>
          <w:noProof/>
        </w:rPr>
        <w:drawing>
          <wp:inline distT="0" distB="0" distL="0" distR="0" wp14:anchorId="6799D3A5" wp14:editId="153FB8B1">
            <wp:extent cx="5943600" cy="3714750"/>
            <wp:effectExtent l="0" t="0" r="0" b="0"/>
            <wp:docPr id="11477876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br/>
      </w:r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Histograma y curva de densidad del retorno porcentual diario.</w:t>
      </w:r>
    </w:p>
    <w:p w14:paraId="7F0C9ABE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La distribución del rendimiento diario se concentra simétricamente alrededor del 0%, indicando que las variaciones habituales entre sesiones son moderadas. No obstante, se aprecian colas pesadas en ambos extremos, evidenciando jornadas con movimientos atípicos frente a anuncios o reportes trimestrales.</w:t>
      </w:r>
    </w:p>
    <w:p w14:paraId="219974BE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3.3 Matriz de correlación entre variables</w:t>
      </w:r>
    </w:p>
    <w:p w14:paraId="17207178" w14:textId="323AD02C" w:rsidR="00737FDF" w:rsidRPr="00825EFA" w:rsidRDefault="00405110">
      <w:pPr>
        <w:spacing w:before="80"/>
        <w:ind w:left="432" w:right="432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>
        <w:rPr>
          <w:noProof/>
        </w:rPr>
        <w:drawing>
          <wp:inline distT="0" distB="0" distL="0" distR="0" wp14:anchorId="30162CED" wp14:editId="1F505FF3">
            <wp:extent cx="5943600" cy="4622800"/>
            <wp:effectExtent l="0" t="0" r="0" b="6350"/>
            <wp:docPr id="7869838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br/>
      </w:r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Mapa de calor de correlaciones lineales de Pearson entre todas las características.</w:t>
      </w:r>
    </w:p>
    <w:p w14:paraId="52ADD745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Se confirmó la elevada colinealidad entre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close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, sma_7 y sma_21 (coeficientes entre 0.99 y 1.00). En contraste,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daily_return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y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volume_change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mostraron una correlación directa cercana a cero con el precio futuro, aunque se mantuvieron en la matriz de entrada por su sustento teórico en el análisis técnico.</w:t>
      </w:r>
    </w:p>
    <w:p w14:paraId="72284143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3.4 Relación Volumen vs. Retorno diario</w:t>
      </w:r>
    </w:p>
    <w:p w14:paraId="0D5CA752" w14:textId="51D07257" w:rsidR="00737FDF" w:rsidRPr="00825EFA" w:rsidRDefault="00405110">
      <w:pPr>
        <w:spacing w:before="80"/>
        <w:ind w:left="432" w:right="432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>
        <w:rPr>
          <w:noProof/>
        </w:rPr>
        <w:drawing>
          <wp:inline distT="0" distB="0" distL="0" distR="0" wp14:anchorId="690C8A1B" wp14:editId="7C218942">
            <wp:extent cx="5943600" cy="3714750"/>
            <wp:effectExtent l="0" t="0" r="0" b="0"/>
            <wp:docPr id="19556009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br/>
      </w:r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Gráfico de dispersión entre el volumen negociado y la variación porcentual diaria.</w:t>
      </w:r>
    </w:p>
    <w:p w14:paraId="368BB18F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Aunque la mayoría de los días presentan volúmenes y variaciones contenidos, los picos extremos de volumen coinciden con los rendimientos más pronunciados (tanto positivos como negativos). Esto sugiere que el volumen actúa como un amplificador de volatilidad intradiaria.</w:t>
      </w:r>
    </w:p>
    <w:p w14:paraId="28277A57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3.5 Distribución de la volatilidad (7 días)</w:t>
      </w:r>
    </w:p>
    <w:p w14:paraId="0D8D28B6" w14:textId="450520C4" w:rsidR="00737FDF" w:rsidRPr="00825EFA" w:rsidRDefault="00405110">
      <w:pPr>
        <w:spacing w:before="80"/>
        <w:ind w:left="432" w:right="432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>
        <w:rPr>
          <w:noProof/>
        </w:rPr>
        <w:drawing>
          <wp:inline distT="0" distB="0" distL="0" distR="0" wp14:anchorId="0D2A6C37" wp14:editId="2A6D7A9A">
            <wp:extent cx="5486400" cy="4572000"/>
            <wp:effectExtent l="0" t="0" r="0" b="0"/>
            <wp:docPr id="6116671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br/>
      </w:r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Diagrama de caja (</w:t>
      </w:r>
      <w:proofErr w:type="spellStart"/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boxplot</w:t>
      </w:r>
      <w:proofErr w:type="spellEnd"/>
      <w:r w:rsidR="00000000" w:rsidRPr="00825EFA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) de la desviación estándar móvil de 7 días.</w:t>
      </w:r>
    </w:p>
    <w:p w14:paraId="7B5F7E11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El diagrama de caja revela una marcada asimetría hacia la derecha: mientras que prevalecen periodos de baja variabilidad, existen valores atípicos agrupados que reflejan episodios de inestabilidad puntual, un comportamiento característico de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volatility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clustering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en mercados financieros.</w:t>
      </w:r>
    </w:p>
    <w:p w14:paraId="19745BF9" w14:textId="77777777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t>4. Entrenamiento del Modelo</w:t>
      </w:r>
    </w:p>
    <w:p w14:paraId="1FF9146F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4.1 Esquema de partición de datos</w:t>
      </w:r>
    </w:p>
    <w:p w14:paraId="3191A9E9" w14:textId="71EC1EFD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El conjunto de datos se dividió en 80% para entrenamiento y 20% para prueba. La división se realizó respetando estrictamente el orden temporal de las observaciones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shuffle</w:t>
      </w:r>
      <w:proofErr w:type="spellEnd"/>
      <w:r w:rsidR="00BE7BFE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=</w:t>
      </w:r>
      <w:r w:rsidR="00BE7BFE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False), evitando que el modelo reciba información del futuro durante el proceso de aprendizaje (data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leakage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).</w:t>
      </w:r>
    </w:p>
    <w:p w14:paraId="3C302357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4.2 Algoritmos evaluados</w:t>
      </w:r>
    </w:p>
    <w:p w14:paraId="1DC89653" w14:textId="77777777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Se implementaron e investigaron ocho enfoques de regresión:</w:t>
      </w:r>
    </w:p>
    <w:p w14:paraId="333BC033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1.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Ordinary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Least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Squares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Mínimos Cuadrados Ordinarios (OLS)</w:t>
      </w:r>
    </w:p>
    <w:p w14:paraId="16493A66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2. Ridge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Regression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Regresión Ridge con penalización L2</w:t>
      </w:r>
    </w:p>
    <w:p w14:paraId="125214AD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3. Lasso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Regression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Regresión Lasso con penalización L1</w:t>
      </w:r>
    </w:p>
    <w:p w14:paraId="71EFFE78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 Bayesian Ridge: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Regresión Bayesiana Ridge</w:t>
      </w:r>
    </w:p>
    <w:p w14:paraId="1F0248B1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K-Nearest Neighbors (KNN):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Vecinos Más Cercanos</w:t>
      </w:r>
    </w:p>
    <w:p w14:paraId="35AB74F6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6. Random Forest: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Bosques Aleatorios de Regresión</w:t>
      </w:r>
    </w:p>
    <w:p w14:paraId="0DB2BFDC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7. </w:t>
      </w:r>
      <w:proofErr w:type="spellStart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Support</w:t>
      </w:r>
      <w:proofErr w:type="spellEnd"/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 Vector Machine (SVM):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Máquinas de Vectores de Soporte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Kernel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RBF)</w:t>
      </w:r>
    </w:p>
    <w:p w14:paraId="1D772122" w14:textId="77777777" w:rsidR="00737FDF" w:rsidRPr="00825EFA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8. Neural Network (MLP): 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Red Neuronal Perceptrón Multicapa</w:t>
      </w:r>
    </w:p>
    <w:p w14:paraId="7E3ED064" w14:textId="77777777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</w:rPr>
        <w:t>5. Hiperparámetros y Análisis de Sensibilidad</w:t>
      </w:r>
    </w:p>
    <w:p w14:paraId="4ACD91A0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5.1 Regresión Ridge</w:t>
      </w:r>
    </w:p>
    <w:p w14:paraId="4B58865C" w14:textId="331BCB75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Se exploraron valores de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alpha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entre 0.01 y 100. Incrementar la penalización redujo paulatinamente la precisión del modelo, registrando una caída significativa con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alpha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=100 (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0.6479). El mejor desempeño se logró con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alpha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=0.01 (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0.9470), prácticamente idéntico al modelo OLS, demostrando que una penalización baja conserva la capacidad explicativa de la tendencia.</w:t>
      </w:r>
    </w:p>
    <w:p w14:paraId="1E274C18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5.2 Regresión Lasso</w:t>
      </w:r>
    </w:p>
    <w:p w14:paraId="649EF1EF" w14:textId="131056C1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Con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alpha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=0.01, el modelo Lasso obtuvo el mejor rendimiento global del proyecto (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0.9472). La regularización L1 redujo a cero el coeficiente asociado a volatility_7 (0.000000), confirmando que su aporte resulta redundante en presencia de la variable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daily_range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, con la que mantiene una correlación de 0.60.</w:t>
      </w:r>
    </w:p>
    <w:p w14:paraId="40B44706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5.3 Regresión Bayesiana Ridge</w:t>
      </w:r>
    </w:p>
    <w:p w14:paraId="5F158BEB" w14:textId="5AAEBEB0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Al estimar automáticamente los parámetros de regularización a partir de la distribución de los datos, la regresión Bayesiana ofreció resultados equivalentes a OLS (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0.9470), reafirmando que el nivel óptimo de penalización para este conjunto de datos es mínimo.</w:t>
      </w:r>
    </w:p>
    <w:p w14:paraId="58A58EEF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5.4 K-Vecinos Más Cercanos (KNN)</w:t>
      </w:r>
    </w:p>
    <w:p w14:paraId="62695B7C" w14:textId="48929623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Se evaluó el número de vecinos k entre 3 y 50. El rendimiento se deterioró notablemente al aumentar k (de 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-2.86 con k=3 a 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-4.38 con k=50). Aunque se fijó k=3 para la comparación final, el algoritmo demostró ser inadecuado. Al ser un activo con tendencia alcista sostenida, los vecinos más cercanos en el espacio de características corresponden a periodos históricos con niveles de precio muy inferiores a los del conjunto de prueba, produciendo una subestimación sistemática.</w:t>
      </w:r>
    </w:p>
    <w:p w14:paraId="7EE79D21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5.5 Bosques Aleatorios (Random Forest)</w:t>
      </w:r>
    </w:p>
    <w:p w14:paraId="1683E936" w14:textId="3DFDD88D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Se evaluó la profundidad máxima (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max_depth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: 3, 5, 10,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None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). La mejor configuración se alcanzó con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max_depth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=5 (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-0.7955). Durante el periodo de prueba, el precio real de META alcanzó los $790.00, mientras que el máximo visto en entrenamiento fue de $595.94. Debido a la naturaleza del algoritmo, las predicciones quedaron limitadas cerca del máximo de entrenamiento ($589.77), evidenciando la incapacidad estructural de los modelos basados en árboles para extrapolar tendencias fuera del rango observado.</w:t>
      </w:r>
    </w:p>
    <w:p w14:paraId="5D967796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5.6 Máquinas de Vectores de Soporte (SVM)</w:t>
      </w:r>
    </w:p>
    <w:p w14:paraId="70768D75" w14:textId="449A4598" w:rsidR="00737FDF" w:rsidRPr="00825EF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Ajustando un </w:t>
      </w:r>
      <w:proofErr w:type="spellStart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kernel</w:t>
      </w:r>
      <w:proofErr w:type="spellEnd"/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RBF, se varió el parámetro de regularización C entre 0.1 y 50,000. El desempeño mejoró progresivamente hasta estabilizarse en C=5000 (R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-2.9467). No obstante, el modelo experimentó la misma limitación no paramétrica reportada en KNN y Random Forest.</w:t>
      </w:r>
    </w:p>
    <w:p w14:paraId="0F1DA4CA" w14:textId="77777777" w:rsidR="00737FDF" w:rsidRPr="00825EFA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>5.7 Red Neuronal Perceptrón Multicapa (MLP)</w:t>
      </w:r>
    </w:p>
    <w:p w14:paraId="24219E35" w14:textId="77777777" w:rsidR="00405110" w:rsidRDefault="00000000" w:rsidP="0040511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Se evaluaron cinco arquitecturas con distinto número de capas y neuronas. La configuración de dos capas ocultas (50, 25) registró el resultado más destacado (R</w:t>
      </w:r>
      <w:r w:rsidR="004B4E45"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2</w:t>
      </w: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= 0.9309), superando a arquitecturas más complejas. Esto corrobora que añadir capas no otorga ventaja en problemas donde predomina una relación lineal entre las variables clave</w:t>
      </w:r>
    </w:p>
    <w:p w14:paraId="0C404D39" w14:textId="25576099" w:rsidR="00405110" w:rsidRPr="00405110" w:rsidRDefault="00000000" w:rsidP="0040511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825EFA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.</w:t>
      </w:r>
    </w:p>
    <w:p w14:paraId="75167B0F" w14:textId="2B4835AF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t>6. Métricas Comparativas y Selección del Modelo Final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FDF" w:rsidRPr="004B4E45" w14:paraId="55500FAE" w14:textId="77777777" w:rsidTr="004B4E45">
        <w:tc>
          <w:tcPr>
            <w:tcW w:w="1872" w:type="dxa"/>
          </w:tcPr>
          <w:p w14:paraId="7A7BE7C1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Modelo </w:t>
            </w:r>
            <w:proofErr w:type="spellStart"/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Evaluado</w:t>
            </w:r>
            <w:proofErr w:type="spellEnd"/>
          </w:p>
        </w:tc>
        <w:tc>
          <w:tcPr>
            <w:tcW w:w="1872" w:type="dxa"/>
          </w:tcPr>
          <w:p w14:paraId="7E76DA4F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MAE ($)</w:t>
            </w:r>
          </w:p>
        </w:tc>
        <w:tc>
          <w:tcPr>
            <w:tcW w:w="1872" w:type="dxa"/>
          </w:tcPr>
          <w:p w14:paraId="30A20B00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MSE ($²)</w:t>
            </w:r>
          </w:p>
        </w:tc>
        <w:tc>
          <w:tcPr>
            <w:tcW w:w="1872" w:type="dxa"/>
          </w:tcPr>
          <w:p w14:paraId="538CD40B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RMSE ($)</w:t>
            </w:r>
          </w:p>
        </w:tc>
        <w:tc>
          <w:tcPr>
            <w:tcW w:w="1872" w:type="dxa"/>
          </w:tcPr>
          <w:p w14:paraId="5CAF8A0E" w14:textId="5D67B593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</w:t>
            </w:r>
            <w:r w:rsidR="004B4E45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2</w:t>
            </w:r>
          </w:p>
        </w:tc>
      </w:tr>
      <w:tr w:rsidR="00737FDF" w:rsidRPr="004B4E45" w14:paraId="286668DC" w14:textId="77777777" w:rsidTr="004B4E45">
        <w:tc>
          <w:tcPr>
            <w:tcW w:w="1872" w:type="dxa"/>
          </w:tcPr>
          <w:p w14:paraId="7B7662D2" w14:textId="3ECBFA59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Lasso (α=0.01) </w:t>
            </w:r>
            <w:proofErr w:type="spellStart"/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Seleccionado</w:t>
            </w:r>
            <w:proofErr w:type="spellEnd"/>
          </w:p>
        </w:tc>
        <w:tc>
          <w:tcPr>
            <w:tcW w:w="1872" w:type="dxa"/>
          </w:tcPr>
          <w:p w14:paraId="07B9FF9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10.23</w:t>
            </w:r>
          </w:p>
        </w:tc>
        <w:tc>
          <w:tcPr>
            <w:tcW w:w="1872" w:type="dxa"/>
          </w:tcPr>
          <w:p w14:paraId="058FDE1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219.10</w:t>
            </w:r>
          </w:p>
        </w:tc>
        <w:tc>
          <w:tcPr>
            <w:tcW w:w="1872" w:type="dxa"/>
          </w:tcPr>
          <w:p w14:paraId="7B48BB39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14.80</w:t>
            </w:r>
          </w:p>
        </w:tc>
        <w:tc>
          <w:tcPr>
            <w:tcW w:w="1872" w:type="dxa"/>
          </w:tcPr>
          <w:p w14:paraId="30437EDB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0.9472</w:t>
            </w:r>
          </w:p>
        </w:tc>
      </w:tr>
      <w:tr w:rsidR="00737FDF" w:rsidRPr="004B4E45" w14:paraId="4009798B" w14:textId="77777777" w:rsidTr="004B4E45">
        <w:tc>
          <w:tcPr>
            <w:tcW w:w="1872" w:type="dxa"/>
          </w:tcPr>
          <w:p w14:paraId="7BD17677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OLS (Mínimos Cuadrados)</w:t>
            </w:r>
          </w:p>
        </w:tc>
        <w:tc>
          <w:tcPr>
            <w:tcW w:w="1872" w:type="dxa"/>
          </w:tcPr>
          <w:p w14:paraId="2DBABC6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10.26</w:t>
            </w:r>
          </w:p>
        </w:tc>
        <w:tc>
          <w:tcPr>
            <w:tcW w:w="1872" w:type="dxa"/>
          </w:tcPr>
          <w:p w14:paraId="6FDB6B8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219.87</w:t>
            </w:r>
          </w:p>
        </w:tc>
        <w:tc>
          <w:tcPr>
            <w:tcW w:w="1872" w:type="dxa"/>
          </w:tcPr>
          <w:p w14:paraId="4FB9E4C7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14.83</w:t>
            </w:r>
          </w:p>
        </w:tc>
        <w:tc>
          <w:tcPr>
            <w:tcW w:w="1872" w:type="dxa"/>
          </w:tcPr>
          <w:p w14:paraId="298A7724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0.9470</w:t>
            </w:r>
          </w:p>
        </w:tc>
      </w:tr>
      <w:tr w:rsidR="00737FDF" w:rsidRPr="004B4E45" w14:paraId="56F37797" w14:textId="77777777" w:rsidTr="004B4E45">
        <w:tc>
          <w:tcPr>
            <w:tcW w:w="1872" w:type="dxa"/>
          </w:tcPr>
          <w:p w14:paraId="46889EB1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Bayesian Ridge</w:t>
            </w:r>
          </w:p>
        </w:tc>
        <w:tc>
          <w:tcPr>
            <w:tcW w:w="1872" w:type="dxa"/>
          </w:tcPr>
          <w:p w14:paraId="023CB3F0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10.27</w:t>
            </w:r>
          </w:p>
        </w:tc>
        <w:tc>
          <w:tcPr>
            <w:tcW w:w="1872" w:type="dxa"/>
          </w:tcPr>
          <w:p w14:paraId="6DCFA42C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219.98</w:t>
            </w:r>
          </w:p>
        </w:tc>
        <w:tc>
          <w:tcPr>
            <w:tcW w:w="1872" w:type="dxa"/>
          </w:tcPr>
          <w:p w14:paraId="51DA2FB6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14.83</w:t>
            </w:r>
          </w:p>
        </w:tc>
        <w:tc>
          <w:tcPr>
            <w:tcW w:w="1872" w:type="dxa"/>
          </w:tcPr>
          <w:p w14:paraId="3A65301C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0.9470</w:t>
            </w:r>
          </w:p>
        </w:tc>
      </w:tr>
      <w:tr w:rsidR="00737FDF" w:rsidRPr="004B4E45" w14:paraId="72234B6C" w14:textId="77777777" w:rsidTr="004B4E45">
        <w:tc>
          <w:tcPr>
            <w:tcW w:w="1872" w:type="dxa"/>
          </w:tcPr>
          <w:p w14:paraId="553FB864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Ridge (α=0.01)</w:t>
            </w:r>
          </w:p>
        </w:tc>
        <w:tc>
          <w:tcPr>
            <w:tcW w:w="1872" w:type="dxa"/>
          </w:tcPr>
          <w:p w14:paraId="0891BAAF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10.85</w:t>
            </w:r>
          </w:p>
        </w:tc>
        <w:tc>
          <w:tcPr>
            <w:tcW w:w="1872" w:type="dxa"/>
          </w:tcPr>
          <w:p w14:paraId="59B383B2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238.29</w:t>
            </w:r>
          </w:p>
        </w:tc>
        <w:tc>
          <w:tcPr>
            <w:tcW w:w="1872" w:type="dxa"/>
          </w:tcPr>
          <w:p w14:paraId="56D01F60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15.44</w:t>
            </w:r>
          </w:p>
        </w:tc>
        <w:tc>
          <w:tcPr>
            <w:tcW w:w="1872" w:type="dxa"/>
          </w:tcPr>
          <w:p w14:paraId="09508C4E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0.9426</w:t>
            </w:r>
          </w:p>
        </w:tc>
      </w:tr>
      <w:tr w:rsidR="00737FDF" w:rsidRPr="004B4E45" w14:paraId="686152BD" w14:textId="77777777" w:rsidTr="004B4E45">
        <w:tc>
          <w:tcPr>
            <w:tcW w:w="1872" w:type="dxa"/>
          </w:tcPr>
          <w:p w14:paraId="4F116C30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Red Neuronal MLP (50, 25)</w:t>
            </w:r>
          </w:p>
        </w:tc>
        <w:tc>
          <w:tcPr>
            <w:tcW w:w="1872" w:type="dxa"/>
          </w:tcPr>
          <w:p w14:paraId="6A705450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11.93</w:t>
            </w:r>
          </w:p>
        </w:tc>
        <w:tc>
          <w:tcPr>
            <w:tcW w:w="1872" w:type="dxa"/>
          </w:tcPr>
          <w:p w14:paraId="725F69F6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286.94</w:t>
            </w:r>
          </w:p>
        </w:tc>
        <w:tc>
          <w:tcPr>
            <w:tcW w:w="1872" w:type="dxa"/>
          </w:tcPr>
          <w:p w14:paraId="5170E798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16.94</w:t>
            </w:r>
          </w:p>
        </w:tc>
        <w:tc>
          <w:tcPr>
            <w:tcW w:w="1872" w:type="dxa"/>
          </w:tcPr>
          <w:p w14:paraId="73719B57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0.9309</w:t>
            </w:r>
          </w:p>
        </w:tc>
      </w:tr>
      <w:tr w:rsidR="00737FDF" w:rsidRPr="004B4E45" w14:paraId="32DC3E2B" w14:textId="77777777" w:rsidTr="004B4E45">
        <w:tc>
          <w:tcPr>
            <w:tcW w:w="1872" w:type="dxa"/>
          </w:tcPr>
          <w:p w14:paraId="78AFF97E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Random Forest (max_depth=5)</w:t>
            </w:r>
          </w:p>
        </w:tc>
        <w:tc>
          <w:tcPr>
            <w:tcW w:w="1872" w:type="dxa"/>
          </w:tcPr>
          <w:p w14:paraId="12035900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66.98</w:t>
            </w:r>
          </w:p>
        </w:tc>
        <w:tc>
          <w:tcPr>
            <w:tcW w:w="1872" w:type="dxa"/>
          </w:tcPr>
          <w:p w14:paraId="257A2327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7451.11</w:t>
            </w:r>
          </w:p>
        </w:tc>
        <w:tc>
          <w:tcPr>
            <w:tcW w:w="1872" w:type="dxa"/>
          </w:tcPr>
          <w:p w14:paraId="59A353F3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86.32</w:t>
            </w:r>
          </w:p>
        </w:tc>
        <w:tc>
          <w:tcPr>
            <w:tcW w:w="1872" w:type="dxa"/>
          </w:tcPr>
          <w:p w14:paraId="69D887B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-0.7955</w:t>
            </w:r>
          </w:p>
        </w:tc>
      </w:tr>
      <w:tr w:rsidR="00737FDF" w:rsidRPr="004B4E45" w14:paraId="3023417E" w14:textId="77777777" w:rsidTr="004B4E45">
        <w:tc>
          <w:tcPr>
            <w:tcW w:w="1872" w:type="dxa"/>
          </w:tcPr>
          <w:p w14:paraId="4649CFA9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SVM (C=5000)</w:t>
            </w:r>
          </w:p>
        </w:tc>
        <w:tc>
          <w:tcPr>
            <w:tcW w:w="1872" w:type="dxa"/>
          </w:tcPr>
          <w:p w14:paraId="18B070A5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87.40</w:t>
            </w:r>
          </w:p>
        </w:tc>
        <w:tc>
          <w:tcPr>
            <w:tcW w:w="1872" w:type="dxa"/>
          </w:tcPr>
          <w:p w14:paraId="43DE3325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16378.93</w:t>
            </w:r>
          </w:p>
        </w:tc>
        <w:tc>
          <w:tcPr>
            <w:tcW w:w="1872" w:type="dxa"/>
          </w:tcPr>
          <w:p w14:paraId="3E5CFE0A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127.98</w:t>
            </w:r>
          </w:p>
        </w:tc>
        <w:tc>
          <w:tcPr>
            <w:tcW w:w="1872" w:type="dxa"/>
          </w:tcPr>
          <w:p w14:paraId="108A992E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-2.9467</w:t>
            </w:r>
          </w:p>
        </w:tc>
      </w:tr>
      <w:tr w:rsidR="00737FDF" w:rsidRPr="004B4E45" w14:paraId="672745AE" w14:textId="77777777" w:rsidTr="004B4E45">
        <w:tc>
          <w:tcPr>
            <w:tcW w:w="1872" w:type="dxa"/>
          </w:tcPr>
          <w:p w14:paraId="53945910" w14:textId="77777777" w:rsidR="00737FDF" w:rsidRPr="004B4E4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KNN (k=3)</w:t>
            </w:r>
          </w:p>
        </w:tc>
        <w:tc>
          <w:tcPr>
            <w:tcW w:w="1872" w:type="dxa"/>
          </w:tcPr>
          <w:p w14:paraId="7D298FE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114.44</w:t>
            </w:r>
          </w:p>
        </w:tc>
        <w:tc>
          <w:tcPr>
            <w:tcW w:w="1872" w:type="dxa"/>
          </w:tcPr>
          <w:p w14:paraId="3E83847D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16722.04</w:t>
            </w:r>
          </w:p>
        </w:tc>
        <w:tc>
          <w:tcPr>
            <w:tcW w:w="1872" w:type="dxa"/>
          </w:tcPr>
          <w:p w14:paraId="567E7FF5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129.31</w:t>
            </w:r>
          </w:p>
        </w:tc>
        <w:tc>
          <w:tcPr>
            <w:tcW w:w="1872" w:type="dxa"/>
          </w:tcPr>
          <w:p w14:paraId="4DFFBDF5" w14:textId="77777777" w:rsidR="00737FDF" w:rsidRPr="004B4E45" w:rsidRDefault="00000000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B4E45">
              <w:rPr>
                <w:rFonts w:ascii="Times New Roman" w:hAnsi="Times New Roman" w:cs="Times New Roman"/>
                <w:color w:val="000000" w:themeColor="text1"/>
                <w:sz w:val="19"/>
              </w:rPr>
              <w:t>-3.0294</w:t>
            </w:r>
          </w:p>
        </w:tc>
      </w:tr>
    </w:tbl>
    <w:p w14:paraId="5F25842B" w14:textId="77777777" w:rsidR="0033295F" w:rsidRDefault="00F54E47">
      <w:pPr>
        <w:spacing w:before="80"/>
        <w:ind w:left="432" w:right="432"/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</w:pPr>
      <w:r>
        <w:rPr>
          <w:noProof/>
        </w:rPr>
        <w:lastRenderedPageBreak/>
        <w:drawing>
          <wp:inline distT="0" distB="0" distL="0" distR="0" wp14:anchorId="3406009B" wp14:editId="3F77D607">
            <wp:extent cx="5943600" cy="3566160"/>
            <wp:effectExtent l="0" t="0" r="0" b="0"/>
            <wp:docPr id="11180359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10B4" w14:textId="503B50FE" w:rsidR="00737FDF" w:rsidRPr="00405110" w:rsidRDefault="0033295F">
      <w:pPr>
        <w:spacing w:before="80"/>
        <w:ind w:left="432" w:right="432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>
        <w:rPr>
          <w:noProof/>
        </w:rPr>
        <w:drawing>
          <wp:inline distT="0" distB="0" distL="0" distR="0" wp14:anchorId="3B906CFF" wp14:editId="1BE43AD1">
            <wp:extent cx="5943600" cy="3302000"/>
            <wp:effectExtent l="0" t="0" r="0" b="0"/>
            <wp:docPr id="1861086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br/>
      </w:r>
      <w:r w:rsidR="00000000" w:rsidRPr="00405110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 xml:space="preserve">Gráficos comparativos de las métricas de </w:t>
      </w:r>
      <w:r w:rsidR="004B4E45" w:rsidRPr="00405110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>R2</w:t>
      </w:r>
      <w:r w:rsidR="00000000" w:rsidRPr="00405110">
        <w:rPr>
          <w:rFonts w:ascii="Times New Roman" w:hAnsi="Times New Roman" w:cs="Times New Roman"/>
          <w:i/>
          <w:color w:val="000000" w:themeColor="text1"/>
          <w:sz w:val="24"/>
          <w:szCs w:val="24"/>
          <w:lang w:val="es-DO"/>
        </w:rPr>
        <w:t xml:space="preserve"> y RMSE para todos los algoritmos.</w:t>
      </w:r>
    </w:p>
    <w:p w14:paraId="38F2CA31" w14:textId="77777777" w:rsidR="00737FDF" w:rsidRPr="00405110" w:rsidRDefault="00000000">
      <w:pPr>
        <w:keepNext/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lastRenderedPageBreak/>
        <w:t>6.1 Justificación del Modelo Seleccionado</w:t>
      </w:r>
    </w:p>
    <w:p w14:paraId="55439CDB" w14:textId="6C16F946" w:rsidR="00737FDF" w:rsidRPr="004051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De las ocho alternativas, Lasso 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Regression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(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alpha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=0.01) fue seleccionado como la solución definitiva por obtener el rendimiento más consistente en todas las métricas evaluadas (menor error absoluto, menor varianza y mayor </w:t>
      </w:r>
      <w:r w:rsidR="004B4E45"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R2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).</w:t>
      </w:r>
    </w:p>
    <w:p w14:paraId="1DE55C58" w14:textId="2FBFB508" w:rsidR="00737FDF" w:rsidRPr="004051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Esta superioridad responde a la marcada linealidad entre las variables predictoras especialmente 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close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y sma_</w:t>
      </w:r>
      <w:r w:rsidR="00F54E47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7 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y el precio futuro. La penalización L1 permitió simplificar la arquitectura del modelo anulando variables superfluas sin sacrificar capacidad predictiva. En contraposición, los modelos no paramétricos mostraron un colapso debido a la imposibilidad de extrapolar precios en activos con tendencia alcista.</w:t>
      </w:r>
    </w:p>
    <w:p w14:paraId="03146D32" w14:textId="77777777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t>7. Arquitectura del Sistema de Predicción</w:t>
      </w:r>
    </w:p>
    <w:p w14:paraId="41ADC6BE" w14:textId="77777777" w:rsidR="00737FDF" w:rsidRPr="004051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El script ejecutable (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src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/predict.py) implementa el modelo Lasso en un entorno de inferencia para procesar archivos .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csv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nuevos mediante las siguientes etapas:</w:t>
      </w:r>
    </w:p>
    <w:p w14:paraId="42AE4DFA" w14:textId="77777777" w:rsidR="00737FDF" w:rsidRPr="00405110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1. Carga de Objetos Persistidos: 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Carga en memoria el modelo entrenado (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models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/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modelo_final.pkl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 y el transformador (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models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/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scaler.pkl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), evitando reentrenar la solución en cada ejecución.</w:t>
      </w:r>
    </w:p>
    <w:p w14:paraId="33F25054" w14:textId="77777777" w:rsidR="00737FDF" w:rsidRPr="00405110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2. Pipeline de Transformación: 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Aplica exactamente la misma ingeniería de características utilizada en el entrenamiento (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daily_return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, sma_7, volatility_7, 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daily_range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, 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volume_change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). Valida la presencia de al menos 7 registros consecutivos para calcular las ventanas móviles.</w:t>
      </w:r>
    </w:p>
    <w:p w14:paraId="72007E8E" w14:textId="77777777" w:rsidR="00737FDF" w:rsidRPr="00405110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3. Escalamiento Homogéneo: 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Transforma la matriz de entrada invocando </w:t>
      </w:r>
      <w:proofErr w:type="spellStart"/>
      <w:proofErr w:type="gram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scaler.transform</w:t>
      </w:r>
      <w:proofErr w:type="spellEnd"/>
      <w:proofErr w:type="gram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(), garantizando la aplicación de los mismos parámetros estadísticos aprendidos.</w:t>
      </w:r>
    </w:p>
    <w:p w14:paraId="1803F7D6" w14:textId="77777777" w:rsidR="00737FDF" w:rsidRPr="00405110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4. Generación de Predicciones: 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Modela la cotización de cierre estimada para el día siguiente en cada registro.</w:t>
      </w:r>
    </w:p>
    <w:p w14:paraId="6B479618" w14:textId="77777777" w:rsidR="00737FDF" w:rsidRPr="00405110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b/>
          <w:color w:val="000000" w:themeColor="text1"/>
          <w:sz w:val="24"/>
          <w:szCs w:val="24"/>
          <w:lang w:val="es-DO"/>
        </w:rPr>
        <w:t xml:space="preserve">5. Exportación: </w:t>
      </w: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Salva los resultados en data/predicciones.csv, correlacionando la fecha, la predicción y el valor real.</w:t>
      </w:r>
    </w:p>
    <w:p w14:paraId="34561041" w14:textId="77777777" w:rsidR="00737FDF" w:rsidRPr="004051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Comando de ejecución desde consola:</w:t>
      </w:r>
    </w:p>
    <w:p w14:paraId="64BA5910" w14:textId="77777777" w:rsidR="00737FDF" w:rsidRPr="00405110" w:rsidRDefault="00000000">
      <w:pPr>
        <w:spacing w:before="120"/>
        <w:ind w:left="432" w:right="432"/>
        <w:rPr>
          <w:rFonts w:asciiTheme="majorHAnsi" w:hAnsiTheme="majorHAnsi" w:cstheme="majorHAnsi"/>
          <w:color w:val="000000" w:themeColor="text1"/>
          <w:sz w:val="24"/>
          <w:szCs w:val="24"/>
          <w:lang w:val="es-DO"/>
        </w:rPr>
      </w:pPr>
      <w:proofErr w:type="spellStart"/>
      <w:r w:rsidRPr="00405110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val="es-DO"/>
        </w:rPr>
        <w:t>python</w:t>
      </w:r>
      <w:proofErr w:type="spellEnd"/>
      <w:r w:rsidRPr="00405110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val="es-DO"/>
        </w:rPr>
        <w:t xml:space="preserve"> src/predict.py --</w:t>
      </w:r>
      <w:proofErr w:type="spellStart"/>
      <w:r w:rsidRPr="00405110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val="es-DO"/>
        </w:rPr>
        <w:t>csv</w:t>
      </w:r>
      <w:proofErr w:type="spellEnd"/>
      <w:r w:rsidRPr="00405110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val="es-DO"/>
        </w:rPr>
        <w:t xml:space="preserve"> ruta/al/archivo_nuevo.csv</w:t>
      </w:r>
    </w:p>
    <w:p w14:paraId="5BF7B7A4" w14:textId="77777777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t>8. Conclusiones</w:t>
      </w:r>
    </w:p>
    <w:p w14:paraId="7DEE74A0" w14:textId="3FFD13C3" w:rsidR="004B4E45" w:rsidRPr="00405110" w:rsidRDefault="00000000" w:rsidP="004B4E45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La evaluación comparativa concluye </w:t>
      </w:r>
      <w:proofErr w:type="gram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que</w:t>
      </w:r>
      <w:proofErr w:type="gram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para series de tiempo financieras con una fuerte estructura lineal en sus variables técnicas de tendencia, los modelos lineales regularizados (particularmente Lasso) proporcionan el mejor balance entre precisión, ligereza computacional y </w:t>
      </w:r>
      <w:proofErr w:type="spellStart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explicabilidad</w:t>
      </w:r>
      <w:proofErr w:type="spellEnd"/>
      <w:r w:rsidRPr="00405110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. Asimismo, se evidenció la limitación crítica que presentan los algoritmos basados en distancias o particiones del espacio al intentar extrapolar en series con tendencias no vistas previamente en el conjunto de entrenamiento.</w:t>
      </w:r>
    </w:p>
    <w:p w14:paraId="7347CECB" w14:textId="77777777" w:rsidR="00405110" w:rsidRPr="00405110" w:rsidRDefault="00405110" w:rsidP="004B4E45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</w:p>
    <w:p w14:paraId="2A03B9F0" w14:textId="08D56774" w:rsidR="00737FDF" w:rsidRPr="004B4E45" w:rsidRDefault="00000000">
      <w:pPr>
        <w:keepNext/>
        <w:spacing w:before="28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sz w:val="29"/>
          <w:lang w:val="es-DO"/>
        </w:rPr>
        <w:t>Anexos y Recursos del Proyecto</w:t>
      </w:r>
    </w:p>
    <w:p w14:paraId="6C00E98D" w14:textId="2C961F2C" w:rsidR="00737FDF" w:rsidRDefault="00000000">
      <w:pPr>
        <w:pStyle w:val="Listaconvietas"/>
        <w:spacing w:after="60"/>
        <w:rPr>
          <w:rFonts w:ascii="Times New Roman" w:hAnsi="Times New Roman" w:cs="Times New Roman"/>
          <w:color w:val="000000" w:themeColor="text1"/>
          <w:lang w:val="es-DO"/>
        </w:rPr>
      </w:pPr>
      <w:r w:rsidRPr="004B4E45">
        <w:rPr>
          <w:rFonts w:ascii="Times New Roman" w:hAnsi="Times New Roman" w:cs="Times New Roman"/>
          <w:b/>
          <w:color w:val="000000" w:themeColor="text1"/>
          <w:lang w:val="es-DO"/>
        </w:rPr>
        <w:t>Repositorio en GitHub:</w:t>
      </w:r>
      <w:r w:rsidR="004B4E45">
        <w:rPr>
          <w:rFonts w:ascii="Times New Roman" w:hAnsi="Times New Roman" w:cs="Times New Roman"/>
          <w:b/>
          <w:color w:val="000000" w:themeColor="text1"/>
          <w:lang w:val="es-DO"/>
        </w:rPr>
        <w:t>(</w:t>
      </w:r>
      <w:r w:rsidR="004B4E45" w:rsidRPr="004B4E45">
        <w:rPr>
          <w:lang w:val="es-DO"/>
        </w:rPr>
        <w:t xml:space="preserve"> </w:t>
      </w:r>
      <w:hyperlink r:id="rId13" w:history="1">
        <w:r w:rsidR="004B4E45" w:rsidRPr="004B4E45">
          <w:rPr>
            <w:rStyle w:val="Hipervnculo"/>
            <w:rFonts w:ascii="Times New Roman" w:hAnsi="Times New Roman" w:cs="Times New Roman"/>
            <w:b/>
            <w:lang w:val="es-DO"/>
          </w:rPr>
          <w:t>Abel-QL/Aprendizaje-Automatico-Regresion-Lineal: Proyecto de Inteligencia Artificial, para estimar el valor futuro de un ticket en el mercado de valores usando python.</w:t>
        </w:r>
      </w:hyperlink>
      <w:r w:rsidR="004B4E45">
        <w:rPr>
          <w:rFonts w:ascii="Times New Roman" w:hAnsi="Times New Roman" w:cs="Times New Roman"/>
          <w:b/>
          <w:color w:val="000000" w:themeColor="text1"/>
          <w:lang w:val="es-DO"/>
        </w:rPr>
        <w:t>)</w:t>
      </w:r>
      <w:r w:rsidRPr="004B4E45">
        <w:rPr>
          <w:rFonts w:ascii="Times New Roman" w:hAnsi="Times New Roman" w:cs="Times New Roman"/>
          <w:b/>
          <w:color w:val="000000" w:themeColor="text1"/>
          <w:lang w:val="es-DO"/>
        </w:rPr>
        <w:t xml:space="preserve"> </w:t>
      </w:r>
      <w:r w:rsidRPr="004B4E45">
        <w:rPr>
          <w:rFonts w:ascii="Times New Roman" w:hAnsi="Times New Roman" w:cs="Times New Roman"/>
          <w:color w:val="000000" w:themeColor="text1"/>
          <w:lang w:val="es-DO"/>
        </w:rPr>
        <w:t xml:space="preserve"> </w:t>
      </w:r>
      <w:hyperlink r:id="rId14" w:history="1">
        <w:r w:rsidR="00825EFA" w:rsidRPr="00AA2BEB">
          <w:rPr>
            <w:rStyle w:val="Hipervnculo"/>
            <w:rFonts w:ascii="Times New Roman" w:hAnsi="Times New Roman" w:cs="Times New Roman"/>
            <w:lang w:val="es-DO"/>
          </w:rPr>
          <w:t>https://github.com/Abel-QL/Aprendizaje-Automatico-Regresion-Lineal</w:t>
        </w:r>
      </w:hyperlink>
    </w:p>
    <w:p w14:paraId="72084AAD" w14:textId="77777777" w:rsidR="00825EFA" w:rsidRPr="004B4E45" w:rsidRDefault="00825EFA" w:rsidP="00825EFA">
      <w:pPr>
        <w:pStyle w:val="Listaconvieta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color w:val="000000" w:themeColor="text1"/>
          <w:lang w:val="es-DO"/>
        </w:rPr>
      </w:pPr>
    </w:p>
    <w:p w14:paraId="55C94511" w14:textId="3D2A0419" w:rsidR="00737FDF" w:rsidRPr="004B4E45" w:rsidRDefault="00000000" w:rsidP="004B4E45">
      <w:pPr>
        <w:pStyle w:val="Listaconvietas"/>
        <w:spacing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4B4E45">
        <w:rPr>
          <w:rFonts w:ascii="Times New Roman" w:hAnsi="Times New Roman" w:cs="Times New Roman"/>
          <w:b/>
          <w:color w:val="000000" w:themeColor="text1"/>
        </w:rPr>
        <w:t>Cuaderno</w:t>
      </w:r>
      <w:proofErr w:type="spellEnd"/>
      <w:r w:rsidRPr="004B4E45">
        <w:rPr>
          <w:rFonts w:ascii="Times New Roman" w:hAnsi="Times New Roman" w:cs="Times New Roman"/>
          <w:b/>
          <w:color w:val="000000" w:themeColor="text1"/>
        </w:rPr>
        <w:t xml:space="preserve"> Experimental (Jupyter Notebook)</w:t>
      </w:r>
      <w:r w:rsidR="004B4E45" w:rsidRPr="004B4E45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4B4E45" w:rsidRPr="004B4E45">
        <w:rPr>
          <w:rFonts w:ascii="Times New Roman" w:hAnsi="Times New Roman" w:cs="Times New Roman"/>
          <w:color w:val="000000" w:themeColor="text1"/>
        </w:rPr>
        <w:t>notebooks/</w:t>
      </w:r>
      <w:proofErr w:type="spellStart"/>
      <w:r w:rsidR="004B4E45" w:rsidRPr="004B4E45">
        <w:rPr>
          <w:rFonts w:ascii="Times New Roman" w:hAnsi="Times New Roman" w:cs="Times New Roman"/>
          <w:color w:val="000000" w:themeColor="text1"/>
        </w:rPr>
        <w:t>modelo.ipynb</w:t>
      </w:r>
      <w:proofErr w:type="spellEnd"/>
    </w:p>
    <w:sectPr w:rsidR="00737FDF" w:rsidRPr="004B4E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793355">
    <w:abstractNumId w:val="8"/>
  </w:num>
  <w:num w:numId="2" w16cid:durableId="1142238501">
    <w:abstractNumId w:val="6"/>
  </w:num>
  <w:num w:numId="3" w16cid:durableId="1537961371">
    <w:abstractNumId w:val="5"/>
  </w:num>
  <w:num w:numId="4" w16cid:durableId="1539004193">
    <w:abstractNumId w:val="4"/>
  </w:num>
  <w:num w:numId="5" w16cid:durableId="1621060882">
    <w:abstractNumId w:val="7"/>
  </w:num>
  <w:num w:numId="6" w16cid:durableId="446126533">
    <w:abstractNumId w:val="3"/>
  </w:num>
  <w:num w:numId="7" w16cid:durableId="719478089">
    <w:abstractNumId w:val="2"/>
  </w:num>
  <w:num w:numId="8" w16cid:durableId="741413933">
    <w:abstractNumId w:val="1"/>
  </w:num>
  <w:num w:numId="9" w16cid:durableId="159994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95F"/>
    <w:rsid w:val="00405110"/>
    <w:rsid w:val="004B4E45"/>
    <w:rsid w:val="00682DB0"/>
    <w:rsid w:val="00737FDF"/>
    <w:rsid w:val="00825EFA"/>
    <w:rsid w:val="00AA1D8D"/>
    <w:rsid w:val="00B47730"/>
    <w:rsid w:val="00B91743"/>
    <w:rsid w:val="00BE7BFE"/>
    <w:rsid w:val="00CB0664"/>
    <w:rsid w:val="00F54E47"/>
    <w:rsid w:val="00FC5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36132E"/>
  <w14:defaultImageDpi w14:val="300"/>
  <w15:docId w15:val="{5CB1BC5E-EA96-4AF5-AC0C-E16F2DE3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B4E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4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bel-QL/Aprendizaje-Automatico-Regresion-Linea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bel-QL/Aprendizaje-Automatico-Regresion-Line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2104</Words>
  <Characters>11576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Abel Quezada Lorenzo</cp:lastModifiedBy>
  <cp:revision>2</cp:revision>
  <dcterms:created xsi:type="dcterms:W3CDTF">2026-07-23T22:04:00Z</dcterms:created>
  <dcterms:modified xsi:type="dcterms:W3CDTF">2026-07-23T22:04:00Z</dcterms:modified>
  <cp:category/>
</cp:coreProperties>
</file>