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078E63" w14:textId="32123618" w:rsidR="006B0F30" w:rsidRDefault="379EF2D9" w:rsidP="5C5906FE">
      <w:pPr>
        <w:rPr>
          <w:rFonts w:ascii="Times New Roman" w:eastAsia="Times New Roman" w:hAnsi="Times New Roman" w:cs="Times New Roman"/>
          <w:b/>
          <w:bCs/>
          <w:sz w:val="36"/>
          <w:szCs w:val="36"/>
        </w:rPr>
      </w:pPr>
      <w:r w:rsidRPr="5C5906FE">
        <w:rPr>
          <w:rFonts w:ascii="Times New Roman" w:eastAsia="Times New Roman" w:hAnsi="Times New Roman" w:cs="Times New Roman"/>
          <w:b/>
          <w:bCs/>
          <w:sz w:val="36"/>
          <w:szCs w:val="36"/>
        </w:rPr>
        <w:t>CO</w:t>
      </w:r>
      <w:r w:rsidRPr="5C5906FE">
        <w:rPr>
          <w:rFonts w:ascii="Times New Roman" w:eastAsia="Times New Roman" w:hAnsi="Times New Roman" w:cs="Times New Roman"/>
          <w:b/>
          <w:bCs/>
          <w:sz w:val="36"/>
          <w:szCs w:val="36"/>
          <w:vertAlign w:val="subscript"/>
        </w:rPr>
        <w:t>2</w:t>
      </w:r>
      <w:r w:rsidRPr="5C5906FE">
        <w:rPr>
          <w:rFonts w:ascii="Times New Roman" w:eastAsia="Times New Roman" w:hAnsi="Times New Roman" w:cs="Times New Roman"/>
          <w:b/>
          <w:bCs/>
          <w:sz w:val="36"/>
          <w:szCs w:val="36"/>
        </w:rPr>
        <w:t xml:space="preserve"> Emission Prediction </w:t>
      </w:r>
      <w:r w:rsidR="24B573BC" w:rsidRPr="5C5906FE">
        <w:rPr>
          <w:rFonts w:ascii="Times New Roman" w:eastAsia="Times New Roman" w:hAnsi="Times New Roman" w:cs="Times New Roman"/>
          <w:b/>
          <w:bCs/>
          <w:sz w:val="36"/>
          <w:szCs w:val="36"/>
        </w:rPr>
        <w:t>for Climate Change Mitigation.</w:t>
      </w:r>
    </w:p>
    <w:p w14:paraId="0DC22466" w14:textId="1DADBF76" w:rsidR="24B573BC" w:rsidRDefault="24B573BC" w:rsidP="5C5906FE">
      <w:pPr>
        <w:rPr>
          <w:rFonts w:ascii="Times New Roman" w:eastAsia="Times New Roman" w:hAnsi="Times New Roman" w:cs="Times New Roman"/>
          <w:b/>
          <w:bCs/>
          <w:sz w:val="36"/>
          <w:szCs w:val="36"/>
        </w:rPr>
      </w:pPr>
      <w:r w:rsidRPr="5C5906FE">
        <w:rPr>
          <w:rFonts w:ascii="Times New Roman" w:eastAsia="Times New Roman" w:hAnsi="Times New Roman" w:cs="Times New Roman"/>
          <w:b/>
          <w:bCs/>
          <w:sz w:val="32"/>
          <w:szCs w:val="32"/>
        </w:rPr>
        <w:t>Abstract.</w:t>
      </w:r>
    </w:p>
    <w:p w14:paraId="4385614D" w14:textId="5E6AEBB6" w:rsidR="4156E66C" w:rsidRPr="002B4420" w:rsidRDefault="4156E66C" w:rsidP="5C5906FE">
      <w:pPr>
        <w:rPr>
          <w:rFonts w:ascii="Times New Roman" w:eastAsia="Times New Roman" w:hAnsi="Times New Roman" w:cs="Times New Roman"/>
          <w:bCs/>
        </w:rPr>
      </w:pPr>
      <w:r w:rsidRPr="002B4420">
        <w:rPr>
          <w:rFonts w:ascii="Times New Roman" w:eastAsia="Times New Roman" w:hAnsi="Times New Roman" w:cs="Times New Roman"/>
          <w:bCs/>
        </w:rPr>
        <w:t>Carbon (</w:t>
      </w:r>
      <w:r w:rsidR="59BC258B" w:rsidRPr="002B4420">
        <w:rPr>
          <w:rFonts w:ascii="Times New Roman" w:eastAsia="Times New Roman" w:hAnsi="Times New Roman" w:cs="Times New Roman"/>
          <w:bCs/>
        </w:rPr>
        <w:t xml:space="preserve">IV) oxide </w:t>
      </w:r>
      <w:r w:rsidR="2E2771A4" w:rsidRPr="002B4420">
        <w:rPr>
          <w:rFonts w:ascii="Times New Roman" w:eastAsia="Times New Roman" w:hAnsi="Times New Roman" w:cs="Times New Roman"/>
          <w:bCs/>
        </w:rPr>
        <w:t>has contributed majorly to Air p</w:t>
      </w:r>
      <w:r w:rsidR="002B4420">
        <w:rPr>
          <w:rFonts w:ascii="Times New Roman" w:eastAsia="Times New Roman" w:hAnsi="Times New Roman" w:cs="Times New Roman"/>
          <w:bCs/>
        </w:rPr>
        <w:t>ollution.  Air pollution has le</w:t>
      </w:r>
      <w:r w:rsidR="2E2771A4" w:rsidRPr="002B4420">
        <w:rPr>
          <w:rFonts w:ascii="Times New Roman" w:eastAsia="Times New Roman" w:hAnsi="Times New Roman" w:cs="Times New Roman"/>
          <w:bCs/>
        </w:rPr>
        <w:t>d to many chronic diseases</w:t>
      </w:r>
      <w:r w:rsidR="082CCD31" w:rsidRPr="002B4420">
        <w:rPr>
          <w:rFonts w:ascii="Times New Roman" w:eastAsia="Times New Roman" w:hAnsi="Times New Roman" w:cs="Times New Roman"/>
          <w:bCs/>
        </w:rPr>
        <w:t>. The sources of these CO</w:t>
      </w:r>
      <w:r w:rsidR="082CCD31" w:rsidRPr="002B4420">
        <w:rPr>
          <w:rFonts w:ascii="Times New Roman" w:eastAsia="Times New Roman" w:hAnsi="Times New Roman" w:cs="Times New Roman"/>
          <w:bCs/>
          <w:vertAlign w:val="subscript"/>
        </w:rPr>
        <w:t>2</w:t>
      </w:r>
      <w:r w:rsidR="082CCD31" w:rsidRPr="002B4420">
        <w:rPr>
          <w:rFonts w:ascii="Times New Roman" w:eastAsia="Times New Roman" w:hAnsi="Times New Roman" w:cs="Times New Roman"/>
          <w:bCs/>
        </w:rPr>
        <w:t xml:space="preserve"> emission are:</w:t>
      </w:r>
      <w:r w:rsidR="1BD3B135" w:rsidRPr="002B4420">
        <w:rPr>
          <w:rFonts w:ascii="Times New Roman" w:eastAsia="Times New Roman" w:hAnsi="Times New Roman" w:cs="Times New Roman"/>
          <w:bCs/>
        </w:rPr>
        <w:t xml:space="preserve"> combustion of fossils fuels this contribute great percentage others are from transportation </w:t>
      </w:r>
      <w:r w:rsidR="14815063" w:rsidRPr="002B4420">
        <w:rPr>
          <w:rFonts w:ascii="Times New Roman" w:eastAsia="Times New Roman" w:hAnsi="Times New Roman" w:cs="Times New Roman"/>
          <w:bCs/>
        </w:rPr>
        <w:t>and electricity/heat sector etc. Th</w:t>
      </w:r>
      <w:r w:rsidR="002B4420">
        <w:rPr>
          <w:rFonts w:ascii="Times New Roman" w:eastAsia="Times New Roman" w:hAnsi="Times New Roman" w:cs="Times New Roman"/>
          <w:bCs/>
        </w:rPr>
        <w:t xml:space="preserve">ese </w:t>
      </w:r>
      <w:r w:rsidR="14815063" w:rsidRPr="002B4420">
        <w:rPr>
          <w:rFonts w:ascii="Times New Roman" w:eastAsia="Times New Roman" w:hAnsi="Times New Roman" w:cs="Times New Roman"/>
          <w:bCs/>
        </w:rPr>
        <w:t xml:space="preserve">factors have </w:t>
      </w:r>
      <w:r w:rsidR="2566763E" w:rsidRPr="002B4420">
        <w:rPr>
          <w:rFonts w:ascii="Times New Roman" w:eastAsia="Times New Roman" w:hAnsi="Times New Roman" w:cs="Times New Roman"/>
          <w:bCs/>
        </w:rPr>
        <w:t>led</w:t>
      </w:r>
      <w:r w:rsidR="1A176C63" w:rsidRPr="002B4420">
        <w:rPr>
          <w:rFonts w:ascii="Times New Roman" w:eastAsia="Times New Roman" w:hAnsi="Times New Roman" w:cs="Times New Roman"/>
          <w:bCs/>
        </w:rPr>
        <w:t xml:space="preserve"> to</w:t>
      </w:r>
      <w:r w:rsidR="547FB6A8" w:rsidRPr="002B4420">
        <w:rPr>
          <w:rFonts w:ascii="Times New Roman" w:eastAsia="Times New Roman" w:hAnsi="Times New Roman" w:cs="Times New Roman"/>
          <w:bCs/>
        </w:rPr>
        <w:t xml:space="preserve"> government and world health </w:t>
      </w:r>
      <w:r w:rsidR="65D5C69E" w:rsidRPr="002B4420">
        <w:rPr>
          <w:rFonts w:ascii="Times New Roman" w:eastAsia="Times New Roman" w:hAnsi="Times New Roman" w:cs="Times New Roman"/>
          <w:bCs/>
        </w:rPr>
        <w:t>organization</w:t>
      </w:r>
      <w:r w:rsidR="547FB6A8" w:rsidRPr="002B4420">
        <w:rPr>
          <w:rFonts w:ascii="Times New Roman" w:eastAsia="Times New Roman" w:hAnsi="Times New Roman" w:cs="Times New Roman"/>
          <w:bCs/>
        </w:rPr>
        <w:t xml:space="preserve"> come up with mitigation to control and monitor the </w:t>
      </w:r>
      <w:r w:rsidR="258DDF4A" w:rsidRPr="002B4420">
        <w:rPr>
          <w:rFonts w:ascii="Times New Roman" w:eastAsia="Times New Roman" w:hAnsi="Times New Roman" w:cs="Times New Roman"/>
          <w:bCs/>
        </w:rPr>
        <w:t>emission</w:t>
      </w:r>
      <w:r w:rsidR="547FB6A8" w:rsidRPr="002B4420">
        <w:rPr>
          <w:rFonts w:ascii="Times New Roman" w:eastAsia="Times New Roman" w:hAnsi="Times New Roman" w:cs="Times New Roman"/>
          <w:bCs/>
        </w:rPr>
        <w:t xml:space="preserve"> of carbon dioxide and other </w:t>
      </w:r>
      <w:r w:rsidR="74B2C602" w:rsidRPr="002B4420">
        <w:rPr>
          <w:rFonts w:ascii="Times New Roman" w:eastAsia="Times New Roman" w:hAnsi="Times New Roman" w:cs="Times New Roman"/>
          <w:bCs/>
        </w:rPr>
        <w:t xml:space="preserve">pollutants. </w:t>
      </w:r>
    </w:p>
    <w:p w14:paraId="2D666FB7" w14:textId="4BC70635" w:rsidR="74B2C602" w:rsidRPr="002B4420" w:rsidRDefault="74B2C602" w:rsidP="5C5906FE">
      <w:pPr>
        <w:rPr>
          <w:rFonts w:ascii="Times New Roman" w:eastAsia="Times New Roman" w:hAnsi="Times New Roman" w:cs="Times New Roman"/>
          <w:bCs/>
        </w:rPr>
      </w:pPr>
      <w:r w:rsidRPr="002B4420">
        <w:rPr>
          <w:rFonts w:ascii="Times New Roman" w:eastAsia="Times New Roman" w:hAnsi="Times New Roman" w:cs="Times New Roman"/>
          <w:bCs/>
        </w:rPr>
        <w:t xml:space="preserve">Government like </w:t>
      </w:r>
      <w:r w:rsidR="6E3B5AEA" w:rsidRPr="002B4420">
        <w:rPr>
          <w:rFonts w:ascii="Times New Roman" w:eastAsia="Times New Roman" w:hAnsi="Times New Roman" w:cs="Times New Roman"/>
          <w:bCs/>
        </w:rPr>
        <w:t>China was the most affect with air pollution this was due to having a lot of industries. They came up with a progr</w:t>
      </w:r>
      <w:r w:rsidR="473CA097" w:rsidRPr="002B4420">
        <w:rPr>
          <w:rFonts w:ascii="Times New Roman" w:eastAsia="Times New Roman" w:hAnsi="Times New Roman" w:cs="Times New Roman"/>
          <w:bCs/>
        </w:rPr>
        <w:t xml:space="preserve">am to cleanse the air. </w:t>
      </w:r>
      <w:r w:rsidR="1E5E119D" w:rsidRPr="002B4420">
        <w:rPr>
          <w:rFonts w:ascii="Times New Roman" w:eastAsia="Times New Roman" w:hAnsi="Times New Roman" w:cs="Times New Roman"/>
          <w:bCs/>
        </w:rPr>
        <w:t xml:space="preserve">This has </w:t>
      </w:r>
      <w:r w:rsidR="2530E965" w:rsidRPr="002B4420">
        <w:rPr>
          <w:rFonts w:ascii="Times New Roman" w:eastAsia="Times New Roman" w:hAnsi="Times New Roman" w:cs="Times New Roman"/>
          <w:bCs/>
        </w:rPr>
        <w:t>prompted different organizations</w:t>
      </w:r>
      <w:r w:rsidR="52846757" w:rsidRPr="002B4420">
        <w:rPr>
          <w:rFonts w:ascii="Times New Roman" w:eastAsia="Times New Roman" w:hAnsi="Times New Roman" w:cs="Times New Roman"/>
          <w:bCs/>
        </w:rPr>
        <w:t xml:space="preserve"> and government </w:t>
      </w:r>
      <w:r w:rsidR="459DB06B" w:rsidRPr="002B4420">
        <w:rPr>
          <w:rFonts w:ascii="Times New Roman" w:eastAsia="Times New Roman" w:hAnsi="Times New Roman" w:cs="Times New Roman"/>
          <w:bCs/>
        </w:rPr>
        <w:t>to come</w:t>
      </w:r>
      <w:r w:rsidR="52846757" w:rsidRPr="002B4420">
        <w:rPr>
          <w:rFonts w:ascii="Times New Roman" w:eastAsia="Times New Roman" w:hAnsi="Times New Roman" w:cs="Times New Roman"/>
          <w:bCs/>
        </w:rPr>
        <w:t xml:space="preserve"> up with a strategy to monitor the amount of </w:t>
      </w:r>
      <w:r w:rsidR="7BFC22CF" w:rsidRPr="002B4420">
        <w:rPr>
          <w:rFonts w:ascii="Times New Roman" w:eastAsia="Times New Roman" w:hAnsi="Times New Roman" w:cs="Times New Roman"/>
          <w:bCs/>
        </w:rPr>
        <w:t>CO2 emission</w:t>
      </w:r>
      <w:r w:rsidR="52846757" w:rsidRPr="002B4420">
        <w:rPr>
          <w:rFonts w:ascii="Times New Roman" w:eastAsia="Times New Roman" w:hAnsi="Times New Roman" w:cs="Times New Roman"/>
          <w:bCs/>
        </w:rPr>
        <w:t>.</w:t>
      </w:r>
      <w:r w:rsidR="23C3741B" w:rsidRPr="002B4420">
        <w:rPr>
          <w:rFonts w:ascii="Times New Roman" w:eastAsia="Times New Roman" w:hAnsi="Times New Roman" w:cs="Times New Roman"/>
          <w:bCs/>
        </w:rPr>
        <w:t xml:space="preserve"> One of the strategies is introducing EVs so that it can lower the amount of carbon dioxide emissions</w:t>
      </w:r>
      <w:r w:rsidR="0B46E847" w:rsidRPr="002B4420">
        <w:rPr>
          <w:rFonts w:ascii="Times New Roman" w:eastAsia="Times New Roman" w:hAnsi="Times New Roman" w:cs="Times New Roman"/>
          <w:bCs/>
        </w:rPr>
        <w:t>.</w:t>
      </w:r>
    </w:p>
    <w:p w14:paraId="6E34460E" w14:textId="1F271DEE" w:rsidR="65A9F169" w:rsidRPr="002B4420" w:rsidRDefault="65A9F169" w:rsidP="5C5906FE">
      <w:pPr>
        <w:rPr>
          <w:rFonts w:ascii="Times New Roman" w:eastAsia="Times New Roman" w:hAnsi="Times New Roman" w:cs="Times New Roman"/>
          <w:bCs/>
        </w:rPr>
      </w:pPr>
      <w:r w:rsidRPr="002B4420">
        <w:rPr>
          <w:rFonts w:ascii="Times New Roman" w:eastAsia="Times New Roman" w:hAnsi="Times New Roman" w:cs="Times New Roman"/>
          <w:bCs/>
        </w:rPr>
        <w:t xml:space="preserve">The ability to accurately </w:t>
      </w:r>
      <w:r w:rsidR="35FD33BF" w:rsidRPr="002B4420">
        <w:rPr>
          <w:rFonts w:ascii="Times New Roman" w:eastAsia="Times New Roman" w:hAnsi="Times New Roman" w:cs="Times New Roman"/>
          <w:bCs/>
        </w:rPr>
        <w:t>monitor carbon</w:t>
      </w:r>
      <w:r w:rsidR="537E9281" w:rsidRPr="002B4420">
        <w:rPr>
          <w:rFonts w:ascii="Times New Roman" w:eastAsia="Times New Roman" w:hAnsi="Times New Roman" w:cs="Times New Roman"/>
          <w:bCs/>
        </w:rPr>
        <w:t xml:space="preserve"> </w:t>
      </w:r>
      <w:r w:rsidR="6E7EA46C" w:rsidRPr="002B4420">
        <w:rPr>
          <w:rFonts w:ascii="Times New Roman" w:eastAsia="Times New Roman" w:hAnsi="Times New Roman" w:cs="Times New Roman"/>
          <w:bCs/>
        </w:rPr>
        <w:t>emissions</w:t>
      </w:r>
      <w:r w:rsidR="537E9281" w:rsidRPr="002B4420">
        <w:rPr>
          <w:rFonts w:ascii="Times New Roman" w:eastAsia="Times New Roman" w:hAnsi="Times New Roman" w:cs="Times New Roman"/>
          <w:bCs/>
        </w:rPr>
        <w:t xml:space="preserve"> is a critical step in the fight against climate change. Precise carbon readings allow researchers and governments to understand the sources and patt</w:t>
      </w:r>
      <w:r w:rsidR="3F19FFC0" w:rsidRPr="002B4420">
        <w:rPr>
          <w:rFonts w:ascii="Times New Roman" w:eastAsia="Times New Roman" w:hAnsi="Times New Roman" w:cs="Times New Roman"/>
          <w:bCs/>
        </w:rPr>
        <w:t xml:space="preserve">erns of carbon mass output. While Europe and North America have extensive systems in place to monitor carbon emissions on the </w:t>
      </w:r>
      <w:r w:rsidR="758DE35E" w:rsidRPr="002B4420">
        <w:rPr>
          <w:rFonts w:ascii="Times New Roman" w:eastAsia="Times New Roman" w:hAnsi="Times New Roman" w:cs="Times New Roman"/>
          <w:bCs/>
        </w:rPr>
        <w:t>ground there are few available in Africa.</w:t>
      </w:r>
    </w:p>
    <w:p w14:paraId="67D9775D" w14:textId="39AD5032" w:rsidR="567AFEE1" w:rsidRDefault="567AFEE1" w:rsidP="5C5906FE">
      <w:pPr>
        <w:rPr>
          <w:rFonts w:ascii="Times New Roman" w:eastAsia="Times New Roman" w:hAnsi="Times New Roman" w:cs="Times New Roman"/>
          <w:b/>
          <w:bCs/>
          <w:sz w:val="36"/>
          <w:szCs w:val="36"/>
        </w:rPr>
      </w:pPr>
      <w:r w:rsidRPr="5C5906FE">
        <w:rPr>
          <w:rFonts w:ascii="Times New Roman" w:eastAsia="Times New Roman" w:hAnsi="Times New Roman" w:cs="Times New Roman"/>
          <w:b/>
          <w:bCs/>
          <w:sz w:val="36"/>
          <w:szCs w:val="36"/>
        </w:rPr>
        <w:t xml:space="preserve">                             </w:t>
      </w:r>
      <w:r w:rsidRPr="5C5906FE">
        <w:rPr>
          <w:rStyle w:val="Heading1Char"/>
        </w:rPr>
        <w:t xml:space="preserve"> Chapter 1</w:t>
      </w:r>
    </w:p>
    <w:p w14:paraId="34925C86" w14:textId="68758ED7" w:rsidR="6E7DF848" w:rsidRDefault="6E7DF848" w:rsidP="5C5906FE">
      <w:pPr>
        <w:pStyle w:val="Heading2"/>
        <w:rPr>
          <w:rFonts w:ascii="Times New Roman" w:eastAsia="Times New Roman" w:hAnsi="Times New Roman" w:cs="Times New Roman"/>
          <w:sz w:val="28"/>
          <w:szCs w:val="28"/>
        </w:rPr>
      </w:pPr>
      <w:r w:rsidRPr="5C5906FE">
        <w:rPr>
          <w:rFonts w:ascii="Times New Roman" w:eastAsia="Times New Roman" w:hAnsi="Times New Roman" w:cs="Times New Roman"/>
          <w:sz w:val="28"/>
          <w:szCs w:val="28"/>
        </w:rPr>
        <w:t>1.1 Background study.</w:t>
      </w:r>
    </w:p>
    <w:p w14:paraId="57BAA1CE" w14:textId="77777777" w:rsidR="000C240C" w:rsidRPr="000C240C" w:rsidRDefault="000C240C" w:rsidP="000C240C"/>
    <w:p w14:paraId="24930A8D" w14:textId="3BE1DE90" w:rsidR="6532BA7F" w:rsidRDefault="6532BA7F" w:rsidP="5C5906FE">
      <w:pPr>
        <w:pStyle w:val="Heading3"/>
      </w:pPr>
      <w:r>
        <w:t>1.2 Problem statement.</w:t>
      </w:r>
    </w:p>
    <w:p w14:paraId="1B25E667" w14:textId="2E61EC94" w:rsidR="078AC9AC" w:rsidRDefault="078AC9AC" w:rsidP="5C5906FE">
      <w:pPr>
        <w:rPr>
          <w:rFonts w:ascii="Times New Roman" w:eastAsia="Times New Roman" w:hAnsi="Times New Roman" w:cs="Times New Roman"/>
        </w:rPr>
      </w:pPr>
      <w:r w:rsidRPr="5C5906FE">
        <w:rPr>
          <w:rFonts w:ascii="Times New Roman" w:eastAsia="Times New Roman" w:hAnsi="Times New Roman" w:cs="Times New Roman"/>
        </w:rPr>
        <w:t xml:space="preserve">The escalating threat of climate change due to rising global greenhouse gas, primarily in the form of </w:t>
      </w:r>
      <w:r w:rsidR="39E6B437" w:rsidRPr="5C5906FE">
        <w:rPr>
          <w:rFonts w:ascii="Times New Roman" w:eastAsia="Times New Roman" w:hAnsi="Times New Roman" w:cs="Times New Roman"/>
        </w:rPr>
        <w:t>CO</w:t>
      </w:r>
      <w:r w:rsidR="39E6B437" w:rsidRPr="5C5906FE">
        <w:rPr>
          <w:rFonts w:ascii="Times New Roman" w:eastAsia="Times New Roman" w:hAnsi="Times New Roman" w:cs="Times New Roman"/>
          <w:vertAlign w:val="subscript"/>
        </w:rPr>
        <w:t>2</w:t>
      </w:r>
      <w:r w:rsidRPr="5C5906FE">
        <w:rPr>
          <w:rFonts w:ascii="Times New Roman" w:eastAsia="Times New Roman" w:hAnsi="Times New Roman" w:cs="Times New Roman"/>
        </w:rPr>
        <w:t>,</w:t>
      </w:r>
      <w:r w:rsidR="710E3397" w:rsidRPr="5C5906FE">
        <w:rPr>
          <w:rFonts w:ascii="Times New Roman" w:eastAsia="Times New Roman" w:hAnsi="Times New Roman" w:cs="Times New Roman"/>
        </w:rPr>
        <w:t xml:space="preserve"> necessitates the development of a robust machine learning model capable of predicting and add</w:t>
      </w:r>
      <w:r w:rsidR="04D4940F" w:rsidRPr="5C5906FE">
        <w:rPr>
          <w:rFonts w:ascii="Times New Roman" w:eastAsia="Times New Roman" w:hAnsi="Times New Roman" w:cs="Times New Roman"/>
        </w:rPr>
        <w:t xml:space="preserve">ressing these emissions. </w:t>
      </w:r>
      <w:r w:rsidRPr="5C5906FE">
        <w:rPr>
          <w:rFonts w:ascii="Times New Roman" w:eastAsia="Times New Roman" w:hAnsi="Times New Roman" w:cs="Times New Roman"/>
        </w:rPr>
        <w:t xml:space="preserve"> </w:t>
      </w:r>
    </w:p>
    <w:p w14:paraId="392D7C8C" w14:textId="7AE67A31" w:rsidR="6532BA7F" w:rsidRDefault="6532BA7F" w:rsidP="5C5906FE">
      <w:pPr>
        <w:pStyle w:val="Heading4"/>
      </w:pPr>
      <w:r>
        <w:t>1.3 Main objective.</w:t>
      </w:r>
    </w:p>
    <w:p w14:paraId="0AC2291D" w14:textId="101C3ED4" w:rsidR="125C9764" w:rsidRDefault="125C9764" w:rsidP="5C5906FE">
      <w:pPr>
        <w:rPr>
          <w:rFonts w:ascii="Times New Roman" w:eastAsia="Times New Roman" w:hAnsi="Times New Roman" w:cs="Times New Roman"/>
        </w:rPr>
      </w:pPr>
      <w:r w:rsidRPr="5C5906FE">
        <w:rPr>
          <w:rFonts w:ascii="Times New Roman" w:eastAsia="Times New Roman" w:hAnsi="Times New Roman" w:cs="Times New Roman"/>
        </w:rPr>
        <w:t>To assist in understanding, monitoring and ultimately reduce greenhouse gas emissions.</w:t>
      </w:r>
    </w:p>
    <w:p w14:paraId="6C4904EE" w14:textId="7B4E004C" w:rsidR="6532BA7F" w:rsidRDefault="002B4420" w:rsidP="5C5906FE">
      <w:pPr>
        <w:pStyle w:val="Heading5"/>
      </w:pPr>
      <w:r>
        <w:t>1.3.1 O</w:t>
      </w:r>
      <w:r w:rsidR="6532BA7F">
        <w:t>bjectives.</w:t>
      </w:r>
    </w:p>
    <w:p w14:paraId="62D19255" w14:textId="37936BE3" w:rsidR="71AF09FC" w:rsidRDefault="71AF09FC" w:rsidP="5C5906FE">
      <w:pPr>
        <w:pStyle w:val="ListParagraph"/>
        <w:numPr>
          <w:ilvl w:val="0"/>
          <w:numId w:val="1"/>
        </w:numPr>
      </w:pPr>
      <w:r w:rsidRPr="5C5906FE">
        <w:rPr>
          <w:rFonts w:ascii="Times New Roman" w:eastAsia="Times New Roman" w:hAnsi="Times New Roman" w:cs="Times New Roman"/>
        </w:rPr>
        <w:t>To identify high impact CO</w:t>
      </w:r>
      <w:r w:rsidRPr="5C5906FE">
        <w:rPr>
          <w:rFonts w:ascii="Times New Roman" w:eastAsia="Times New Roman" w:hAnsi="Times New Roman" w:cs="Times New Roman"/>
          <w:vertAlign w:val="subscript"/>
        </w:rPr>
        <w:t>2</w:t>
      </w:r>
      <w:r w:rsidRPr="5C5906FE">
        <w:rPr>
          <w:rFonts w:ascii="Times New Roman" w:eastAsia="Times New Roman" w:hAnsi="Times New Roman" w:cs="Times New Roman"/>
        </w:rPr>
        <w:t xml:space="preserve"> sources.</w:t>
      </w:r>
    </w:p>
    <w:p w14:paraId="66DCA3F3" w14:textId="0151C248" w:rsidR="71AF09FC" w:rsidRDefault="71AF09FC" w:rsidP="5C5906FE">
      <w:pPr>
        <w:pStyle w:val="ListParagraph"/>
        <w:numPr>
          <w:ilvl w:val="0"/>
          <w:numId w:val="1"/>
        </w:numPr>
      </w:pPr>
      <w:r w:rsidRPr="5C5906FE">
        <w:rPr>
          <w:rFonts w:ascii="Times New Roman" w:eastAsia="Times New Roman" w:hAnsi="Times New Roman" w:cs="Times New Roman"/>
        </w:rPr>
        <w:t>To validate policy evaluation.</w:t>
      </w:r>
    </w:p>
    <w:p w14:paraId="733D9B16" w14:textId="3BE766B3" w:rsidR="71AF09FC" w:rsidRDefault="71AF09FC" w:rsidP="5C5906FE">
      <w:pPr>
        <w:pStyle w:val="ListParagraph"/>
        <w:numPr>
          <w:ilvl w:val="0"/>
          <w:numId w:val="1"/>
        </w:numPr>
        <w:rPr>
          <w:rFonts w:ascii="Times New Roman" w:eastAsia="Times New Roman" w:hAnsi="Times New Roman" w:cs="Times New Roman"/>
        </w:rPr>
      </w:pPr>
      <w:r w:rsidRPr="5C5906FE">
        <w:rPr>
          <w:rFonts w:ascii="Times New Roman" w:eastAsia="Times New Roman" w:hAnsi="Times New Roman" w:cs="Times New Roman"/>
        </w:rPr>
        <w:t xml:space="preserve">To identify early warning of increase in the levels of </w:t>
      </w:r>
      <w:r w:rsidR="0FA661C7" w:rsidRPr="5C5906FE">
        <w:rPr>
          <w:rFonts w:ascii="Times New Roman" w:eastAsia="Times New Roman" w:hAnsi="Times New Roman" w:cs="Times New Roman"/>
        </w:rPr>
        <w:t>CO2.</w:t>
      </w:r>
    </w:p>
    <w:p w14:paraId="47A4485B" w14:textId="76E3AA08" w:rsidR="30181E71" w:rsidRDefault="30181E71" w:rsidP="5C5906FE">
      <w:pPr>
        <w:pStyle w:val="Heading5"/>
      </w:pPr>
      <w:r>
        <w:t>1.4 Scope.</w:t>
      </w:r>
    </w:p>
    <w:p w14:paraId="1981EE3C" w14:textId="471C72EF" w:rsidR="30181E71" w:rsidRDefault="30181E71" w:rsidP="5C5906FE">
      <w:pPr>
        <w:rPr>
          <w:rFonts w:ascii="Times New Roman" w:eastAsia="Times New Roman" w:hAnsi="Times New Roman" w:cs="Times New Roman"/>
        </w:rPr>
      </w:pPr>
      <w:r w:rsidRPr="5C5906FE">
        <w:rPr>
          <w:rFonts w:ascii="Times New Roman" w:eastAsia="Times New Roman" w:hAnsi="Times New Roman" w:cs="Times New Roman"/>
        </w:rPr>
        <w:t>The project scope encompasses data collection, preprocessing, feature engineering, model selection, training, validation and deployment of the</w:t>
      </w:r>
      <w:r w:rsidR="074EF8EF" w:rsidRPr="5C5906FE">
        <w:rPr>
          <w:rFonts w:ascii="Times New Roman" w:eastAsia="Times New Roman" w:hAnsi="Times New Roman" w:cs="Times New Roman"/>
        </w:rPr>
        <w:t xml:space="preserve"> ML model. Additionally, the project will actively engage in education, ad</w:t>
      </w:r>
      <w:r w:rsidR="52276F4E" w:rsidRPr="5C5906FE">
        <w:rPr>
          <w:rFonts w:ascii="Times New Roman" w:eastAsia="Times New Roman" w:hAnsi="Times New Roman" w:cs="Times New Roman"/>
        </w:rPr>
        <w:t xml:space="preserve">vocacy and ethical considerations to ensure responsible and effective use of the model for climate change mitigation. </w:t>
      </w:r>
    </w:p>
    <w:p w14:paraId="730CAB7C" w14:textId="77777777" w:rsidR="003F0A22" w:rsidRDefault="003F0A22" w:rsidP="5C5906FE">
      <w:pPr>
        <w:rPr>
          <w:rFonts w:ascii="Times New Roman" w:eastAsia="Times New Roman" w:hAnsi="Times New Roman" w:cs="Times New Roman"/>
        </w:rPr>
      </w:pPr>
    </w:p>
    <w:p w14:paraId="5390C297"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br/>
        <w:t xml:space="preserve">A few similar works have been done on time series data using machine learning, deep learning, and statistical model. Let us know about a few of </w:t>
      </w:r>
      <w:r>
        <w:rPr>
          <w:rFonts w:ascii="Georgia" w:hAnsi="Georgia"/>
          <w:color w:val="333333"/>
          <w:sz w:val="27"/>
          <w:szCs w:val="27"/>
        </w:rPr>
        <w:lastRenderedPageBreak/>
        <w:t xml:space="preserve">them. The work by </w:t>
      </w:r>
      <w:proofErr w:type="spellStart"/>
      <w:r>
        <w:rPr>
          <w:rFonts w:ascii="Georgia" w:hAnsi="Georgia"/>
          <w:color w:val="333333"/>
          <w:sz w:val="27"/>
          <w:szCs w:val="27"/>
        </w:rPr>
        <w:t>Masini</w:t>
      </w:r>
      <w:proofErr w:type="spellEnd"/>
      <w:r>
        <w:rPr>
          <w:rFonts w:ascii="Georgia" w:hAnsi="Georgia"/>
          <w:color w:val="333333"/>
          <w:sz w:val="27"/>
          <w:szCs w:val="27"/>
        </w:rPr>
        <w:t xml:space="preserve"> et al. (</w:t>
      </w:r>
      <w:hyperlink r:id="rId5" w:anchor="ref-CR31" w:tooltip="Masini RP, Medeiros MC, Mendes EF (2021) Machine learning advances for time series forecasting. J Econ Surv. &#10;                https://doi.org/10.1111/joes.12429&#10;                &#10;              " w:history="1">
        <w:r>
          <w:rPr>
            <w:rStyle w:val="Hyperlink"/>
            <w:rFonts w:ascii="Georgia" w:eastAsiaTheme="majorEastAsia" w:hAnsi="Georgia"/>
            <w:color w:val="004B83"/>
            <w:sz w:val="27"/>
            <w:szCs w:val="27"/>
          </w:rPr>
          <w:t>2021</w:t>
        </w:r>
      </w:hyperlink>
      <w:r>
        <w:rPr>
          <w:rFonts w:ascii="Georgia" w:hAnsi="Georgia"/>
          <w:color w:val="333333"/>
          <w:sz w:val="27"/>
          <w:szCs w:val="27"/>
        </w:rPr>
        <w:t xml:space="preserve">) surveys the most recent advances in supervised machine learning (ML) and high dimensional models by considering linear and non-linear methods for time-series forecasting and combining ensemble and hybrid models ingredients from different alternatives. They also apply time series forecasting in the economic and financial fields. In Crespo </w:t>
      </w:r>
      <w:proofErr w:type="spellStart"/>
      <w:r>
        <w:rPr>
          <w:rFonts w:ascii="Georgia" w:hAnsi="Georgia"/>
          <w:color w:val="333333"/>
          <w:sz w:val="27"/>
          <w:szCs w:val="27"/>
        </w:rPr>
        <w:t>Cuaresma</w:t>
      </w:r>
      <w:proofErr w:type="spellEnd"/>
      <w:r>
        <w:rPr>
          <w:rFonts w:ascii="Georgia" w:hAnsi="Georgia"/>
          <w:color w:val="333333"/>
          <w:sz w:val="27"/>
          <w:szCs w:val="27"/>
        </w:rPr>
        <w:t xml:space="preserve"> et al. (</w:t>
      </w:r>
      <w:hyperlink r:id="rId6" w:anchor="ref-CR14" w:tooltip="Crespo Cuaresma J, Hlouskova J, Kossmeier S, Obersteiner M (2004) Forecasting electricity spot-prices using linear univariate time-series models. Appl Energy 77(1):87–106. &#10;                https://doi.org/10.1016/S0306-2619(03)00096-5&#10;                &#10;              " w:history="1">
        <w:r>
          <w:rPr>
            <w:rStyle w:val="Hyperlink"/>
            <w:rFonts w:ascii="Georgia" w:eastAsiaTheme="majorEastAsia" w:hAnsi="Georgia"/>
            <w:color w:val="004B83"/>
            <w:sz w:val="27"/>
            <w:szCs w:val="27"/>
          </w:rPr>
          <w:t>2004</w:t>
        </w:r>
      </w:hyperlink>
      <w:r>
        <w:rPr>
          <w:rFonts w:ascii="Georgia" w:hAnsi="Georgia"/>
          <w:color w:val="333333"/>
          <w:sz w:val="27"/>
          <w:szCs w:val="27"/>
        </w:rPr>
        <w:t xml:space="preserve">), the author studied the forecasting abilities of a battery of univariate models, including </w:t>
      </w:r>
      <w:proofErr w:type="spellStart"/>
      <w:r>
        <w:rPr>
          <w:rFonts w:ascii="Georgia" w:hAnsi="Georgia"/>
          <w:color w:val="333333"/>
          <w:sz w:val="27"/>
          <w:szCs w:val="27"/>
        </w:rPr>
        <w:t>AutoRegressive</w:t>
      </w:r>
      <w:proofErr w:type="spellEnd"/>
      <w:r>
        <w:rPr>
          <w:rFonts w:ascii="Georgia" w:hAnsi="Georgia"/>
          <w:color w:val="333333"/>
          <w:sz w:val="27"/>
          <w:szCs w:val="27"/>
        </w:rPr>
        <w:t xml:space="preserve"> (AR) models.</w:t>
      </w:r>
    </w:p>
    <w:p w14:paraId="7386004E"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In </w:t>
      </w:r>
      <w:proofErr w:type="spellStart"/>
      <w:r>
        <w:rPr>
          <w:rFonts w:ascii="Georgia" w:hAnsi="Georgia"/>
          <w:color w:val="333333"/>
          <w:sz w:val="27"/>
          <w:szCs w:val="27"/>
        </w:rPr>
        <w:t>Elsworth</w:t>
      </w:r>
      <w:proofErr w:type="spellEnd"/>
      <w:r>
        <w:rPr>
          <w:rFonts w:ascii="Georgia" w:hAnsi="Georgia"/>
          <w:color w:val="333333"/>
          <w:sz w:val="27"/>
          <w:szCs w:val="27"/>
        </w:rPr>
        <w:t xml:space="preserve"> and </w:t>
      </w:r>
      <w:proofErr w:type="spellStart"/>
      <w:r>
        <w:rPr>
          <w:rFonts w:ascii="Georgia" w:hAnsi="Georgia"/>
          <w:color w:val="333333"/>
          <w:sz w:val="27"/>
          <w:szCs w:val="27"/>
        </w:rPr>
        <w:t>Güttel</w:t>
      </w:r>
      <w:proofErr w:type="spellEnd"/>
      <w:r>
        <w:rPr>
          <w:rFonts w:ascii="Georgia" w:hAnsi="Georgia"/>
          <w:color w:val="333333"/>
          <w:sz w:val="27"/>
          <w:szCs w:val="27"/>
        </w:rPr>
        <w:t xml:space="preserve"> (</w:t>
      </w:r>
      <w:hyperlink r:id="rId7" w:anchor="ref-CR16" w:tooltip="Elsworth S, Güttel S (2020) Time series forecasting using lSTM networks: a symbolic approach. arXiv preprint arXiv:2003.05672" w:history="1">
        <w:r>
          <w:rPr>
            <w:rStyle w:val="Hyperlink"/>
            <w:rFonts w:ascii="Georgia" w:eastAsiaTheme="majorEastAsia" w:hAnsi="Georgia"/>
            <w:color w:val="004B83"/>
            <w:sz w:val="27"/>
            <w:szCs w:val="27"/>
          </w:rPr>
          <w:t>2020</w:t>
        </w:r>
      </w:hyperlink>
      <w:r>
        <w:rPr>
          <w:rFonts w:ascii="Georgia" w:hAnsi="Georgia"/>
          <w:color w:val="333333"/>
          <w:sz w:val="27"/>
          <w:szCs w:val="27"/>
        </w:rPr>
        <w:t xml:space="preserve">), the author proposed an RNN model with a dimension reducing symbolic representation to deal with the sensitivity of </w:t>
      </w:r>
      <w:proofErr w:type="spellStart"/>
      <w:r>
        <w:rPr>
          <w:rFonts w:ascii="Georgia" w:hAnsi="Georgia"/>
          <w:color w:val="333333"/>
          <w:sz w:val="27"/>
          <w:szCs w:val="27"/>
        </w:rPr>
        <w:t>hyperparameters</w:t>
      </w:r>
      <w:proofErr w:type="spellEnd"/>
      <w:r>
        <w:rPr>
          <w:rFonts w:ascii="Georgia" w:hAnsi="Georgia"/>
          <w:color w:val="333333"/>
          <w:sz w:val="27"/>
          <w:szCs w:val="27"/>
        </w:rPr>
        <w:t xml:space="preserve"> in any time series model and solved the limitation of other models in the initialization of random weights. Also, their model is faster without affecting the performance of forecasting. Also, </w:t>
      </w:r>
      <w:proofErr w:type="spellStart"/>
      <w:r>
        <w:rPr>
          <w:rFonts w:ascii="Georgia" w:hAnsi="Georgia"/>
          <w:color w:val="333333"/>
          <w:sz w:val="27"/>
          <w:szCs w:val="27"/>
        </w:rPr>
        <w:t>Zuo</w:t>
      </w:r>
      <w:proofErr w:type="spellEnd"/>
      <w:r>
        <w:rPr>
          <w:rFonts w:ascii="Georgia" w:hAnsi="Georgia"/>
          <w:color w:val="333333"/>
          <w:sz w:val="27"/>
          <w:szCs w:val="27"/>
        </w:rPr>
        <w:t xml:space="preserve"> et al. (</w:t>
      </w:r>
      <w:hyperlink r:id="rId8" w:anchor="ref-CR46" w:tooltip="Zuo Z, Guo H, Cheng J (2020) An LSTM-STRIPAT model analysis of China’s 2030 CO2 emissions peak. Carbon Manag 11(6):577–592. &#10;                https://doi.org/10.1080/17583004.2020.1840869&#10;                &#10;              " w:history="1">
        <w:r>
          <w:rPr>
            <w:rStyle w:val="Hyperlink"/>
            <w:rFonts w:ascii="Georgia" w:eastAsiaTheme="majorEastAsia" w:hAnsi="Georgia"/>
            <w:color w:val="004B83"/>
            <w:sz w:val="27"/>
            <w:szCs w:val="27"/>
          </w:rPr>
          <w:t>2020</w:t>
        </w:r>
      </w:hyperlink>
      <w:r>
        <w:rPr>
          <w:rFonts w:ascii="Georgia" w:hAnsi="Georgia"/>
          <w:color w:val="333333"/>
          <w:sz w:val="27"/>
          <w:szCs w:val="27"/>
        </w:rPr>
        <w:t>) collected the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xml:space="preserve"> emission data from the different provinces of China and proposed a model named LSTM-STRIPAT, an integrated model to predict emissions in 2020, and in </w:t>
      </w:r>
      <w:proofErr w:type="spellStart"/>
      <w:r>
        <w:rPr>
          <w:rFonts w:ascii="Georgia" w:hAnsi="Georgia"/>
          <w:color w:val="333333"/>
          <w:sz w:val="27"/>
          <w:szCs w:val="27"/>
        </w:rPr>
        <w:t>Amarpuri</w:t>
      </w:r>
      <w:proofErr w:type="spellEnd"/>
      <w:r>
        <w:rPr>
          <w:rFonts w:ascii="Georgia" w:hAnsi="Georgia"/>
          <w:color w:val="333333"/>
          <w:sz w:val="27"/>
          <w:szCs w:val="27"/>
        </w:rPr>
        <w:t xml:space="preserve"> et al. (</w:t>
      </w:r>
      <w:hyperlink r:id="rId9" w:anchor="ref-CR9" w:tooltip="Amarpuri L, Yadav N, Kumar G, Agrawal S (2019) Prediction of CO2 emissions using deep learning hybrid approach: a case study in indian context. In: 2019 twelfth international conference on contemporary computing (IC3). IEEE, pp 1–6" w:history="1">
        <w:r>
          <w:rPr>
            <w:rStyle w:val="Hyperlink"/>
            <w:rFonts w:ascii="Georgia" w:eastAsiaTheme="majorEastAsia" w:hAnsi="Georgia"/>
            <w:color w:val="004B83"/>
            <w:sz w:val="27"/>
            <w:szCs w:val="27"/>
          </w:rPr>
          <w:t>2019</w:t>
        </w:r>
      </w:hyperlink>
      <w:r>
        <w:rPr>
          <w:rFonts w:ascii="Georgia" w:hAnsi="Georgia"/>
          <w:color w:val="333333"/>
          <w:sz w:val="27"/>
          <w:szCs w:val="27"/>
        </w:rPr>
        <w:t>), the research is aimed at predicting the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levels in the year 2020 to make the Government of India understand the challenges. A deep learning hybrid model of Convolution Neural Network and Long Short-Term Memory Network (CNN-LSTM) is used as a forecasting model.</w:t>
      </w:r>
    </w:p>
    <w:p w14:paraId="76C6AE4A"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A prediction-based work was done by Kumar et al. (</w:t>
      </w:r>
      <w:hyperlink r:id="rId10" w:anchor="ref-CR23" w:tooltip="Kumar R, Kumar P, Kumar Y (2020) Time series data prediction using IoT and machine learning technique. Procedia Comp Sci 167(2019):373–381. &#10;                https://doi.org/10.1016/j.procs.2020.03.240&#10;                &#10;              " w:history="1">
        <w:r>
          <w:rPr>
            <w:rStyle w:val="Hyperlink"/>
            <w:rFonts w:ascii="Georgia" w:eastAsiaTheme="majorEastAsia" w:hAnsi="Georgia"/>
            <w:color w:val="004B83"/>
            <w:sz w:val="27"/>
            <w:szCs w:val="27"/>
          </w:rPr>
          <w:t>2020</w:t>
        </w:r>
      </w:hyperlink>
      <w:r>
        <w:rPr>
          <w:rFonts w:ascii="Georgia" w:hAnsi="Georgia"/>
          <w:color w:val="333333"/>
          <w:sz w:val="27"/>
          <w:szCs w:val="27"/>
        </w:rPr>
        <w:t>), in which they have collected the data from Delhi and National Capital Region (NCR), India, to predict the Air quality index. They have applied the machine learning models and measured the performances in terms of </w:t>
      </w:r>
      <w:r>
        <w:rPr>
          <w:rFonts w:ascii="Georgia" w:hAnsi="Georgia"/>
          <w:i/>
          <w:iCs/>
          <w:color w:val="333333"/>
          <w:sz w:val="27"/>
          <w:szCs w:val="27"/>
        </w:rPr>
        <w:t>MAE</w:t>
      </w:r>
      <w:r>
        <w:rPr>
          <w:rFonts w:ascii="Georgia" w:hAnsi="Georgia"/>
          <w:color w:val="333333"/>
          <w:sz w:val="27"/>
          <w:szCs w:val="27"/>
        </w:rPr>
        <w:t>, </w:t>
      </w:r>
      <w:r>
        <w:rPr>
          <w:rFonts w:ascii="Georgia" w:hAnsi="Georgia"/>
          <w:i/>
          <w:iCs/>
          <w:color w:val="333333"/>
          <w:sz w:val="27"/>
          <w:szCs w:val="27"/>
        </w:rPr>
        <w:t>MSE</w:t>
      </w:r>
      <w:r>
        <w:rPr>
          <w:rFonts w:ascii="Georgia" w:hAnsi="Georgia"/>
          <w:color w:val="333333"/>
          <w:sz w:val="27"/>
          <w:szCs w:val="27"/>
        </w:rPr>
        <w:t>, </w:t>
      </w:r>
      <w:r>
        <w:rPr>
          <w:rFonts w:ascii="Georgia" w:hAnsi="Georgia"/>
          <w:i/>
          <w:iCs/>
          <w:color w:val="333333"/>
          <w:sz w:val="27"/>
          <w:szCs w:val="27"/>
        </w:rPr>
        <w:t>RMSE</w:t>
      </w:r>
      <w:r>
        <w:rPr>
          <w:rFonts w:ascii="Georgia" w:hAnsi="Georgia"/>
          <w:color w:val="333333"/>
          <w:sz w:val="27"/>
          <w:szCs w:val="27"/>
        </w:rPr>
        <w:t>, and </w:t>
      </w:r>
      <w:r>
        <w:rPr>
          <w:rFonts w:ascii="Georgia" w:hAnsi="Georgia"/>
          <w:i/>
          <w:iCs/>
          <w:color w:val="333333"/>
          <w:sz w:val="27"/>
          <w:szCs w:val="27"/>
        </w:rPr>
        <w:t>MAPE</w:t>
      </w:r>
      <w:r>
        <w:rPr>
          <w:rFonts w:ascii="Georgia" w:hAnsi="Georgia"/>
          <w:color w:val="333333"/>
          <w:sz w:val="27"/>
          <w:szCs w:val="27"/>
        </w:rPr>
        <w:t> metrics. Similar work by Kumar et al. (</w:t>
      </w:r>
      <w:hyperlink r:id="rId11" w:anchor="ref-CR23" w:tooltip="Kumar R, Kumar P, Kumar Y (2020) Time series data prediction using IoT and machine learning technique. Procedia Comp Sci 167(2019):373–381. &#10;                https://doi.org/10.1016/j.procs.2020.03.240&#10;                &#10;              " w:history="1">
        <w:r>
          <w:rPr>
            <w:rStyle w:val="Hyperlink"/>
            <w:rFonts w:ascii="Georgia" w:eastAsiaTheme="majorEastAsia" w:hAnsi="Georgia"/>
            <w:color w:val="004B83"/>
            <w:sz w:val="27"/>
            <w:szCs w:val="27"/>
          </w:rPr>
          <w:t>2020</w:t>
        </w:r>
      </w:hyperlink>
      <w:r>
        <w:rPr>
          <w:rFonts w:ascii="Georgia" w:hAnsi="Georgia"/>
          <w:color w:val="333333"/>
          <w:sz w:val="27"/>
          <w:szCs w:val="27"/>
        </w:rPr>
        <w:t>) measured the </w:t>
      </w:r>
      <w:r>
        <w:rPr>
          <w:rFonts w:ascii="Georgia" w:hAnsi="Georgia"/>
          <w:i/>
          <w:iCs/>
          <w:color w:val="333333"/>
          <w:sz w:val="27"/>
          <w:szCs w:val="27"/>
        </w:rPr>
        <w:t>PM</w:t>
      </w:r>
      <w:r>
        <w:rPr>
          <w:rFonts w:ascii="Georgia" w:hAnsi="Georgia"/>
          <w:color w:val="333333"/>
          <w:sz w:val="20"/>
          <w:szCs w:val="20"/>
          <w:vertAlign w:val="subscript"/>
        </w:rPr>
        <w:t>2.5</w:t>
      </w:r>
      <w:r>
        <w:rPr>
          <w:rFonts w:ascii="Georgia" w:hAnsi="Georgia"/>
          <w:color w:val="333333"/>
          <w:sz w:val="27"/>
          <w:szCs w:val="27"/>
        </w:rPr>
        <w:t xml:space="preserve"> pollutant particles in the Delhi atmosphere. In this work, Extra-Trees regression and </w:t>
      </w:r>
      <w:proofErr w:type="spellStart"/>
      <w:r>
        <w:rPr>
          <w:rFonts w:ascii="Georgia" w:hAnsi="Georgia"/>
          <w:color w:val="333333"/>
          <w:sz w:val="27"/>
          <w:szCs w:val="27"/>
        </w:rPr>
        <w:t>AdaBoost</w:t>
      </w:r>
      <w:proofErr w:type="spellEnd"/>
      <w:r>
        <w:rPr>
          <w:rFonts w:ascii="Georgia" w:hAnsi="Georgia"/>
          <w:color w:val="333333"/>
          <w:sz w:val="27"/>
          <w:szCs w:val="27"/>
        </w:rPr>
        <w:t>-based regression models are applied to predict </w:t>
      </w:r>
      <w:r>
        <w:rPr>
          <w:rFonts w:ascii="Georgia" w:hAnsi="Georgia"/>
          <w:i/>
          <w:iCs/>
          <w:color w:val="333333"/>
          <w:sz w:val="27"/>
          <w:szCs w:val="27"/>
        </w:rPr>
        <w:t>PM</w:t>
      </w:r>
      <w:r>
        <w:rPr>
          <w:rFonts w:ascii="Georgia" w:hAnsi="Georgia"/>
          <w:color w:val="333333"/>
          <w:sz w:val="20"/>
          <w:szCs w:val="20"/>
          <w:vertAlign w:val="subscript"/>
        </w:rPr>
        <w:t>2.5</w:t>
      </w:r>
      <w:r>
        <w:rPr>
          <w:rFonts w:ascii="Georgia" w:hAnsi="Georgia"/>
          <w:color w:val="333333"/>
          <w:sz w:val="27"/>
          <w:szCs w:val="27"/>
        </w:rPr>
        <w:t> concentrations effectively. They have also considered additional atmospheric and surface factors such as wind speed, atmospheric temperature, and pressure.</w:t>
      </w:r>
    </w:p>
    <w:p w14:paraId="3F1933C2"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The work (Ahmed et al. </w:t>
      </w:r>
      <w:hyperlink r:id="rId12" w:anchor="ref-CR7" w:tooltip="Ahmed NK, Atiya AF, El Gayar N, El-Shishiny H (2010) An empirical comparison of machine learning models for time series forecasting. Econ Rev 29(5):594–621. &#10;                https://doi.org/10.1080/07474938.2010.481556&#10;                &#10;              " w:history="1">
        <w:r>
          <w:rPr>
            <w:rStyle w:val="Hyperlink"/>
            <w:rFonts w:ascii="Georgia" w:eastAsiaTheme="majorEastAsia" w:hAnsi="Georgia"/>
            <w:color w:val="004B83"/>
            <w:sz w:val="27"/>
            <w:szCs w:val="27"/>
          </w:rPr>
          <w:t>2010</w:t>
        </w:r>
      </w:hyperlink>
      <w:r>
        <w:rPr>
          <w:rFonts w:ascii="Georgia" w:hAnsi="Georgia"/>
          <w:color w:val="333333"/>
          <w:sz w:val="27"/>
          <w:szCs w:val="27"/>
        </w:rPr>
        <w:t xml:space="preserve">) applied eight machine learning models to famous M3 time series competition data and compared them. The models’ multilayer perceptron and the Gaussian process regression performed the best. In </w:t>
      </w:r>
      <w:proofErr w:type="spellStart"/>
      <w:r>
        <w:rPr>
          <w:rFonts w:ascii="Georgia" w:hAnsi="Georgia"/>
          <w:color w:val="333333"/>
          <w:sz w:val="27"/>
          <w:szCs w:val="27"/>
        </w:rPr>
        <w:t>Nyoni</w:t>
      </w:r>
      <w:proofErr w:type="spellEnd"/>
      <w:r>
        <w:rPr>
          <w:rFonts w:ascii="Georgia" w:hAnsi="Georgia"/>
          <w:color w:val="333333"/>
          <w:sz w:val="27"/>
          <w:szCs w:val="27"/>
        </w:rPr>
        <w:t xml:space="preserve"> and </w:t>
      </w:r>
      <w:proofErr w:type="spellStart"/>
      <w:r>
        <w:rPr>
          <w:rFonts w:ascii="Georgia" w:hAnsi="Georgia"/>
          <w:color w:val="333333"/>
          <w:sz w:val="27"/>
          <w:szCs w:val="27"/>
        </w:rPr>
        <w:t>Bonga</w:t>
      </w:r>
      <w:proofErr w:type="spellEnd"/>
      <w:r>
        <w:rPr>
          <w:rFonts w:ascii="Georgia" w:hAnsi="Georgia"/>
          <w:color w:val="333333"/>
          <w:sz w:val="27"/>
          <w:szCs w:val="27"/>
        </w:rPr>
        <w:t xml:space="preserve"> (</w:t>
      </w:r>
      <w:hyperlink r:id="rId13" w:anchor="ref-CR36" w:tooltip="Nyoni T, Bonga WG (2019) Prediction of CO2 emissions in india using arima models. DRJ-J Econ Finance 4(2):1–10" w:history="1">
        <w:r>
          <w:rPr>
            <w:rStyle w:val="Hyperlink"/>
            <w:rFonts w:ascii="Georgia" w:eastAsiaTheme="majorEastAsia" w:hAnsi="Georgia"/>
            <w:color w:val="004B83"/>
            <w:sz w:val="27"/>
            <w:szCs w:val="27"/>
          </w:rPr>
          <w:t>2019</w:t>
        </w:r>
      </w:hyperlink>
      <w:r>
        <w:rPr>
          <w:rFonts w:ascii="Georgia" w:hAnsi="Georgia"/>
          <w:color w:val="333333"/>
          <w:sz w:val="27"/>
          <w:szCs w:val="27"/>
        </w:rPr>
        <w:t>), authors used the Box-Jenkins ARIMA approach on time series data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in India from 1960 to 2017, and based on the forecast, they suggested five policy prescriptions to improve the environmental conditions.</w:t>
      </w:r>
    </w:p>
    <w:p w14:paraId="44E38273"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ARIMA model has also been used to </w:t>
      </w:r>
      <w:proofErr w:type="spellStart"/>
      <w:r>
        <w:rPr>
          <w:rFonts w:ascii="Georgia" w:hAnsi="Georgia"/>
          <w:color w:val="333333"/>
          <w:sz w:val="27"/>
          <w:szCs w:val="27"/>
        </w:rPr>
        <w:t>analyse</w:t>
      </w:r>
      <w:proofErr w:type="spellEnd"/>
      <w:r>
        <w:rPr>
          <w:rFonts w:ascii="Georgia" w:hAnsi="Georgia"/>
          <w:color w:val="333333"/>
          <w:sz w:val="27"/>
          <w:szCs w:val="27"/>
        </w:rPr>
        <w:t xml:space="preserve"> air pollutants and to predict them based on historical data (</w:t>
      </w:r>
      <w:proofErr w:type="spellStart"/>
      <w:r>
        <w:rPr>
          <w:rFonts w:ascii="Georgia" w:hAnsi="Georgia"/>
          <w:color w:val="333333"/>
          <w:sz w:val="27"/>
          <w:szCs w:val="27"/>
        </w:rPr>
        <w:t>Gopu</w:t>
      </w:r>
      <w:proofErr w:type="spellEnd"/>
      <w:r>
        <w:rPr>
          <w:rFonts w:ascii="Georgia" w:hAnsi="Georgia"/>
          <w:color w:val="333333"/>
          <w:sz w:val="27"/>
          <w:szCs w:val="27"/>
        </w:rPr>
        <w:t xml:space="preserve"> et al. </w:t>
      </w:r>
      <w:hyperlink r:id="rId14" w:anchor="ref-CR20" w:tooltip="Gopu P, Panda RR, Nagwani NK (2021) Time series analysis using ARIMA model for air pollution prediction in Hyderabad city of India. In: In Soft Computing and Signal Processing. Springer, Singapore, pp 47–56" w:history="1">
        <w:r>
          <w:rPr>
            <w:rStyle w:val="Hyperlink"/>
            <w:rFonts w:ascii="Georgia" w:eastAsiaTheme="majorEastAsia" w:hAnsi="Georgia"/>
            <w:color w:val="004B83"/>
            <w:sz w:val="27"/>
            <w:szCs w:val="27"/>
          </w:rPr>
          <w:t>2021</w:t>
        </w:r>
      </w:hyperlink>
      <w:r>
        <w:rPr>
          <w:rFonts w:ascii="Georgia" w:hAnsi="Georgia"/>
          <w:color w:val="333333"/>
          <w:sz w:val="27"/>
          <w:szCs w:val="27"/>
        </w:rPr>
        <w:t xml:space="preserve">). And it is also said that this is an efficient way by which we can find out the values of the pollutants when exceeding the limits prescribed by the World Health Organization (WHO). SARIMA is an ARIMA capable of dealing with the seasonality of the dataset, </w:t>
      </w:r>
      <w:r>
        <w:rPr>
          <w:rFonts w:ascii="Georgia" w:hAnsi="Georgia"/>
          <w:color w:val="333333"/>
          <w:sz w:val="27"/>
          <w:szCs w:val="27"/>
        </w:rPr>
        <w:lastRenderedPageBreak/>
        <w:t>and SARIMAX is SARIMA with </w:t>
      </w:r>
      <w:r>
        <w:rPr>
          <w:rFonts w:ascii="Georgia" w:hAnsi="Georgia"/>
          <w:i/>
          <w:iCs/>
          <w:color w:val="333333"/>
          <w:sz w:val="27"/>
          <w:szCs w:val="27"/>
        </w:rPr>
        <w:t>X</w:t>
      </w:r>
      <w:r>
        <w:rPr>
          <w:rFonts w:ascii="Georgia" w:hAnsi="Georgia"/>
          <w:color w:val="333333"/>
          <w:sz w:val="27"/>
          <w:szCs w:val="27"/>
        </w:rPr>
        <w:t> factor, which is nothing but exogenous factors that affect the data. The work (</w:t>
      </w:r>
      <w:proofErr w:type="spellStart"/>
      <w:r>
        <w:rPr>
          <w:rFonts w:ascii="Georgia" w:hAnsi="Georgia"/>
          <w:color w:val="333333"/>
          <w:sz w:val="27"/>
          <w:szCs w:val="27"/>
        </w:rPr>
        <w:t>Nontapa</w:t>
      </w:r>
      <w:proofErr w:type="spellEnd"/>
      <w:r>
        <w:rPr>
          <w:rFonts w:ascii="Georgia" w:hAnsi="Georgia"/>
          <w:color w:val="333333"/>
          <w:sz w:val="27"/>
          <w:szCs w:val="27"/>
        </w:rPr>
        <w:t xml:space="preserve"> et al. </w:t>
      </w:r>
      <w:hyperlink r:id="rId15" w:anchor="ref-CR35" w:tooltip="Nontapa C, Kesamoon C, Kaewhawong N, Intrapaiboon P (2020) A new time series forecasting using decomposition method with SARIMAX model. In: International Conference on Neural Information Processing. Springer, Cham, pp 743–751" w:history="1">
        <w:r>
          <w:rPr>
            <w:rStyle w:val="Hyperlink"/>
            <w:rFonts w:ascii="Georgia" w:eastAsiaTheme="majorEastAsia" w:hAnsi="Georgia"/>
            <w:color w:val="004B83"/>
            <w:sz w:val="27"/>
            <w:szCs w:val="27"/>
          </w:rPr>
          <w:t>2020</w:t>
        </w:r>
      </w:hyperlink>
      <w:r>
        <w:rPr>
          <w:rFonts w:ascii="Georgia" w:hAnsi="Georgia"/>
          <w:color w:val="333333"/>
          <w:sz w:val="27"/>
          <w:szCs w:val="27"/>
        </w:rPr>
        <w:t xml:space="preserve">) </w:t>
      </w:r>
      <w:proofErr w:type="spellStart"/>
      <w:r>
        <w:rPr>
          <w:rFonts w:ascii="Georgia" w:hAnsi="Georgia"/>
          <w:color w:val="333333"/>
          <w:sz w:val="27"/>
          <w:szCs w:val="27"/>
        </w:rPr>
        <w:t>analysed</w:t>
      </w:r>
      <w:proofErr w:type="spellEnd"/>
      <w:r>
        <w:rPr>
          <w:rFonts w:ascii="Georgia" w:hAnsi="Georgia"/>
          <w:color w:val="333333"/>
          <w:sz w:val="27"/>
          <w:szCs w:val="27"/>
        </w:rPr>
        <w:t xml:space="preserve"> and forecasted time-series using the SARIMA and SARIMAX model with decomposition method and compared them on evaluation metric </w:t>
      </w:r>
      <w:r>
        <w:rPr>
          <w:rFonts w:ascii="Georgia" w:hAnsi="Georgia"/>
          <w:i/>
          <w:iCs/>
          <w:color w:val="333333"/>
          <w:sz w:val="27"/>
          <w:szCs w:val="27"/>
        </w:rPr>
        <w:t>MAPE</w:t>
      </w:r>
      <w:r>
        <w:rPr>
          <w:rFonts w:ascii="Georgia" w:hAnsi="Georgia"/>
          <w:color w:val="333333"/>
          <w:sz w:val="27"/>
          <w:szCs w:val="27"/>
        </w:rPr>
        <w:t> where SARIMAX with decomposition model outperforms traditional ones. There is information regarding time series forecasting and limitation with the SARIMAX model in the paper (</w:t>
      </w:r>
      <w:proofErr w:type="spellStart"/>
      <w:r>
        <w:rPr>
          <w:rFonts w:ascii="Georgia" w:hAnsi="Georgia"/>
          <w:color w:val="333333"/>
          <w:sz w:val="27"/>
          <w:szCs w:val="27"/>
        </w:rPr>
        <w:t>Özmen</w:t>
      </w:r>
      <w:proofErr w:type="spellEnd"/>
      <w:r>
        <w:rPr>
          <w:rFonts w:ascii="Georgia" w:hAnsi="Georgia"/>
          <w:color w:val="333333"/>
          <w:sz w:val="27"/>
          <w:szCs w:val="27"/>
        </w:rPr>
        <w:t> </w:t>
      </w:r>
      <w:hyperlink r:id="rId16" w:anchor="ref-CR37" w:tooltip="Özmen ES (2021) Time series performance and limitations with SARIMAX: an application with retail store data. Electron Turk Stud 16(5)" w:history="1">
        <w:r>
          <w:rPr>
            <w:rStyle w:val="Hyperlink"/>
            <w:rFonts w:ascii="Georgia" w:eastAsiaTheme="majorEastAsia" w:hAnsi="Georgia"/>
            <w:color w:val="004B83"/>
            <w:sz w:val="27"/>
            <w:szCs w:val="27"/>
          </w:rPr>
          <w:t>2021</w:t>
        </w:r>
      </w:hyperlink>
      <w:r>
        <w:rPr>
          <w:rFonts w:ascii="Georgia" w:hAnsi="Georgia"/>
          <w:color w:val="333333"/>
          <w:sz w:val="27"/>
          <w:szCs w:val="27"/>
        </w:rPr>
        <w:t>) with the application of retail store data. In this work on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xml:space="preserve"> emission, a random forest </w:t>
      </w:r>
      <w:proofErr w:type="spellStart"/>
      <w:r>
        <w:rPr>
          <w:rFonts w:ascii="Georgia" w:hAnsi="Georgia"/>
          <w:color w:val="333333"/>
          <w:sz w:val="27"/>
          <w:szCs w:val="27"/>
        </w:rPr>
        <w:t>regressor</w:t>
      </w:r>
      <w:proofErr w:type="spellEnd"/>
      <w:r>
        <w:rPr>
          <w:rFonts w:ascii="Georgia" w:hAnsi="Georgia"/>
          <w:color w:val="333333"/>
          <w:sz w:val="27"/>
          <w:szCs w:val="27"/>
        </w:rPr>
        <w:t xml:space="preserve"> has been used for forecasting. In the paper (Fang et al. </w:t>
      </w:r>
      <w:hyperlink r:id="rId17" w:anchor="ref-CR17" w:tooltip="Fang X, Liu W, Ai J, He M, Wu Y, Shi Y, Shen W, Bao C (2020) Forecasting incidence of infectious diarrhea using random forest in Jiangsu Province, China. BMC Infectious Diseases 20(1):1–8" w:history="1">
        <w:r>
          <w:rPr>
            <w:rStyle w:val="Hyperlink"/>
            <w:rFonts w:ascii="Georgia" w:eastAsiaTheme="majorEastAsia" w:hAnsi="Georgia"/>
            <w:color w:val="004B83"/>
            <w:sz w:val="27"/>
            <w:szCs w:val="27"/>
          </w:rPr>
          <w:t>2020</w:t>
        </w:r>
      </w:hyperlink>
      <w:r>
        <w:rPr>
          <w:rFonts w:ascii="Georgia" w:hAnsi="Georgia"/>
          <w:color w:val="333333"/>
          <w:sz w:val="27"/>
          <w:szCs w:val="27"/>
        </w:rPr>
        <w:t>) author proposed an optimal random forest model for the accurate prediction of an infectious diarrhea epidemic, considering meteorological factors. He compared his proposed model to ARIMA and ARIMAX, and the RF model outperforms with </w:t>
      </w:r>
      <w:r>
        <w:rPr>
          <w:rFonts w:ascii="Georgia" w:hAnsi="Georgia"/>
          <w:i/>
          <w:iCs/>
          <w:color w:val="333333"/>
          <w:sz w:val="27"/>
          <w:szCs w:val="27"/>
        </w:rPr>
        <w:t>MAPE</w:t>
      </w:r>
      <w:r>
        <w:rPr>
          <w:rFonts w:ascii="Georgia" w:hAnsi="Georgia"/>
          <w:color w:val="333333"/>
          <w:sz w:val="27"/>
          <w:szCs w:val="27"/>
        </w:rPr>
        <w:t> of approximately 20% to the ARIMA model, with </w:t>
      </w:r>
      <w:r>
        <w:rPr>
          <w:rFonts w:ascii="Georgia" w:hAnsi="Georgia"/>
          <w:i/>
          <w:iCs/>
          <w:color w:val="333333"/>
          <w:sz w:val="27"/>
          <w:szCs w:val="27"/>
        </w:rPr>
        <w:t>MAPE</w:t>
      </w:r>
      <w:r>
        <w:rPr>
          <w:rFonts w:ascii="Georgia" w:hAnsi="Georgia"/>
          <w:color w:val="333333"/>
          <w:sz w:val="27"/>
          <w:szCs w:val="27"/>
        </w:rPr>
        <w:t> reaching 30%.</w:t>
      </w:r>
    </w:p>
    <w:p w14:paraId="671061F9"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In the paper (</w:t>
      </w:r>
      <w:proofErr w:type="spellStart"/>
      <w:r>
        <w:rPr>
          <w:rFonts w:ascii="Georgia" w:hAnsi="Georgia"/>
          <w:color w:val="333333"/>
          <w:sz w:val="27"/>
          <w:szCs w:val="27"/>
        </w:rPr>
        <w:t>Lepore</w:t>
      </w:r>
      <w:proofErr w:type="spellEnd"/>
      <w:r>
        <w:rPr>
          <w:rFonts w:ascii="Georgia" w:hAnsi="Georgia"/>
          <w:color w:val="333333"/>
          <w:sz w:val="27"/>
          <w:szCs w:val="27"/>
        </w:rPr>
        <w:t xml:space="preserve"> et al. </w:t>
      </w:r>
      <w:hyperlink r:id="rId18" w:anchor="ref-CR26" w:tooltip="Lepore A, dos Reis MS, Palumbo B, Rendall R, Capezza C (2017) A comparison of advanced regression techniques for predicting ship CO2 emissions. Qual Reliab Eng Int 33(6):1281–1292" w:history="1">
        <w:r>
          <w:rPr>
            <w:rStyle w:val="Hyperlink"/>
            <w:rFonts w:ascii="Georgia" w:eastAsiaTheme="majorEastAsia" w:hAnsi="Georgia"/>
            <w:color w:val="004B83"/>
            <w:sz w:val="27"/>
            <w:szCs w:val="27"/>
          </w:rPr>
          <w:t>2017</w:t>
        </w:r>
      </w:hyperlink>
      <w:r>
        <w:rPr>
          <w:rFonts w:ascii="Georgia" w:hAnsi="Georgia"/>
          <w:color w:val="333333"/>
          <w:sz w:val="27"/>
          <w:szCs w:val="27"/>
        </w:rPr>
        <w:t>), the author describes that with the introduction of the EU’s new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regulation, ships’ operators are required to implement systems that will monitor and report their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xml:space="preserve"> emissions. These systems will help them make informed decisions regarding their operations. Due to the complexity of the navigation information that ships provide, there is no widely available standard method or solution that can be used in real environments. This paper extensively analyzes the various regression techniques that can exploit ships’ navigation information. The study is made based on the data collected by the </w:t>
      </w:r>
      <w:proofErr w:type="spellStart"/>
      <w:r>
        <w:rPr>
          <w:rFonts w:ascii="Georgia" w:hAnsi="Georgia"/>
          <w:color w:val="333333"/>
          <w:sz w:val="27"/>
          <w:szCs w:val="27"/>
        </w:rPr>
        <w:t>Grimaldi</w:t>
      </w:r>
      <w:proofErr w:type="spellEnd"/>
      <w:r>
        <w:rPr>
          <w:rFonts w:ascii="Georgia" w:hAnsi="Georgia"/>
          <w:color w:val="333333"/>
          <w:sz w:val="27"/>
          <w:szCs w:val="27"/>
        </w:rPr>
        <w:t xml:space="preserve"> Group’s Ro-</w:t>
      </w:r>
      <w:proofErr w:type="spellStart"/>
      <w:r>
        <w:rPr>
          <w:rFonts w:ascii="Georgia" w:hAnsi="Georgia"/>
          <w:color w:val="333333"/>
          <w:sz w:val="27"/>
          <w:szCs w:val="27"/>
        </w:rPr>
        <w:t>Pax</w:t>
      </w:r>
      <w:proofErr w:type="spellEnd"/>
      <w:r>
        <w:rPr>
          <w:rFonts w:ascii="Georgia" w:hAnsi="Georgia"/>
          <w:color w:val="333333"/>
          <w:sz w:val="27"/>
          <w:szCs w:val="27"/>
        </w:rPr>
        <w:t xml:space="preserve"> cruise ship during its operation. It aims to identify possible methods and models that can be used to analyze the ship’s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and develop a predictive model.</w:t>
      </w:r>
    </w:p>
    <w:p w14:paraId="7A8B7262"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There is a project which aims to develop models and artificial neural networks to predict the energy consumption of office buildings in Chile and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w:t>
      </w:r>
      <w:proofErr w:type="spellStart"/>
      <w:r>
        <w:rPr>
          <w:rFonts w:ascii="Georgia" w:hAnsi="Georgia"/>
          <w:color w:val="333333"/>
          <w:sz w:val="27"/>
          <w:szCs w:val="27"/>
        </w:rPr>
        <w:t>Pino-Mejías</w:t>
      </w:r>
      <w:proofErr w:type="spellEnd"/>
      <w:r>
        <w:rPr>
          <w:rFonts w:ascii="Georgia" w:hAnsi="Georgia"/>
          <w:color w:val="333333"/>
          <w:sz w:val="27"/>
          <w:szCs w:val="27"/>
        </w:rPr>
        <w:t xml:space="preserve"> et al. </w:t>
      </w:r>
      <w:hyperlink r:id="rId19" w:anchor="ref-CR38" w:tooltip="Pino-Mejías R, Pérez-Fargallo A, Rubio-Bellido C, Pulido-Arcas JA (2017) Comparison of linear regression and artificial neural networks models to predict heating and cooling energy demand, energy consumption and CO2 emissions. Energy 118:24–36" w:history="1">
        <w:r>
          <w:rPr>
            <w:rStyle w:val="Hyperlink"/>
            <w:rFonts w:ascii="Georgia" w:eastAsiaTheme="majorEastAsia" w:hAnsi="Georgia"/>
            <w:color w:val="004B83"/>
            <w:sz w:val="27"/>
            <w:szCs w:val="27"/>
          </w:rPr>
          <w:t>2017</w:t>
        </w:r>
      </w:hyperlink>
      <w:r>
        <w:rPr>
          <w:rFonts w:ascii="Georgia" w:hAnsi="Georgia"/>
          <w:color w:val="333333"/>
          <w:sz w:val="27"/>
          <w:szCs w:val="27"/>
        </w:rPr>
        <w:t xml:space="preserve">). Eight fundamental variables have been used to analyze the design parameters of commercial air-cooled cooling and heating systems. The results show that the linear regression model with higher accuracy and better performance are those with the least value of predictive errors. It is expected that the models will help to estimate the energy savings that different design concepts would produce during the construction phases. This procedure was developed to generate training data for ANN using a statistical method. The resulting database contains case files that are representative of the office buildings. The statistical models that rely on the multi-perceptron method are more accurate than those that rely on the standard linear regression model. They can reproduce the results of ISO 17000:2008 with high accuracy. This study aimed to develop an ANN model to predict office buildings’ energy consumption and greenhouse gas emissions </w:t>
      </w:r>
      <w:r>
        <w:rPr>
          <w:rFonts w:ascii="Georgia" w:hAnsi="Georgia"/>
          <w:color w:val="333333"/>
          <w:sz w:val="27"/>
          <w:szCs w:val="27"/>
        </w:rPr>
        <w:lastRenderedPageBreak/>
        <w:t>in Santiago, Chile. The framework proposed in this study can be used to develop energy-efficient building standards that are realistic and sustainable.</w:t>
      </w:r>
    </w:p>
    <w:p w14:paraId="52B00D24"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A paper (Wang et al. </w:t>
      </w:r>
      <w:hyperlink r:id="rId20" w:anchor="ref-CR43" w:tooltip="Wang Q, Li S, Pisarenko Z (2020) Modeling carbon emission trajectory of China, US and India. J Clean Prod 258:120723" w:history="1">
        <w:r>
          <w:rPr>
            <w:rStyle w:val="Hyperlink"/>
            <w:rFonts w:ascii="Georgia" w:eastAsiaTheme="majorEastAsia" w:hAnsi="Georgia"/>
            <w:color w:val="004B83"/>
            <w:sz w:val="27"/>
            <w:szCs w:val="27"/>
          </w:rPr>
          <w:t>2020</w:t>
        </w:r>
      </w:hyperlink>
      <w:r>
        <w:rPr>
          <w:rFonts w:ascii="Georgia" w:hAnsi="Georgia"/>
          <w:color w:val="333333"/>
          <w:sz w:val="27"/>
          <w:szCs w:val="27"/>
        </w:rPr>
        <w:t>) shows that the data on carbon emissions are accurate for developing effective carbon mitigation strategies. For China, the US, and India, the data pattern on their carbon emission are different. The US carbon emission data shows volatile growth and decline. In this paper, the author proposes a method to improve the accuracy of the data by developing a combination of the ARIMA and the Metabolic Nonlinear Grey Model (MNGM). This method could reduce the residual error of the model MNGM by applying ARIMA and BPNN. It can also decrease the forecasting error of the model. As for the US’ carbon emissions are expected to keep a downward trend during the next couple of decades.</w:t>
      </w:r>
    </w:p>
    <w:p w14:paraId="46F4FB83"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In </w:t>
      </w:r>
      <w:proofErr w:type="spellStart"/>
      <w:r>
        <w:rPr>
          <w:rFonts w:ascii="Georgia" w:hAnsi="Georgia"/>
          <w:color w:val="333333"/>
          <w:sz w:val="27"/>
          <w:szCs w:val="27"/>
        </w:rPr>
        <w:t>Mele</w:t>
      </w:r>
      <w:proofErr w:type="spellEnd"/>
      <w:r>
        <w:rPr>
          <w:rFonts w:ascii="Georgia" w:hAnsi="Georgia"/>
          <w:color w:val="333333"/>
          <w:sz w:val="27"/>
          <w:szCs w:val="27"/>
        </w:rPr>
        <w:t xml:space="preserve"> and </w:t>
      </w:r>
      <w:proofErr w:type="spellStart"/>
      <w:r>
        <w:rPr>
          <w:rFonts w:ascii="Georgia" w:hAnsi="Georgia"/>
          <w:color w:val="333333"/>
          <w:sz w:val="27"/>
          <w:szCs w:val="27"/>
        </w:rPr>
        <w:t>Magazzino</w:t>
      </w:r>
      <w:proofErr w:type="spellEnd"/>
      <w:r>
        <w:rPr>
          <w:rFonts w:ascii="Georgia" w:hAnsi="Georgia"/>
          <w:color w:val="333333"/>
          <w:sz w:val="27"/>
          <w:szCs w:val="27"/>
        </w:rPr>
        <w:t xml:space="preserve"> (</w:t>
      </w:r>
      <w:hyperlink r:id="rId21" w:anchor="ref-CR32" w:tooltip="Mele M, Magazzino C (2020) A machine learning analysis of the relationship among iron and steel industries, air pollution, and economic growth in China. J Clean Prod 277:123293" w:history="1">
        <w:r>
          <w:rPr>
            <w:rStyle w:val="Hyperlink"/>
            <w:rFonts w:ascii="Georgia" w:eastAsiaTheme="majorEastAsia" w:hAnsi="Georgia"/>
            <w:color w:val="004B83"/>
            <w:sz w:val="27"/>
            <w:szCs w:val="27"/>
          </w:rPr>
          <w:t>2020</w:t>
        </w:r>
      </w:hyperlink>
      <w:r>
        <w:rPr>
          <w:rFonts w:ascii="Georgia" w:hAnsi="Georgia"/>
          <w:color w:val="333333"/>
          <w:sz w:val="27"/>
          <w:szCs w:val="27"/>
        </w:rPr>
        <w:t>), the author studies the monthly data of iron and steel industries, air pollution, and economic growth for China from 2000 to 2017 to find the relationship between them. The approach used for this work is the long short-term memory (LSTM) model. As per the paper, the iron and steel industries are the most energy-consuming and air-polluting sectors, which became the primary concern of the Chinese government. For energy supply, the iron and steel industry depend on coal, which produces a high percentage of direct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In this work, authors did not choose standard econometric techniques, rather they have used the machine learning method; LSTM comes under a recurrent neural network to analyze the relationships. And lastly, they successfully showed the strong relationship between the Iron and steel industries, and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which may help the government to make managerial policy implications.</w:t>
      </w:r>
    </w:p>
    <w:p w14:paraId="3F61BDD6"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In </w:t>
      </w:r>
      <w:proofErr w:type="spellStart"/>
      <w:r>
        <w:rPr>
          <w:rFonts w:ascii="Georgia" w:hAnsi="Georgia"/>
          <w:color w:val="333333"/>
          <w:sz w:val="27"/>
          <w:szCs w:val="27"/>
        </w:rPr>
        <w:t>Magazzino</w:t>
      </w:r>
      <w:proofErr w:type="spellEnd"/>
      <w:r>
        <w:rPr>
          <w:rFonts w:ascii="Georgia" w:hAnsi="Georgia"/>
          <w:color w:val="333333"/>
          <w:sz w:val="27"/>
          <w:szCs w:val="27"/>
        </w:rPr>
        <w:t xml:space="preserve"> et al. (</w:t>
      </w:r>
      <w:hyperlink r:id="rId22" w:anchor="ref-CR30" w:tooltip="Magazzino C, Mele M, Morelli G, Schneider N (2021) The nexus between information technology and environmental pollution: application of a new machine learning algorithm to OECD countries. Util Policy 72:101256" w:history="1">
        <w:r>
          <w:rPr>
            <w:rStyle w:val="Hyperlink"/>
            <w:rFonts w:ascii="Georgia" w:eastAsiaTheme="majorEastAsia" w:hAnsi="Georgia"/>
            <w:color w:val="004B83"/>
            <w:sz w:val="27"/>
            <w:szCs w:val="27"/>
          </w:rPr>
          <w:t>2021</w:t>
        </w:r>
      </w:hyperlink>
      <w:r>
        <w:rPr>
          <w:rFonts w:ascii="Georgia" w:hAnsi="Georgia"/>
          <w:color w:val="333333"/>
          <w:sz w:val="27"/>
          <w:szCs w:val="27"/>
        </w:rPr>
        <w:t>), the author’s interest is to examine the link between ICT, economic growth, urbanization, environmental pollution, and energy consumption using the ML models. In this work, time series, panel data of 25 OECD countries from 1990 to 2017 has been used. The author used the D2C algorithm, which predicts the linkage between two variables in a multivariate setting by (</w:t>
      </w:r>
      <w:proofErr w:type="spellStart"/>
      <w:r>
        <w:rPr>
          <w:rFonts w:ascii="Georgia" w:hAnsi="Georgia"/>
          <w:color w:val="333333"/>
          <w:sz w:val="27"/>
          <w:szCs w:val="27"/>
        </w:rPr>
        <w:t>i</w:t>
      </w:r>
      <w:proofErr w:type="spellEnd"/>
      <w:r>
        <w:rPr>
          <w:rFonts w:ascii="Georgia" w:hAnsi="Georgia"/>
          <w:color w:val="333333"/>
          <w:sz w:val="27"/>
          <w:szCs w:val="27"/>
        </w:rPr>
        <w:t>) constructing a set of relationship features based on asymmetric descriptors of the multivariate dependency and (ii) learning a mapping between the features and the presence of a causal link using a classifier. The same algorithm is used in work (</w:t>
      </w:r>
      <w:proofErr w:type="spellStart"/>
      <w:r>
        <w:rPr>
          <w:rFonts w:ascii="Georgia" w:hAnsi="Georgia"/>
          <w:color w:val="333333"/>
          <w:sz w:val="27"/>
          <w:szCs w:val="27"/>
        </w:rPr>
        <w:t>Mele</w:t>
      </w:r>
      <w:proofErr w:type="spellEnd"/>
      <w:r>
        <w:rPr>
          <w:rFonts w:ascii="Georgia" w:hAnsi="Georgia"/>
          <w:color w:val="333333"/>
          <w:sz w:val="27"/>
          <w:szCs w:val="27"/>
        </w:rPr>
        <w:t xml:space="preserve"> and </w:t>
      </w:r>
      <w:proofErr w:type="spellStart"/>
      <w:r>
        <w:rPr>
          <w:rFonts w:ascii="Georgia" w:hAnsi="Georgia"/>
          <w:color w:val="333333"/>
          <w:sz w:val="27"/>
          <w:szCs w:val="27"/>
        </w:rPr>
        <w:t>Magazzino</w:t>
      </w:r>
      <w:proofErr w:type="spellEnd"/>
      <w:r>
        <w:rPr>
          <w:rFonts w:ascii="Georgia" w:hAnsi="Georgia"/>
          <w:color w:val="333333"/>
          <w:sz w:val="27"/>
          <w:szCs w:val="27"/>
        </w:rPr>
        <w:t> </w:t>
      </w:r>
      <w:hyperlink r:id="rId23" w:anchor="ref-CR33" w:tooltip="Mele M, Magazzino C (2021) Pollution, economic growth, and COVID-19 deaths in India: a machine learning evidence. Environ Sci Pollut Res 28(3):2669–2677" w:history="1">
        <w:r>
          <w:rPr>
            <w:rStyle w:val="Hyperlink"/>
            <w:rFonts w:ascii="Georgia" w:eastAsiaTheme="majorEastAsia" w:hAnsi="Georgia"/>
            <w:color w:val="004B83"/>
            <w:sz w:val="27"/>
            <w:szCs w:val="27"/>
          </w:rPr>
          <w:t>2021</w:t>
        </w:r>
      </w:hyperlink>
      <w:r>
        <w:rPr>
          <w:rFonts w:ascii="Georgia" w:hAnsi="Georgia"/>
          <w:color w:val="333333"/>
          <w:sz w:val="27"/>
          <w:szCs w:val="27"/>
        </w:rPr>
        <w:t xml:space="preserve">) over the annual data from yeras1980 to 2018 to </w:t>
      </w:r>
      <w:proofErr w:type="spellStart"/>
      <w:r>
        <w:rPr>
          <w:rFonts w:ascii="Georgia" w:hAnsi="Georgia"/>
          <w:color w:val="333333"/>
          <w:sz w:val="27"/>
          <w:szCs w:val="27"/>
        </w:rPr>
        <w:t>analyse</w:t>
      </w:r>
      <w:proofErr w:type="spellEnd"/>
      <w:r>
        <w:rPr>
          <w:rFonts w:ascii="Georgia" w:hAnsi="Georgia"/>
          <w:color w:val="333333"/>
          <w:sz w:val="27"/>
          <w:szCs w:val="27"/>
        </w:rPr>
        <w:t xml:space="preserve"> the relationship between pollution emission, economic growth, and COVID-19. For COVID-19, data was collected from 29</w:t>
      </w:r>
      <w:r>
        <w:rPr>
          <w:rFonts w:ascii="Georgia" w:hAnsi="Georgia"/>
          <w:color w:val="333333"/>
          <w:sz w:val="20"/>
          <w:szCs w:val="20"/>
          <w:vertAlign w:val="superscript"/>
        </w:rPr>
        <w:t>th</w:t>
      </w:r>
      <w:r>
        <w:rPr>
          <w:rFonts w:ascii="Georgia" w:hAnsi="Georgia"/>
          <w:color w:val="333333"/>
          <w:sz w:val="27"/>
          <w:szCs w:val="27"/>
        </w:rPr>
        <w:t> January 2020 to 18</w:t>
      </w:r>
      <w:r>
        <w:rPr>
          <w:rFonts w:ascii="Georgia" w:hAnsi="Georgia"/>
          <w:color w:val="333333"/>
          <w:sz w:val="20"/>
          <w:szCs w:val="20"/>
          <w:vertAlign w:val="superscript"/>
        </w:rPr>
        <w:t>th</w:t>
      </w:r>
      <w:r>
        <w:rPr>
          <w:rFonts w:ascii="Georgia" w:hAnsi="Georgia"/>
          <w:color w:val="333333"/>
          <w:sz w:val="27"/>
          <w:szCs w:val="27"/>
        </w:rPr>
        <w:t> May 2020.</w:t>
      </w:r>
    </w:p>
    <w:p w14:paraId="23BC8E24"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In </w:t>
      </w:r>
      <w:proofErr w:type="spellStart"/>
      <w:r>
        <w:rPr>
          <w:rFonts w:ascii="Georgia" w:hAnsi="Georgia"/>
          <w:color w:val="333333"/>
          <w:sz w:val="27"/>
          <w:szCs w:val="27"/>
        </w:rPr>
        <w:t>Bakay</w:t>
      </w:r>
      <w:proofErr w:type="spellEnd"/>
      <w:r>
        <w:rPr>
          <w:rFonts w:ascii="Georgia" w:hAnsi="Georgia"/>
          <w:color w:val="333333"/>
          <w:sz w:val="27"/>
          <w:szCs w:val="27"/>
        </w:rPr>
        <w:t xml:space="preserve"> and </w:t>
      </w:r>
      <w:proofErr w:type="spellStart"/>
      <w:r>
        <w:rPr>
          <w:rFonts w:ascii="Georgia" w:hAnsi="Georgia"/>
          <w:color w:val="333333"/>
          <w:sz w:val="27"/>
          <w:szCs w:val="27"/>
        </w:rPr>
        <w:t>Ağbulut</w:t>
      </w:r>
      <w:proofErr w:type="spellEnd"/>
      <w:r>
        <w:rPr>
          <w:rFonts w:ascii="Georgia" w:hAnsi="Georgia"/>
          <w:color w:val="333333"/>
          <w:sz w:val="27"/>
          <w:szCs w:val="27"/>
        </w:rPr>
        <w:t xml:space="preserve"> (</w:t>
      </w:r>
      <w:hyperlink r:id="rId24" w:anchor="ref-CR10" w:tooltip="Bakay MS, Ağbulut Ü (2021) Electricity production based forecasting of greenhouse gas emissions in Turkey with deep learning, support vector machine and artificial neural network algorithms. J Clean Prod 285:125324" w:history="1">
        <w:r>
          <w:rPr>
            <w:rStyle w:val="Hyperlink"/>
            <w:rFonts w:ascii="Georgia" w:eastAsiaTheme="majorEastAsia" w:hAnsi="Georgia"/>
            <w:color w:val="004B83"/>
            <w:sz w:val="27"/>
            <w:szCs w:val="27"/>
          </w:rPr>
          <w:t>2021</w:t>
        </w:r>
      </w:hyperlink>
      <w:r>
        <w:rPr>
          <w:rFonts w:ascii="Georgia" w:hAnsi="Georgia"/>
          <w:color w:val="333333"/>
          <w:sz w:val="27"/>
          <w:szCs w:val="27"/>
        </w:rPr>
        <w:t>), SVM, ANN, and deep learning models have been used for forecasting five gases that are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w:t>
      </w:r>
      <w:r>
        <w:rPr>
          <w:rFonts w:ascii="Georgia" w:hAnsi="Georgia"/>
          <w:i/>
          <w:iCs/>
          <w:color w:val="333333"/>
          <w:sz w:val="27"/>
          <w:szCs w:val="27"/>
        </w:rPr>
        <w:t>CH</w:t>
      </w:r>
      <w:r>
        <w:rPr>
          <w:rFonts w:ascii="Georgia" w:hAnsi="Georgia"/>
          <w:color w:val="333333"/>
          <w:sz w:val="20"/>
          <w:szCs w:val="20"/>
          <w:vertAlign w:val="subscript"/>
        </w:rPr>
        <w:t>4</w:t>
      </w:r>
      <w:r>
        <w:rPr>
          <w:rFonts w:ascii="Georgia" w:hAnsi="Georgia"/>
          <w:color w:val="333333"/>
          <w:sz w:val="27"/>
          <w:szCs w:val="27"/>
        </w:rPr>
        <w:t>, </w:t>
      </w:r>
      <w:r>
        <w:rPr>
          <w:rFonts w:ascii="Georgia" w:hAnsi="Georgia"/>
          <w:i/>
          <w:iCs/>
          <w:color w:val="333333"/>
          <w:sz w:val="27"/>
          <w:szCs w:val="27"/>
        </w:rPr>
        <w:t>N</w:t>
      </w:r>
      <w:r>
        <w:rPr>
          <w:rFonts w:ascii="Georgia" w:hAnsi="Georgia"/>
          <w:color w:val="333333"/>
          <w:sz w:val="20"/>
          <w:szCs w:val="20"/>
          <w:vertAlign w:val="subscript"/>
        </w:rPr>
        <w:t>2</w:t>
      </w:r>
      <w:r>
        <w:rPr>
          <w:rFonts w:ascii="Georgia" w:hAnsi="Georgia"/>
          <w:i/>
          <w:iCs/>
          <w:color w:val="333333"/>
          <w:sz w:val="27"/>
          <w:szCs w:val="27"/>
        </w:rPr>
        <w:t>O</w:t>
      </w:r>
      <w:r>
        <w:rPr>
          <w:rFonts w:ascii="Georgia" w:hAnsi="Georgia"/>
          <w:color w:val="333333"/>
          <w:sz w:val="27"/>
          <w:szCs w:val="27"/>
        </w:rPr>
        <w:t>, F-gases, and total GHG. This work has used Turkey’s energy production data from 1990 to 2014. Findings indicate that deep learning-based models perform better with </w:t>
      </w:r>
      <w:r>
        <w:rPr>
          <w:rFonts w:ascii="Georgia" w:hAnsi="Georgia"/>
          <w:i/>
          <w:iCs/>
          <w:color w:val="333333"/>
          <w:sz w:val="27"/>
          <w:szCs w:val="27"/>
        </w:rPr>
        <w:t>RMSE</w:t>
      </w:r>
      <w:r>
        <w:rPr>
          <w:rFonts w:ascii="Georgia" w:hAnsi="Georgia"/>
          <w:color w:val="333333"/>
          <w:sz w:val="27"/>
          <w:szCs w:val="27"/>
        </w:rPr>
        <w:t>, </w:t>
      </w:r>
      <w:proofErr w:type="spellStart"/>
      <w:r>
        <w:rPr>
          <w:rFonts w:ascii="Georgia" w:hAnsi="Georgia"/>
          <w:i/>
          <w:iCs/>
          <w:color w:val="333333"/>
          <w:sz w:val="27"/>
          <w:szCs w:val="27"/>
        </w:rPr>
        <w:t>rRMSE</w:t>
      </w:r>
      <w:proofErr w:type="spellEnd"/>
      <w:r>
        <w:rPr>
          <w:rFonts w:ascii="Georgia" w:hAnsi="Georgia"/>
          <w:color w:val="333333"/>
          <w:sz w:val="27"/>
          <w:szCs w:val="27"/>
        </w:rPr>
        <w:t>, </w:t>
      </w:r>
      <w:r>
        <w:rPr>
          <w:rFonts w:ascii="Georgia" w:hAnsi="Georgia"/>
          <w:i/>
          <w:iCs/>
          <w:color w:val="333333"/>
          <w:sz w:val="27"/>
          <w:szCs w:val="27"/>
        </w:rPr>
        <w:t>MBE</w:t>
      </w:r>
      <w:r>
        <w:rPr>
          <w:rFonts w:ascii="Georgia" w:hAnsi="Georgia"/>
          <w:color w:val="333333"/>
          <w:sz w:val="27"/>
          <w:szCs w:val="27"/>
        </w:rPr>
        <w:t>, and </w:t>
      </w:r>
      <w:r>
        <w:rPr>
          <w:rFonts w:ascii="Georgia" w:hAnsi="Georgia"/>
          <w:i/>
          <w:iCs/>
          <w:color w:val="333333"/>
          <w:sz w:val="27"/>
          <w:szCs w:val="27"/>
        </w:rPr>
        <w:t>MAPE</w:t>
      </w:r>
      <w:r>
        <w:rPr>
          <w:rFonts w:ascii="Georgia" w:hAnsi="Georgia"/>
          <w:color w:val="333333"/>
          <w:sz w:val="27"/>
          <w:szCs w:val="27"/>
        </w:rPr>
        <w:t> performance metrics.</w:t>
      </w:r>
    </w:p>
    <w:p w14:paraId="13A5B4ED"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lastRenderedPageBreak/>
        <w:t>In MK (</w:t>
      </w:r>
      <w:hyperlink r:id="rId25" w:anchor="ref-CR34" w:tooltip="MK AN (2020) Role of energy use in the prediction of CO2 emissions and economic growth in India: evidence from artificial neural networks (ANN). Environ Sci Pollut Res 27(19):23631–23642" w:history="1">
        <w:r>
          <w:rPr>
            <w:rStyle w:val="Hyperlink"/>
            <w:rFonts w:ascii="Georgia" w:eastAsiaTheme="majorEastAsia" w:hAnsi="Georgia"/>
            <w:color w:val="004B83"/>
            <w:sz w:val="27"/>
            <w:szCs w:val="27"/>
          </w:rPr>
          <w:t>2020</w:t>
        </w:r>
      </w:hyperlink>
      <w:r>
        <w:rPr>
          <w:rFonts w:ascii="Georgia" w:hAnsi="Georgia"/>
          <w:color w:val="333333"/>
          <w:sz w:val="27"/>
          <w:szCs w:val="27"/>
        </w:rPr>
        <w:t>), the author has worked on the role of energy use in the prediction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and economic growth in India using artificial neural networks. The author uses two optimizers as Adam and Stochastic Gradient Descent for prediction, and it is found that Adam optimizer works as a better optimizer for their work. There are some other suggested models too for forecasting (</w:t>
      </w:r>
      <w:proofErr w:type="spellStart"/>
      <w:r>
        <w:rPr>
          <w:rFonts w:ascii="Georgia" w:hAnsi="Georgia"/>
          <w:color w:val="333333"/>
          <w:sz w:val="27"/>
          <w:szCs w:val="27"/>
        </w:rPr>
        <w:t>Hewamalage</w:t>
      </w:r>
      <w:proofErr w:type="spellEnd"/>
      <w:r>
        <w:rPr>
          <w:rFonts w:ascii="Georgia" w:hAnsi="Georgia"/>
          <w:color w:val="333333"/>
          <w:sz w:val="27"/>
          <w:szCs w:val="27"/>
        </w:rPr>
        <w:t xml:space="preserve"> et al. </w:t>
      </w:r>
      <w:hyperlink r:id="rId26" w:anchor="ref-CR21" w:tooltip="Hewamalage H, Bergmeir C, Bandara K (2021) Recurrent neural networks for time series forecasting: current status and future directions. Int J Forecast 37(1):388–427" w:history="1">
        <w:r>
          <w:rPr>
            <w:rStyle w:val="Hyperlink"/>
            <w:rFonts w:ascii="Georgia" w:eastAsiaTheme="majorEastAsia" w:hAnsi="Georgia"/>
            <w:color w:val="004B83"/>
            <w:sz w:val="27"/>
            <w:szCs w:val="27"/>
          </w:rPr>
          <w:t>2021</w:t>
        </w:r>
      </w:hyperlink>
      <w:r>
        <w:rPr>
          <w:rFonts w:ascii="Georgia" w:hAnsi="Georgia"/>
          <w:color w:val="333333"/>
          <w:sz w:val="27"/>
          <w:szCs w:val="27"/>
        </w:rPr>
        <w:t>) author talked about the recurrent neural network model for competition data. In this work, they have also presented a detailed discussion on the current status of the RNN model and its future directions.</w:t>
      </w:r>
    </w:p>
    <w:p w14:paraId="571AA444"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In 1978, a statistical model named Holt-Winters (Chatfield </w:t>
      </w:r>
      <w:hyperlink r:id="rId27" w:anchor="ref-CR13" w:tooltip="Chatfield C (1978) The Holt-winters forecasting procedure. J R Stat Soc: Ser C: Appl Stat 27(3):264–279" w:history="1">
        <w:r>
          <w:rPr>
            <w:rStyle w:val="Hyperlink"/>
            <w:rFonts w:ascii="Georgia" w:eastAsiaTheme="majorEastAsia" w:hAnsi="Georgia"/>
            <w:color w:val="004B83"/>
            <w:sz w:val="27"/>
            <w:szCs w:val="27"/>
          </w:rPr>
          <w:t>1978</w:t>
        </w:r>
      </w:hyperlink>
      <w:r>
        <w:rPr>
          <w:rFonts w:ascii="Georgia" w:hAnsi="Georgia"/>
          <w:color w:val="333333"/>
          <w:sz w:val="27"/>
          <w:szCs w:val="27"/>
        </w:rPr>
        <w:t>) was introduced, which deals with trends and seasonal variation. According to this paper, some available idiosyncratic modifications can improve the Holt-Winter’s forecasts. There is an argument that Box-Jenkins and a non-automatic version of Holt-Winters would be a fairer comparison. There is a suggested method for predicting and estimating trends in specific datasets. If multiple trends in data and the forecasting model dimensions increase, this trend estimation becomes a more tedious task, so the paper (</w:t>
      </w:r>
      <w:proofErr w:type="spellStart"/>
      <w:r>
        <w:rPr>
          <w:rFonts w:ascii="Georgia" w:hAnsi="Georgia"/>
          <w:color w:val="333333"/>
          <w:sz w:val="27"/>
          <w:szCs w:val="27"/>
        </w:rPr>
        <w:t>Sbrana</w:t>
      </w:r>
      <w:proofErr w:type="spellEnd"/>
      <w:r>
        <w:rPr>
          <w:rFonts w:ascii="Georgia" w:hAnsi="Georgia"/>
          <w:color w:val="333333"/>
          <w:sz w:val="27"/>
          <w:szCs w:val="27"/>
        </w:rPr>
        <w:t> </w:t>
      </w:r>
      <w:hyperlink r:id="rId28" w:anchor="ref-CR39" w:tooltip="Sbrana G (2021) High-dimensional Holt-Winters trend model: fast estimation and prediction. J Oper Res Soc 72(3):701–713" w:history="1">
        <w:r>
          <w:rPr>
            <w:rStyle w:val="Hyperlink"/>
            <w:rFonts w:ascii="Georgia" w:eastAsiaTheme="majorEastAsia" w:hAnsi="Georgia"/>
            <w:color w:val="004B83"/>
            <w:sz w:val="27"/>
            <w:szCs w:val="27"/>
          </w:rPr>
          <w:t>2021</w:t>
        </w:r>
      </w:hyperlink>
      <w:r>
        <w:rPr>
          <w:rFonts w:ascii="Georgia" w:hAnsi="Georgia"/>
          <w:color w:val="333333"/>
          <w:sz w:val="27"/>
          <w:szCs w:val="27"/>
        </w:rPr>
        <w:t>) has a closed-form result for simple prediction and estimation of the multivariate smooth-trend model, a state-space representation of Holt-Winters celebrated recursions.</w:t>
      </w:r>
    </w:p>
    <w:p w14:paraId="341C9913"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In </w:t>
      </w:r>
      <w:proofErr w:type="spellStart"/>
      <w:r>
        <w:rPr>
          <w:rFonts w:ascii="Georgia" w:hAnsi="Georgia"/>
          <w:color w:val="333333"/>
          <w:sz w:val="27"/>
          <w:szCs w:val="27"/>
        </w:rPr>
        <w:t>Magazzino</w:t>
      </w:r>
      <w:proofErr w:type="spellEnd"/>
      <w:r>
        <w:rPr>
          <w:rFonts w:ascii="Georgia" w:hAnsi="Georgia"/>
          <w:color w:val="333333"/>
          <w:sz w:val="27"/>
          <w:szCs w:val="27"/>
        </w:rPr>
        <w:t xml:space="preserve"> (</w:t>
      </w:r>
      <w:hyperlink r:id="rId29" w:anchor="ref-CR28" w:tooltip="Magazzino C (2017) Economic growth, CO2 emissions and energy use in the South Caucasus and Turkey: a PVAR analyses. Int Energy J 16(4)" w:history="1">
        <w:r>
          <w:rPr>
            <w:rStyle w:val="Hyperlink"/>
            <w:rFonts w:ascii="Georgia" w:eastAsiaTheme="majorEastAsia" w:hAnsi="Georgia"/>
            <w:color w:val="004B83"/>
            <w:sz w:val="27"/>
            <w:szCs w:val="27"/>
          </w:rPr>
          <w:t>2017</w:t>
        </w:r>
      </w:hyperlink>
      <w:r>
        <w:rPr>
          <w:rFonts w:ascii="Georgia" w:hAnsi="Georgia"/>
          <w:color w:val="333333"/>
          <w:sz w:val="27"/>
          <w:szCs w:val="27"/>
        </w:rPr>
        <w:t>), author investigated the relation among the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economic growth, and energy used in the South Caucasus area and Turkey using three variable Vector Autoregressive (VAR) technique over the panel data. The empirical analysis uses yearly data of real per capita GDP, per capita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and per capita energy uses in 1992–2013 for Armenia, Azerbaijan, Georgia, and Turkey. Analysis shows the reaction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to energy use is negative and statistically significant in both the estimated coefficients and impulse responses.</w:t>
      </w:r>
    </w:p>
    <w:p w14:paraId="4829359C"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 xml:space="preserve">Later in </w:t>
      </w:r>
      <w:proofErr w:type="spellStart"/>
      <w:r>
        <w:rPr>
          <w:rFonts w:ascii="Georgia" w:hAnsi="Georgia"/>
          <w:color w:val="333333"/>
          <w:sz w:val="27"/>
          <w:szCs w:val="27"/>
        </w:rPr>
        <w:t>Magazzino</w:t>
      </w:r>
      <w:proofErr w:type="spellEnd"/>
      <w:r>
        <w:rPr>
          <w:rFonts w:ascii="Georgia" w:hAnsi="Georgia"/>
          <w:color w:val="333333"/>
          <w:sz w:val="27"/>
          <w:szCs w:val="27"/>
        </w:rPr>
        <w:t xml:space="preserve"> et al. (</w:t>
      </w:r>
      <w:hyperlink r:id="rId30" w:anchor="ref-CR29" w:tooltip="Magazzino C, Mele M, Schneider N (2020) A Machine Learning approach on the relationship among solar and wind energy production, coal consumption, GDP, and CO2 emissions. Renew Energy 151:829–836" w:history="1">
        <w:r>
          <w:rPr>
            <w:rStyle w:val="Hyperlink"/>
            <w:rFonts w:ascii="Georgia" w:eastAsiaTheme="majorEastAsia" w:hAnsi="Georgia"/>
            <w:color w:val="004B83"/>
            <w:sz w:val="27"/>
            <w:szCs w:val="27"/>
          </w:rPr>
          <w:t>2020</w:t>
        </w:r>
      </w:hyperlink>
      <w:r>
        <w:rPr>
          <w:rFonts w:ascii="Georgia" w:hAnsi="Georgia"/>
          <w:color w:val="333333"/>
          <w:sz w:val="27"/>
          <w:szCs w:val="27"/>
        </w:rPr>
        <w:t>), authors investigate the casual relationship among solar and wind energy production, coal consumption, economic growth, and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for three most significant contributors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and energy consumers i.e. China, India, and the USA. They have used an advanced methodology in machine learning to verify the predictive causal linkages among variables. The Casual Direction from Dependency (D2C) algorithm set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as the target variables.</w:t>
      </w:r>
    </w:p>
    <w:p w14:paraId="6FFA74FD"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t>The authors (</w:t>
      </w:r>
      <w:proofErr w:type="spellStart"/>
      <w:r>
        <w:rPr>
          <w:rFonts w:ascii="Georgia" w:hAnsi="Georgia"/>
          <w:color w:val="333333"/>
          <w:sz w:val="27"/>
          <w:szCs w:val="27"/>
        </w:rPr>
        <w:t>Magazzino</w:t>
      </w:r>
      <w:proofErr w:type="spellEnd"/>
      <w:r>
        <w:rPr>
          <w:rFonts w:ascii="Georgia" w:hAnsi="Georgia"/>
          <w:color w:val="333333"/>
          <w:sz w:val="27"/>
          <w:szCs w:val="27"/>
        </w:rPr>
        <w:t xml:space="preserve"> et al. </w:t>
      </w:r>
      <w:hyperlink r:id="rId31" w:anchor="ref-CR30" w:tooltip="Magazzino C, Mele M, Morelli G, Schneider N (2021) The nexus between information technology and environmental pollution: application of a new machine learning algorithm to OECD countries. Util Policy 72:101256" w:history="1">
        <w:r>
          <w:rPr>
            <w:rStyle w:val="Hyperlink"/>
            <w:rFonts w:ascii="Georgia" w:eastAsiaTheme="majorEastAsia" w:hAnsi="Georgia"/>
            <w:color w:val="004B83"/>
            <w:sz w:val="27"/>
            <w:szCs w:val="27"/>
          </w:rPr>
          <w:t>2021</w:t>
        </w:r>
      </w:hyperlink>
      <w:r>
        <w:rPr>
          <w:rFonts w:ascii="Georgia" w:hAnsi="Georgia"/>
          <w:color w:val="333333"/>
          <w:sz w:val="27"/>
          <w:szCs w:val="27"/>
        </w:rPr>
        <w:t>) investigated the casual relation between renewable energy technologies, biomass energy consumption, per capita GDP, and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emissions for Germany. In this work, they devised an innovative model, the Quantum model, combined with machine learning models to find the relation. As a result, they find biomass energy uses powerful for the reduction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and use of renewable energy more potent for the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reduction.</w:t>
      </w:r>
    </w:p>
    <w:p w14:paraId="76670D83" w14:textId="77777777" w:rsidR="003F0A22" w:rsidRDefault="003F0A22" w:rsidP="003F0A22">
      <w:pPr>
        <w:pStyle w:val="NormalWeb"/>
        <w:shd w:val="clear" w:color="auto" w:fill="FCFCFC"/>
        <w:spacing w:before="0" w:beforeAutospacing="0" w:after="0" w:afterAutospacing="0"/>
        <w:rPr>
          <w:rFonts w:ascii="Georgia" w:hAnsi="Georgia"/>
          <w:color w:val="333333"/>
          <w:sz w:val="27"/>
          <w:szCs w:val="27"/>
        </w:rPr>
      </w:pPr>
      <w:r>
        <w:rPr>
          <w:rFonts w:ascii="Georgia" w:hAnsi="Georgia"/>
          <w:color w:val="333333"/>
          <w:sz w:val="27"/>
          <w:szCs w:val="27"/>
        </w:rPr>
        <w:lastRenderedPageBreak/>
        <w:t>After exploring the literature, we have observed that several methods, including various algorithms, theories, and mathematical models, have been studied to track trends, and forecast different harmful gases such as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w:t>
      </w:r>
      <w:r>
        <w:rPr>
          <w:rFonts w:ascii="Georgia" w:hAnsi="Georgia"/>
          <w:i/>
          <w:iCs/>
          <w:color w:val="333333"/>
          <w:sz w:val="27"/>
          <w:szCs w:val="27"/>
        </w:rPr>
        <w:t>CH</w:t>
      </w:r>
      <w:r>
        <w:rPr>
          <w:rFonts w:ascii="Georgia" w:hAnsi="Georgia"/>
          <w:color w:val="333333"/>
          <w:sz w:val="20"/>
          <w:szCs w:val="20"/>
          <w:vertAlign w:val="subscript"/>
        </w:rPr>
        <w:t>4</w:t>
      </w:r>
      <w:r>
        <w:rPr>
          <w:rFonts w:ascii="Georgia" w:hAnsi="Georgia"/>
          <w:color w:val="333333"/>
          <w:sz w:val="27"/>
          <w:szCs w:val="27"/>
        </w:rPr>
        <w:t> etc., with energy consumption, the death rate in COVID-19. Furthermore, we have observed that statistical, machine learning and deep learning models are not applied together. To fill this gap, we have applied all the three classes of models for effective prediction of </w:t>
      </w:r>
      <w:r>
        <w:rPr>
          <w:rFonts w:ascii="Georgia" w:hAnsi="Georgia"/>
          <w:i/>
          <w:iCs/>
          <w:color w:val="333333"/>
          <w:sz w:val="27"/>
          <w:szCs w:val="27"/>
        </w:rPr>
        <w:t>CO</w:t>
      </w:r>
      <w:r>
        <w:rPr>
          <w:rFonts w:ascii="Georgia" w:hAnsi="Georgia"/>
          <w:color w:val="333333"/>
          <w:sz w:val="20"/>
          <w:szCs w:val="20"/>
          <w:vertAlign w:val="subscript"/>
        </w:rPr>
        <w:t>2</w:t>
      </w:r>
      <w:r>
        <w:rPr>
          <w:rFonts w:ascii="Georgia" w:hAnsi="Georgia"/>
          <w:color w:val="333333"/>
          <w:sz w:val="27"/>
          <w:szCs w:val="27"/>
        </w:rPr>
        <w:t> emission, which tells about the best-performing models and analyses the reasons behind their performance.</w:t>
      </w:r>
    </w:p>
    <w:p w14:paraId="481BA0D8" w14:textId="77777777" w:rsidR="003F0A22" w:rsidRDefault="003F0A22" w:rsidP="5C5906FE">
      <w:pPr>
        <w:rPr>
          <w:rFonts w:ascii="Times New Roman" w:eastAsia="Times New Roman" w:hAnsi="Times New Roman" w:cs="Times New Roman"/>
        </w:rPr>
      </w:pPr>
    </w:p>
    <w:p w14:paraId="6A7E4150" w14:textId="77777777" w:rsidR="003F0A22" w:rsidRDefault="003F0A22" w:rsidP="5C5906FE">
      <w:pPr>
        <w:rPr>
          <w:rFonts w:ascii="Times New Roman" w:eastAsia="Times New Roman" w:hAnsi="Times New Roman" w:cs="Times New Roman"/>
        </w:rPr>
      </w:pPr>
    </w:p>
    <w:p w14:paraId="1D7639B1" w14:textId="77777777" w:rsidR="003F0A22" w:rsidRDefault="003F0A22" w:rsidP="003F0A22">
      <w:pPr>
        <w:pStyle w:val="Heading2"/>
        <w:pBdr>
          <w:bottom w:val="single" w:sz="12" w:space="6" w:color="D5D5D5"/>
        </w:pBdr>
        <w:spacing w:before="0"/>
        <w:rPr>
          <w:rFonts w:ascii="Georgia" w:hAnsi="Georgia"/>
        </w:rPr>
      </w:pPr>
      <w:r>
        <w:rPr>
          <w:rFonts w:ascii="Georgia" w:hAnsi="Georgia"/>
          <w:b/>
          <w:bCs/>
        </w:rPr>
        <w:t>The dataset</w:t>
      </w:r>
    </w:p>
    <w:p w14:paraId="5B8FEC61" w14:textId="77777777" w:rsidR="003F0A22" w:rsidRDefault="003F0A22" w:rsidP="003F0A22">
      <w:pPr>
        <w:pStyle w:val="NormalWeb"/>
        <w:spacing w:before="0" w:beforeAutospacing="0" w:after="0" w:afterAutospacing="0"/>
      </w:pPr>
      <w:r>
        <w:t>We have used </w:t>
      </w:r>
      <w:r>
        <w:rPr>
          <w:i/>
          <w:iCs/>
        </w:rPr>
        <w:t>CO</w:t>
      </w:r>
      <w:r>
        <w:rPr>
          <w:sz w:val="20"/>
          <w:szCs w:val="20"/>
          <w:vertAlign w:val="subscript"/>
        </w:rPr>
        <w:t>2</w:t>
      </w:r>
      <w:r>
        <w:t> and greenhouse gas emission data</w:t>
      </w:r>
      <w:hyperlink r:id="rId32" w:anchor="Fn1" w:history="1">
        <w:r>
          <w:rPr>
            <w:rStyle w:val="u-visually-hidden"/>
            <w:rFonts w:eastAsiaTheme="majorEastAsia"/>
            <w:color w:val="004B83"/>
            <w:sz w:val="20"/>
            <w:szCs w:val="20"/>
            <w:u w:val="single"/>
            <w:bdr w:val="none" w:sz="0" w:space="0" w:color="auto" w:frame="1"/>
            <w:vertAlign w:val="superscript"/>
          </w:rPr>
          <w:t>Footnote</w:t>
        </w:r>
        <w:r>
          <w:rPr>
            <w:rStyle w:val="Hyperlink"/>
            <w:rFonts w:eastAsiaTheme="majorEastAsia"/>
            <w:color w:val="004B83"/>
            <w:sz w:val="20"/>
            <w:szCs w:val="20"/>
            <w:vertAlign w:val="superscript"/>
          </w:rPr>
          <w:t>1</w:t>
        </w:r>
      </w:hyperlink>
      <w:r>
        <w:t> of 40 years in this work. We have collected the data from the year 1980 to 2019 by using the CAIT data source, which is the most comprehensive and includes all the sectors along with gases. Greenhouse gas emission data indicates that 60% of the GHG emissions are from the top 10 emitting countries. In this work, we have used the univariate time series data of India, having an increasing </w:t>
      </w:r>
      <w:r>
        <w:rPr>
          <w:i/>
          <w:iCs/>
        </w:rPr>
        <w:t>CO</w:t>
      </w:r>
      <w:r>
        <w:rPr>
          <w:sz w:val="20"/>
          <w:szCs w:val="20"/>
          <w:vertAlign w:val="subscript"/>
        </w:rPr>
        <w:t>2</w:t>
      </w:r>
      <w:r>
        <w:t> emission trend.</w:t>
      </w:r>
    </w:p>
    <w:p w14:paraId="3B6C1E1B" w14:textId="77777777" w:rsidR="003F0A22" w:rsidRDefault="003F0A22" w:rsidP="003F0A22">
      <w:pPr>
        <w:pStyle w:val="NormalWeb"/>
        <w:spacing w:before="0" w:beforeAutospacing="0" w:after="0" w:afterAutospacing="0"/>
      </w:pPr>
      <w:r>
        <w:t>The data pre-processing is done before splitting the data into training and testing samples. Test data is used to evaluate the performance of the models, and better performing models are used for forecasting the </w:t>
      </w:r>
      <w:r>
        <w:rPr>
          <w:i/>
          <w:iCs/>
        </w:rPr>
        <w:t>CO</w:t>
      </w:r>
      <w:r>
        <w:rPr>
          <w:sz w:val="20"/>
          <w:szCs w:val="20"/>
          <w:vertAlign w:val="subscript"/>
        </w:rPr>
        <w:t>2</w:t>
      </w:r>
      <w:r>
        <w:t> emissions.</w:t>
      </w:r>
    </w:p>
    <w:p w14:paraId="3DCBB59F" w14:textId="77777777" w:rsidR="003F0A22" w:rsidRDefault="003F0A22" w:rsidP="003F0A22">
      <w:pPr>
        <w:pStyle w:val="NormalWeb"/>
        <w:spacing w:before="0" w:beforeAutospacing="0" w:after="0" w:afterAutospacing="0"/>
      </w:pPr>
      <w:r>
        <w:t>The descriptive analysis of the dataset </w:t>
      </w:r>
      <w:r>
        <w:rPr>
          <w:i/>
          <w:iCs/>
        </w:rPr>
        <w:t>CO</w:t>
      </w:r>
      <w:r>
        <w:rPr>
          <w:sz w:val="20"/>
          <w:szCs w:val="20"/>
          <w:vertAlign w:val="subscript"/>
        </w:rPr>
        <w:t>2</w:t>
      </w:r>
      <w:r>
        <w:t> emission data is shown below in Table </w:t>
      </w:r>
      <w:hyperlink r:id="rId33" w:anchor="Tab1" w:history="1">
        <w:r>
          <w:rPr>
            <w:rStyle w:val="Hyperlink"/>
            <w:rFonts w:eastAsiaTheme="majorEastAsia"/>
            <w:color w:val="004B83"/>
          </w:rPr>
          <w:t>1</w:t>
        </w:r>
      </w:hyperlink>
      <w:r>
        <w:t xml:space="preserve">. After observing the min, median, and max values, we can see the increasing </w:t>
      </w:r>
      <w:proofErr w:type="spellStart"/>
      <w:r>
        <w:t>behaviour</w:t>
      </w:r>
      <w:proofErr w:type="spellEnd"/>
      <w:r>
        <w:t xml:space="preserve"> of </w:t>
      </w:r>
      <w:r>
        <w:rPr>
          <w:i/>
          <w:iCs/>
        </w:rPr>
        <w:t>CO</w:t>
      </w:r>
      <w:r>
        <w:rPr>
          <w:sz w:val="20"/>
          <w:szCs w:val="20"/>
          <w:vertAlign w:val="subscript"/>
        </w:rPr>
        <w:t>2</w:t>
      </w:r>
      <w:r>
        <w:t> emission.</w:t>
      </w:r>
    </w:p>
    <w:p w14:paraId="4B0356FF" w14:textId="77777777" w:rsidR="003F0A22" w:rsidRDefault="003F0A22" w:rsidP="003F0A22">
      <w:r>
        <w:rPr>
          <w:b/>
          <w:bCs/>
        </w:rPr>
        <w:t>Table 1. Descriptive analysis</w:t>
      </w:r>
    </w:p>
    <w:p w14:paraId="5A2D645B" w14:textId="77777777" w:rsidR="003F0A22" w:rsidRDefault="003F0A22" w:rsidP="003F0A22">
      <w:pPr>
        <w:jc w:val="right"/>
      </w:pPr>
      <w:hyperlink r:id="rId34" w:history="1">
        <w:r>
          <w:rPr>
            <w:rStyle w:val="Hyperlink"/>
            <w:rFonts w:ascii="Segoe UI" w:hAnsi="Segoe UI" w:cs="Segoe UI"/>
            <w:b/>
            <w:bCs/>
            <w:color w:val="004B83"/>
            <w:bdr w:val="single" w:sz="24" w:space="6" w:color="BCD2DC" w:frame="1"/>
            <w:shd w:val="clear" w:color="auto" w:fill="FFFFFF"/>
          </w:rPr>
          <w:t>Full size table</w:t>
        </w:r>
      </w:hyperlink>
    </w:p>
    <w:p w14:paraId="1A6FCA3B" w14:textId="77777777" w:rsidR="003F0A22" w:rsidRDefault="003F0A22" w:rsidP="003F0A22">
      <w:pPr>
        <w:pStyle w:val="NormalWeb"/>
        <w:spacing w:before="0" w:beforeAutospacing="0" w:after="0" w:afterAutospacing="0"/>
      </w:pPr>
      <w:r>
        <w:t>The dataset used in the work has an increasing trend as shown in Fig. </w:t>
      </w:r>
      <w:hyperlink r:id="rId35" w:anchor="Fig1" w:history="1">
        <w:r>
          <w:rPr>
            <w:rStyle w:val="Hyperlink"/>
            <w:rFonts w:eastAsiaTheme="majorEastAsia"/>
            <w:color w:val="004B83"/>
          </w:rPr>
          <w:t>1</w:t>
        </w:r>
      </w:hyperlink>
      <w:r>
        <w:t>. From Fig. </w:t>
      </w:r>
      <w:hyperlink r:id="rId36" w:anchor="Fig1" w:history="1">
        <w:r>
          <w:rPr>
            <w:rStyle w:val="Hyperlink"/>
            <w:rFonts w:eastAsiaTheme="majorEastAsia"/>
            <w:color w:val="004B83"/>
          </w:rPr>
          <w:t>1</w:t>
        </w:r>
      </w:hyperlink>
      <w:r>
        <w:t xml:space="preserve">, we can observe that trend indicates the increasing or decreasing </w:t>
      </w:r>
      <w:proofErr w:type="spellStart"/>
      <w:r>
        <w:t>behaviour</w:t>
      </w:r>
      <w:proofErr w:type="spellEnd"/>
      <w:r>
        <w:t xml:space="preserve"> of the data w.r.t. time. Furthermore, seasonality is </w:t>
      </w:r>
      <w:proofErr w:type="spellStart"/>
      <w:r>
        <w:t>analysed</w:t>
      </w:r>
      <w:proofErr w:type="spellEnd"/>
      <w:r>
        <w:t xml:space="preserve"> to observe the dataset’s characteristics in terms of regular and predictable changes that recur every calendar year. Any predictable fluctuation or pattern that recurs or repeats over a one-year period is said to be seasonal.</w:t>
      </w:r>
    </w:p>
    <w:p w14:paraId="4DAE04BC" w14:textId="77777777" w:rsidR="003F0A22" w:rsidRDefault="003F0A22" w:rsidP="003F0A22">
      <w:r>
        <w:rPr>
          <w:b/>
          <w:bCs/>
        </w:rPr>
        <w:t>Fig. 1</w:t>
      </w:r>
    </w:p>
    <w:p w14:paraId="27F88F31" w14:textId="5FDDF898" w:rsidR="003F0A22" w:rsidRDefault="003F0A22" w:rsidP="003F0A22">
      <w:r>
        <w:rPr>
          <w:noProof/>
          <w:color w:val="004B83"/>
        </w:rPr>
        <w:lastRenderedPageBreak/>
        <w:drawing>
          <wp:inline distT="0" distB="0" distL="0" distR="0" wp14:anchorId="7A5D5D05" wp14:editId="75A1EBBF">
            <wp:extent cx="6524625" cy="4429125"/>
            <wp:effectExtent l="0" t="0" r="9525" b="9525"/>
            <wp:docPr id="12" name="Picture 12" descr="figure 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24625" cy="4429125"/>
                    </a:xfrm>
                    <a:prstGeom prst="rect">
                      <a:avLst/>
                    </a:prstGeom>
                    <a:noFill/>
                    <a:ln>
                      <a:noFill/>
                    </a:ln>
                  </pic:spPr>
                </pic:pic>
              </a:graphicData>
            </a:graphic>
          </wp:inline>
        </w:drawing>
      </w:r>
    </w:p>
    <w:p w14:paraId="059A1E0D" w14:textId="77777777" w:rsidR="003F0A22" w:rsidRDefault="003F0A22" w:rsidP="003F0A22">
      <w:pPr>
        <w:pStyle w:val="NormalWeb"/>
        <w:spacing w:before="0" w:beforeAutospacing="0" w:after="360" w:afterAutospacing="0"/>
        <w:rPr>
          <w:rFonts w:ascii="Georgia" w:hAnsi="Georgia"/>
        </w:rPr>
      </w:pPr>
      <w:r>
        <w:rPr>
          <w:rFonts w:ascii="Georgia" w:hAnsi="Georgia"/>
        </w:rPr>
        <w:t>Time series properties of variable</w:t>
      </w:r>
    </w:p>
    <w:p w14:paraId="047F84A2" w14:textId="77777777" w:rsidR="003F0A22" w:rsidRDefault="003F0A22" w:rsidP="003F0A22">
      <w:pPr>
        <w:jc w:val="right"/>
        <w:rPr>
          <w:rFonts w:ascii="Times New Roman" w:hAnsi="Times New Roman"/>
        </w:rPr>
      </w:pPr>
      <w:hyperlink r:id="rId39" w:history="1">
        <w:r>
          <w:rPr>
            <w:rStyle w:val="Hyperlink"/>
            <w:rFonts w:ascii="Segoe UI" w:hAnsi="Segoe UI" w:cs="Segoe UI"/>
            <w:b/>
            <w:bCs/>
            <w:color w:val="004B83"/>
            <w:bdr w:val="single" w:sz="24" w:space="6" w:color="BCD2DC" w:frame="1"/>
            <w:shd w:val="clear" w:color="auto" w:fill="FFFFFF"/>
          </w:rPr>
          <w:t>Full size image</w:t>
        </w:r>
      </w:hyperlink>
    </w:p>
    <w:p w14:paraId="2B0FFF43" w14:textId="77777777" w:rsidR="003F0A22" w:rsidRDefault="003F0A22" w:rsidP="003F0A22">
      <w:pPr>
        <w:pStyle w:val="NormalWeb"/>
        <w:spacing w:before="0" w:beforeAutospacing="0" w:after="360" w:afterAutospacing="0"/>
      </w:pPr>
      <w:r>
        <w:t xml:space="preserve">We have also </w:t>
      </w:r>
      <w:proofErr w:type="spellStart"/>
      <w:r>
        <w:t>analysed</w:t>
      </w:r>
      <w:proofErr w:type="spellEnd"/>
      <w:r>
        <w:t xml:space="preserve"> the residual </w:t>
      </w:r>
      <w:proofErr w:type="spellStart"/>
      <w:r>
        <w:t>behaviour</w:t>
      </w:r>
      <w:proofErr w:type="spellEnd"/>
      <w:r>
        <w:t xml:space="preserve"> of the dataset, and removed which were left over observing the trends and seasonality of the data. In time-series models, we assume that data is stationary and only the residual components satisfy the stationarity condition.</w:t>
      </w:r>
    </w:p>
    <w:p w14:paraId="1FC080F6" w14:textId="77777777" w:rsidR="003F0A22" w:rsidRDefault="003F0A22" w:rsidP="003F0A22">
      <w:pPr>
        <w:pStyle w:val="NormalWeb"/>
        <w:spacing w:before="0" w:beforeAutospacing="0" w:after="0" w:afterAutospacing="0"/>
      </w:pPr>
      <w:r>
        <w:t xml:space="preserve">Stationarity </w:t>
      </w:r>
      <w:proofErr w:type="spellStart"/>
      <w:r>
        <w:t>behaviour</w:t>
      </w:r>
      <w:proofErr w:type="spellEnd"/>
      <w:r>
        <w:t xml:space="preserve"> of the data is tested using augmented Dickey-Fuller (ADF) (</w:t>
      </w:r>
      <w:proofErr w:type="spellStart"/>
      <w:r>
        <w:t>Ajewole</w:t>
      </w:r>
      <w:proofErr w:type="spellEnd"/>
      <w:r>
        <w:t xml:space="preserve"> et al. </w:t>
      </w:r>
      <w:hyperlink r:id="rId40" w:anchor="ref-CR8" w:tooltip="Ajewole KP, Adejuwon SO, Jemilohun VG (2020) Test for stationarity on inflation rates in Nigeria using augmented dickey fuller test and Phillips-persons test. J Undergrad Math 16:11–14" w:history="1">
        <w:r>
          <w:rPr>
            <w:rStyle w:val="Hyperlink"/>
            <w:rFonts w:eastAsiaTheme="majorEastAsia"/>
            <w:color w:val="004B83"/>
          </w:rPr>
          <w:t>2020</w:t>
        </w:r>
      </w:hyperlink>
      <w:r>
        <w:t>) test and Kwiatkowski-Phillips-Schmidt-Shin (KPSS) (Baum </w:t>
      </w:r>
      <w:hyperlink r:id="rId41" w:anchor="ref-CR11" w:tooltip="Baum C (2018) KPSS: Stata module to compute Kwiatkowski-Phillips-Schmidt-Shin test for stationarity" w:history="1">
        <w:r>
          <w:rPr>
            <w:rStyle w:val="Hyperlink"/>
            <w:rFonts w:eastAsiaTheme="majorEastAsia"/>
            <w:color w:val="004B83"/>
          </w:rPr>
          <w:t>2018</w:t>
        </w:r>
      </w:hyperlink>
      <w:r>
        <w:t>) and converted into stationary data by applying the shifting and differencing approaches.</w:t>
      </w:r>
    </w:p>
    <w:p w14:paraId="37202C1E" w14:textId="77777777" w:rsidR="003F0A22" w:rsidRDefault="003F0A22" w:rsidP="003F0A22">
      <w:pPr>
        <w:pStyle w:val="Heading2"/>
        <w:pBdr>
          <w:bottom w:val="single" w:sz="12" w:space="6" w:color="D5D5D5"/>
        </w:pBdr>
        <w:spacing w:before="0"/>
        <w:rPr>
          <w:rFonts w:ascii="Georgia" w:hAnsi="Georgia"/>
        </w:rPr>
      </w:pPr>
      <w:r>
        <w:rPr>
          <w:rFonts w:ascii="Georgia" w:hAnsi="Georgia"/>
          <w:b/>
          <w:bCs/>
        </w:rPr>
        <w:t>Proposed model</w:t>
      </w:r>
    </w:p>
    <w:p w14:paraId="68495110" w14:textId="77777777" w:rsidR="003F0A22" w:rsidRDefault="003F0A22" w:rsidP="003F0A22">
      <w:pPr>
        <w:pStyle w:val="NormalWeb"/>
        <w:spacing w:before="0" w:beforeAutospacing="0" w:after="0" w:afterAutospacing="0"/>
      </w:pPr>
      <w:r>
        <w:t>As we have discussed in section </w:t>
      </w:r>
      <w:hyperlink r:id="rId42" w:anchor="Sec1" w:history="1">
        <w:r>
          <w:rPr>
            <w:rStyle w:val="Hyperlink"/>
            <w:rFonts w:eastAsiaTheme="majorEastAsia"/>
            <w:color w:val="004B83"/>
          </w:rPr>
          <w:t>1</w:t>
        </w:r>
      </w:hyperlink>
      <w:r>
        <w:t>, </w:t>
      </w:r>
      <w:r>
        <w:rPr>
          <w:i/>
          <w:iCs/>
        </w:rPr>
        <w:t>CO</w:t>
      </w:r>
      <w:r>
        <w:rPr>
          <w:sz w:val="20"/>
          <w:szCs w:val="20"/>
          <w:vertAlign w:val="subscript"/>
        </w:rPr>
        <w:t>2</w:t>
      </w:r>
      <w:r>
        <w:t> emission in India is growing significantly faster and is quite dangerous for the environment and ultimately to all living beings, so the reduction of </w:t>
      </w:r>
      <w:r>
        <w:rPr>
          <w:i/>
          <w:iCs/>
        </w:rPr>
        <w:t>CO</w:t>
      </w:r>
      <w:r>
        <w:rPr>
          <w:sz w:val="20"/>
          <w:szCs w:val="20"/>
          <w:vertAlign w:val="subscript"/>
        </w:rPr>
        <w:t>2</w:t>
      </w:r>
      <w:r>
        <w:t> emission should be the highest priority for the government and industries. An accurate forecast of emissions would directly help in policy-making and implementing them, so for this purpose, we have a </w:t>
      </w:r>
      <w:r>
        <w:rPr>
          <w:i/>
          <w:iCs/>
        </w:rPr>
        <w:t>CO</w:t>
      </w:r>
      <w:r>
        <w:rPr>
          <w:sz w:val="20"/>
          <w:szCs w:val="20"/>
          <w:vertAlign w:val="subscript"/>
        </w:rPr>
        <w:t>2</w:t>
      </w:r>
      <w:r>
        <w:t xml:space="preserve"> emission time series data with some attributes for the last 40 years, from 1980 to 2019. The requirement for this work was a univariate dataset, so it needed some data </w:t>
      </w:r>
      <w:r>
        <w:lastRenderedPageBreak/>
        <w:t>pre-processing and data cleaning to deal with not available values in the dataset. The dataset contains two columns, one for years and the second for </w:t>
      </w:r>
      <w:r>
        <w:rPr>
          <w:i/>
          <w:iCs/>
        </w:rPr>
        <w:t>CO</w:t>
      </w:r>
      <w:r>
        <w:rPr>
          <w:sz w:val="20"/>
          <w:szCs w:val="20"/>
          <w:vertAlign w:val="subscript"/>
        </w:rPr>
        <w:t>2</w:t>
      </w:r>
      <w:r>
        <w:t> emission in metric tons.</w:t>
      </w:r>
    </w:p>
    <w:p w14:paraId="5FB7CEAB" w14:textId="77777777" w:rsidR="003F0A22" w:rsidRDefault="003F0A22" w:rsidP="003F0A22">
      <w:pPr>
        <w:pStyle w:val="NormalWeb"/>
        <w:spacing w:before="0" w:beforeAutospacing="0" w:after="0" w:afterAutospacing="0"/>
      </w:pPr>
      <w:r>
        <w:t>We have used a few time series-based models to forecast India’s 10-year </w:t>
      </w:r>
      <w:r>
        <w:rPr>
          <w:i/>
          <w:iCs/>
        </w:rPr>
        <w:t>CO</w:t>
      </w:r>
      <w:r>
        <w:rPr>
          <w:sz w:val="20"/>
          <w:szCs w:val="20"/>
          <w:vertAlign w:val="subscript"/>
        </w:rPr>
        <w:t>2</w:t>
      </w:r>
      <w:r>
        <w:t> emission. The dataset has an increasing trend and is also stationary. For this particular kind of dataset, we have used three statistical models: ARIMA, SARIMAX, and Holt-Winters model, two machine learning models, i.e., linear regression model and random forest regression model, and in last a deep learning model LSTM (S. Kumar et al. </w:t>
      </w:r>
      <w:hyperlink r:id="rId43" w:anchor="ref-CR24" w:tooltip="Kumar S, Mishra S, Singh SK (2021) Deep Transfer Learning-based COVID-19 prediction using Chest X-rays. J Health Manag 23(4):730–746" w:history="1">
        <w:r>
          <w:rPr>
            <w:rStyle w:val="Hyperlink"/>
            <w:rFonts w:eastAsiaTheme="majorEastAsia"/>
            <w:color w:val="004B83"/>
          </w:rPr>
          <w:t>2021</w:t>
        </w:r>
      </w:hyperlink>
      <w:r>
        <w:t>). Before applying the models to the dataset, we have split it into two parts i.e. training data and testing data to train and test the models.</w:t>
      </w:r>
    </w:p>
    <w:p w14:paraId="298059A1" w14:textId="77777777" w:rsidR="003F0A22" w:rsidRDefault="003F0A22" w:rsidP="003F0A22">
      <w:pPr>
        <w:pStyle w:val="NormalWeb"/>
        <w:spacing w:before="0" w:beforeAutospacing="0" w:after="360" w:afterAutospacing="0"/>
      </w:pPr>
      <w:r>
        <w:t>Different models have different ways of dealing and working with the data. Here, we have discussed these six time-series models briefly:</w:t>
      </w:r>
    </w:p>
    <w:p w14:paraId="3BFB315B"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Autoregressive-integrated moving average</w:t>
      </w:r>
    </w:p>
    <w:p w14:paraId="2EA14EEB" w14:textId="77777777" w:rsidR="003F0A22" w:rsidRDefault="003F0A22" w:rsidP="003F0A22">
      <w:pPr>
        <w:pStyle w:val="NormalWeb"/>
        <w:spacing w:before="0" w:beforeAutospacing="0" w:after="360" w:afterAutospacing="0"/>
      </w:pPr>
      <w:r>
        <w:t xml:space="preserve">We start with a basic stationary model like AR and MA in time series analysis. But to handle non-stationary models, we go with </w:t>
      </w:r>
      <w:proofErr w:type="spellStart"/>
      <w:r>
        <w:t>utoregressive</w:t>
      </w:r>
      <w:proofErr w:type="spellEnd"/>
      <w:r>
        <w:t>-integrated moving average (ARIMA). MA, AR, and ARMA are specific cases of the ARIMA model.</w:t>
      </w:r>
    </w:p>
    <w:p w14:paraId="7D5D658F" w14:textId="77777777" w:rsidR="003F0A22" w:rsidRDefault="003F0A22" w:rsidP="003F0A22">
      <w:pPr>
        <w:pStyle w:val="NormalWeb"/>
        <w:spacing w:before="0" w:beforeAutospacing="0" w:after="360" w:afterAutospacing="0"/>
      </w:pPr>
      <w:r>
        <w:t xml:space="preserve">A model that uses the dependency between an observation and a residual error from a moving average model applies to </w:t>
      </w:r>
      <w:proofErr w:type="gramStart"/>
      <w:r>
        <w:t>lagged</w:t>
      </w:r>
      <w:proofErr w:type="gramEnd"/>
      <w:r>
        <w:t xml:space="preserve"> observations. ARIMA is an acronym that stands for autoregressive-integrated moving average. Specifically, AR (</w:t>
      </w:r>
      <w:proofErr w:type="spellStart"/>
      <w:r>
        <w:t>autoregression</w:t>
      </w:r>
      <w:proofErr w:type="spellEnd"/>
      <w:r>
        <w:t>), which is a model that uses the dependent relationship between an observation and some number of lagged observations, I (integrated) is the use of differencing of raw observations to make the time series stationary and MA (moving average).</w:t>
      </w:r>
    </w:p>
    <w:p w14:paraId="030E1723" w14:textId="77777777" w:rsidR="003F0A22" w:rsidRDefault="003F0A22" w:rsidP="003F0A22">
      <w:pPr>
        <w:pStyle w:val="NormalWeb"/>
        <w:spacing w:before="0" w:beforeAutospacing="0" w:after="0" w:afterAutospacing="0"/>
      </w:pPr>
      <w:r>
        <w:t>A standard notation is used for ARIMA (</w:t>
      </w:r>
      <w:r>
        <w:rPr>
          <w:i/>
          <w:iCs/>
        </w:rPr>
        <w:t>p</w:t>
      </w:r>
      <w:r>
        <w:t>, </w:t>
      </w:r>
      <w:r>
        <w:rPr>
          <w:i/>
          <w:iCs/>
        </w:rPr>
        <w:t>d</w:t>
      </w:r>
      <w:r>
        <w:t>, </w:t>
      </w:r>
      <w:r>
        <w:rPr>
          <w:i/>
          <w:iCs/>
        </w:rPr>
        <w:t>q</w:t>
      </w:r>
      <w:r>
        <w:t>), where the parameters are substituted with integer values to indicate the specific ARIMA model being used quickly. Where </w:t>
      </w:r>
      <w:r>
        <w:rPr>
          <w:i/>
          <w:iCs/>
        </w:rPr>
        <w:t>p</w:t>
      </w:r>
      <w:r>
        <w:t> is the number of lag observations included in the model, also called the lag order, </w:t>
      </w:r>
      <w:r>
        <w:rPr>
          <w:i/>
          <w:iCs/>
        </w:rPr>
        <w:t>d</w:t>
      </w:r>
      <w:r>
        <w:t> is the number of times that the raw observations are differenced, also called the degree of differencing, and </w:t>
      </w:r>
      <w:r>
        <w:rPr>
          <w:i/>
          <w:iCs/>
        </w:rPr>
        <w:t>q</w:t>
      </w:r>
      <w:r>
        <w:t> is the size of the moving average window, also called the order of moving average. In work, we have applied ARIMA (1, 2, </w:t>
      </w:r>
      <w:proofErr w:type="gramStart"/>
      <w:r>
        <w:t>1</w:t>
      </w:r>
      <w:proofErr w:type="gramEnd"/>
      <w:r>
        <w:t>) to predict the </w:t>
      </w:r>
      <w:r>
        <w:rPr>
          <w:i/>
          <w:iCs/>
        </w:rPr>
        <w:t>CO</w:t>
      </w:r>
      <w:r>
        <w:rPr>
          <w:sz w:val="20"/>
          <w:szCs w:val="20"/>
          <w:vertAlign w:val="subscript"/>
        </w:rPr>
        <w:t>2</w:t>
      </w:r>
      <w:r>
        <w:t> emissions (Wellington </w:t>
      </w:r>
      <w:hyperlink r:id="rId44" w:anchor="ref-CR44" w:tooltip="Wellington G (2019) Emissions in India using ARIMA Models 2 . Determine Stationarity of Time Series 4. Diagnostic Checking 3. Model Identification and Estimation 5. Forecast Forecast Eval Dyn Res J 4(2):1–10" w:history="1">
        <w:r>
          <w:rPr>
            <w:rStyle w:val="Hyperlink"/>
            <w:rFonts w:eastAsiaTheme="majorEastAsia"/>
            <w:color w:val="004B83"/>
          </w:rPr>
          <w:t>2019</w:t>
        </w:r>
      </w:hyperlink>
      <w:r>
        <w:t>).</w:t>
      </w:r>
    </w:p>
    <w:p w14:paraId="4E9A5AAD"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Seasonal autoregressive-integrated moving average with an exogenous variable (SARIMAX)</w:t>
      </w:r>
    </w:p>
    <w:p w14:paraId="12958B33" w14:textId="77777777" w:rsidR="003F0A22" w:rsidRDefault="003F0A22" w:rsidP="003F0A22">
      <w:pPr>
        <w:pStyle w:val="NormalWeb"/>
        <w:spacing w:before="0" w:beforeAutospacing="0" w:after="0" w:afterAutospacing="0"/>
      </w:pPr>
      <w:r>
        <w:t>Before knowing about SARIMAX, we will try to understand SARIMA. SARIMA is seasonal autoregressive-integrated moving average in which, along with the trend, there is seasonality as well. This is ARIMA, but having the effect of seasonality is something with those time series that have both trends and seasonality. Now, we have to understand the </w:t>
      </w:r>
      <w:r>
        <w:rPr>
          <w:i/>
          <w:iCs/>
        </w:rPr>
        <w:t>X</w:t>
      </w:r>
      <w:r>
        <w:t> factor of SARIMAX, which is an exogenous variable that means some external factor is impacting it. It is said that there are some factors outside the overall factor we are studying (</w:t>
      </w:r>
      <w:proofErr w:type="spellStart"/>
      <w:r>
        <w:t>Özmen</w:t>
      </w:r>
      <w:proofErr w:type="spellEnd"/>
      <w:r>
        <w:t> </w:t>
      </w:r>
      <w:hyperlink r:id="rId45" w:anchor="ref-CR37" w:tooltip="Özmen ES (2021) Time series performance and limitations with SARIMAX: an application with retail store data. Electron Turk Stud 16(5)" w:history="1">
        <w:r>
          <w:rPr>
            <w:rStyle w:val="Hyperlink"/>
            <w:rFonts w:eastAsiaTheme="majorEastAsia"/>
            <w:color w:val="004B83"/>
          </w:rPr>
          <w:t>2021</w:t>
        </w:r>
      </w:hyperlink>
      <w:r>
        <w:t>).</w:t>
      </w:r>
    </w:p>
    <w:p w14:paraId="0E09E0AC"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Holt-Winters model</w:t>
      </w:r>
    </w:p>
    <w:p w14:paraId="2BFCE25B" w14:textId="77777777" w:rsidR="003F0A22" w:rsidRDefault="003F0A22" w:rsidP="003F0A22">
      <w:pPr>
        <w:pStyle w:val="NormalWeb"/>
        <w:spacing w:before="0" w:beforeAutospacing="0" w:after="0" w:afterAutospacing="0"/>
      </w:pPr>
      <w:r>
        <w:t xml:space="preserve">The Holt-Winters model is a traditional model dealing with time-series data behavior. These behaviors mean the average value, the increasing or decreasing trend, and the seasonality, which is nothing but the repetitive pattern in a cycle. Based on the seasonal component of data, this </w:t>
      </w:r>
      <w:r>
        <w:lastRenderedPageBreak/>
        <w:t>model has two variations. The first is the additive Holt-Winters model, and the second is the multiplicative Holt-Winters. In this work, the multiplicative model has been used to forecast the next 10 years’ data. The multiplicative Holt-Winters is described as a method that calculates the value of the level, trend, and seasonal adjustment that are exponentially smooth. Since this method is best suited for data with increasing trends and seasonality, this paper considers this model for </w:t>
      </w:r>
      <w:r>
        <w:rPr>
          <w:i/>
          <w:iCs/>
        </w:rPr>
        <w:t>CO</w:t>
      </w:r>
      <w:r>
        <w:rPr>
          <w:sz w:val="20"/>
          <w:szCs w:val="20"/>
          <w:vertAlign w:val="subscript"/>
        </w:rPr>
        <w:t>2</w:t>
      </w:r>
      <w:r>
        <w:t> emission forecasting (Chatfield </w:t>
      </w:r>
      <w:hyperlink r:id="rId46" w:anchor="ref-CR13" w:tooltip="Chatfield C (1978) The Holt-winters forecasting procedure. J R Stat Soc: Ser C: Appl Stat 27(3):264–279" w:history="1">
        <w:r>
          <w:rPr>
            <w:rStyle w:val="Hyperlink"/>
            <w:rFonts w:eastAsiaTheme="majorEastAsia"/>
            <w:color w:val="004B83"/>
          </w:rPr>
          <w:t>1978</w:t>
        </w:r>
      </w:hyperlink>
      <w:r>
        <w:t>).</w:t>
      </w:r>
    </w:p>
    <w:p w14:paraId="1F84758F"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Linear regression</w:t>
      </w:r>
    </w:p>
    <w:p w14:paraId="379EA0C7" w14:textId="77777777" w:rsidR="003F0A22" w:rsidRDefault="003F0A22" w:rsidP="003F0A22">
      <w:pPr>
        <w:pStyle w:val="NormalWeb"/>
        <w:spacing w:before="0" w:beforeAutospacing="0" w:after="0" w:afterAutospacing="0"/>
      </w:pPr>
      <w:r>
        <w:t>Linear regression is a machine learning model to solve regression problems. This model solves the problem by assuming a linear relationship between the given input attributes and the output, as shown in Eq. (</w:t>
      </w:r>
      <w:hyperlink r:id="rId47" w:anchor="Equ1" w:history="1">
        <w:r>
          <w:rPr>
            <w:rStyle w:val="Hyperlink"/>
            <w:rFonts w:eastAsiaTheme="majorEastAsia"/>
            <w:color w:val="004B83"/>
          </w:rPr>
          <w:t>1</w:t>
        </w:r>
      </w:hyperlink>
      <w:r>
        <w:t>).</w:t>
      </w:r>
    </w:p>
    <w:p w14:paraId="5B8AC41D" w14:textId="77777777" w:rsidR="003F0A22" w:rsidRDefault="003F0A22" w:rsidP="003F0A22">
      <w:pPr>
        <w:jc w:val="center"/>
        <w:textAlignment w:val="center"/>
      </w:pPr>
      <w:r>
        <w:rPr>
          <w:rStyle w:val="mi"/>
          <w:rFonts w:ascii="MathJax_Main" w:hAnsi="MathJax_Main"/>
          <w:sz w:val="29"/>
          <w:szCs w:val="29"/>
          <w:bdr w:val="none" w:sz="0" w:space="0" w:color="auto" w:frame="1"/>
        </w:rPr>
        <w:t>Target</w:t>
      </w:r>
      <w:r>
        <w:rPr>
          <w:rStyle w:val="mtext"/>
          <w:rFonts w:ascii="MathJax_Main" w:hAnsi="MathJax_Main"/>
          <w:sz w:val="29"/>
          <w:szCs w:val="29"/>
          <w:bdr w:val="none" w:sz="0" w:space="0" w:color="auto" w:frame="1"/>
        </w:rPr>
        <w:t> </w:t>
      </w:r>
      <w:r>
        <w:rPr>
          <w:rStyle w:val="mi"/>
          <w:rFonts w:ascii="MathJax_Main" w:hAnsi="MathJax_Main"/>
          <w:sz w:val="29"/>
          <w:szCs w:val="29"/>
          <w:bdr w:val="none" w:sz="0" w:space="0" w:color="auto" w:frame="1"/>
        </w:rPr>
        <w:t>output</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Input</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weight</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Input</w:t>
      </w:r>
      <w:r>
        <w:rPr>
          <w:rStyle w:val="mn"/>
          <w:rFonts w:ascii="MathJax_Main" w:hAnsi="MathJax_Main"/>
          <w:sz w:val="21"/>
          <w:szCs w:val="21"/>
          <w:bdr w:val="none" w:sz="0" w:space="0" w:color="auto" w:frame="1"/>
        </w:rPr>
        <w:t>2</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weight</w:t>
      </w:r>
      <w:r>
        <w:rPr>
          <w:rStyle w:val="mn"/>
          <w:rFonts w:ascii="MathJax_Main" w:hAnsi="MathJax_Main"/>
          <w:sz w:val="21"/>
          <w:szCs w:val="21"/>
          <w:bdr w:val="none" w:sz="0" w:space="0" w:color="auto" w:frame="1"/>
        </w:rPr>
        <w:t>2</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Input</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weight</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Bias</w:t>
      </w:r>
      <w:r>
        <w:rPr>
          <w:rStyle w:val="mjxassistivemathml"/>
          <w:sz w:val="27"/>
          <w:szCs w:val="27"/>
          <w:bdr w:val="none" w:sz="0" w:space="0" w:color="auto" w:frame="1"/>
        </w:rPr>
        <w:t>Target output=Input1×weight1+Input2×weight2……………Inputn×weightn+Bias</w:t>
      </w:r>
    </w:p>
    <w:p w14:paraId="759273DC" w14:textId="77777777" w:rsidR="003F0A22" w:rsidRDefault="003F0A22" w:rsidP="003F0A22">
      <w:pPr>
        <w:jc w:val="right"/>
        <w:textAlignment w:val="center"/>
        <w:rPr>
          <w:rFonts w:ascii="Segoe UI" w:hAnsi="Segoe UI" w:cs="Segoe UI"/>
        </w:rPr>
      </w:pPr>
      <w:r>
        <w:rPr>
          <w:rFonts w:ascii="Segoe UI" w:hAnsi="Segoe UI" w:cs="Segoe UI"/>
        </w:rPr>
        <w:t>(1)</w:t>
      </w:r>
    </w:p>
    <w:p w14:paraId="0E73AB46" w14:textId="77777777" w:rsidR="003F0A22" w:rsidRDefault="003F0A22" w:rsidP="003F0A22">
      <w:pPr>
        <w:pStyle w:val="NormalWeb"/>
        <w:spacing w:before="0" w:beforeAutospacing="0" w:after="0" w:afterAutospacing="0"/>
      </w:pPr>
      <w:r>
        <w:t>Here </w:t>
      </w:r>
      <w:r>
        <w:rPr>
          <w:i/>
          <w:iCs/>
        </w:rPr>
        <w:t>n</w:t>
      </w:r>
      <w:r>
        <w:t> is a total number of attribute/input features. Weights are also called regression coefficients learned while training the model based on train data. The bias is nothing but the intercept as linear regression is based on the linear equation. Time series forecasting is also a regression problem where inputs are previous data. In this work, </w:t>
      </w:r>
      <w:r>
        <w:rPr>
          <w:i/>
          <w:iCs/>
        </w:rPr>
        <w:t>CO</w:t>
      </w:r>
      <w:r>
        <w:rPr>
          <w:sz w:val="20"/>
          <w:szCs w:val="20"/>
          <w:vertAlign w:val="subscript"/>
        </w:rPr>
        <w:t>2</w:t>
      </w:r>
      <w:r>
        <w:t> emission data is univariate data, and for each year’s prediction, the last 3 year’s data are considered 3 input features for the whole training, testing, and forecasting. Like </w:t>
      </w:r>
      <w:r>
        <w:rPr>
          <w:i/>
          <w:iCs/>
        </w:rPr>
        <w:t>CO</w:t>
      </w:r>
      <w:r>
        <w:rPr>
          <w:sz w:val="20"/>
          <w:szCs w:val="20"/>
          <w:vertAlign w:val="subscript"/>
        </w:rPr>
        <w:t>2</w:t>
      </w:r>
      <w:r>
        <w:t> emission of the years 1980, 1981, 1982 are used to predict the emission in the year 1983 and so on (Huang and Hsieh </w:t>
      </w:r>
      <w:hyperlink r:id="rId48" w:anchor="ref-CR22" w:tooltip="Huang C-H, Hsieh S-H (2020) Predicting BIM labor cost with random forest and simple linear regression. Autom Constr 118:103280" w:history="1">
        <w:r>
          <w:rPr>
            <w:rStyle w:val="Hyperlink"/>
            <w:rFonts w:eastAsiaTheme="majorEastAsia"/>
            <w:color w:val="004B83"/>
          </w:rPr>
          <w:t>2020</w:t>
        </w:r>
      </w:hyperlink>
      <w:r>
        <w:t>).</w:t>
      </w:r>
    </w:p>
    <w:p w14:paraId="067E42B9"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 xml:space="preserve">Random forest </w:t>
      </w:r>
      <w:proofErr w:type="spellStart"/>
      <w:r>
        <w:rPr>
          <w:rFonts w:ascii="Segoe UI" w:hAnsi="Segoe UI" w:cs="Segoe UI"/>
          <w:b/>
          <w:bCs/>
          <w:color w:val="222222"/>
        </w:rPr>
        <w:t>regressor</w:t>
      </w:r>
      <w:proofErr w:type="spellEnd"/>
    </w:p>
    <w:p w14:paraId="34D25FB7" w14:textId="77777777" w:rsidR="003F0A22" w:rsidRDefault="003F0A22" w:rsidP="003F0A22">
      <w:pPr>
        <w:pStyle w:val="NormalWeb"/>
        <w:spacing w:before="0" w:beforeAutospacing="0" w:after="0" w:afterAutospacing="0"/>
      </w:pPr>
      <w:r>
        <w:t>The random forest model is a supervised technique for both classification regression and non-linear problems. This method uses the ensemble learning method for regression and is a bagging technique as it combines individual decision trees to give better results. This can also be used in time series forecasting, but results are not sure to be expected. In this model, data should be in a proper way before fitting into the model. Data splitting has been done as we have univariate </w:t>
      </w:r>
      <w:r>
        <w:rPr>
          <w:i/>
          <w:iCs/>
        </w:rPr>
        <w:t>CO</w:t>
      </w:r>
      <w:r>
        <w:rPr>
          <w:sz w:val="20"/>
          <w:szCs w:val="20"/>
          <w:vertAlign w:val="subscript"/>
        </w:rPr>
        <w:t>2</w:t>
      </w:r>
      <w:r>
        <w:t> emission data. One of the advantages of the random forest model is that it handles the missing values and maintains accuracy (Fang et al. </w:t>
      </w:r>
      <w:hyperlink r:id="rId49" w:anchor="ref-CR17" w:tooltip="Fang X, Liu W, Ai J, He M, Wu Y, Shi Y, Shen W, Bao C (2020) Forecasting incidence of infectious diarrhea using random forest in Jiangsu Province, China. BMC Infectious Diseases 20(1):1–8" w:history="1">
        <w:r>
          <w:rPr>
            <w:rStyle w:val="Hyperlink"/>
            <w:rFonts w:eastAsiaTheme="majorEastAsia"/>
            <w:color w:val="004B83"/>
          </w:rPr>
          <w:t>2020</w:t>
        </w:r>
      </w:hyperlink>
      <w:r>
        <w:t>).</w:t>
      </w:r>
    </w:p>
    <w:p w14:paraId="05AEC547"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Long short-term memory</w:t>
      </w:r>
    </w:p>
    <w:p w14:paraId="1CD2E772" w14:textId="77777777" w:rsidR="003F0A22" w:rsidRDefault="003F0A22" w:rsidP="003F0A22">
      <w:pPr>
        <w:pStyle w:val="NormalWeb"/>
        <w:spacing w:before="0" w:beforeAutospacing="0" w:after="0" w:afterAutospacing="0"/>
      </w:pPr>
      <w:r>
        <w:t xml:space="preserve">Long short-term memory (LSTM) is a deep learning model based on a recurrent neural network (RNN) with the addition of a small memory element. A common LSTM unit is made of a cell, an input gate, an output gate, and a forget gate. The cell remembers values over arbitrary time intervals, and the three gates regulate the flow of information into and out of the cell. This model is considered to be the best model for processing, classifying, and forecasting time series data. Traditional RNN has the problem of exploding and vanishing gradient descent, so LSTMs were developed to deal with it. For univariate time series forecasting, there are several variations of LSTM. Some of them are Vanilla LSTM, Stacked LSTM, Bidirectional LSTM, CNN LSTM, and </w:t>
      </w:r>
      <w:proofErr w:type="spellStart"/>
      <w:r>
        <w:t>ConvLSTM</w:t>
      </w:r>
      <w:proofErr w:type="spellEnd"/>
      <w:r>
        <w:t xml:space="preserve"> (</w:t>
      </w:r>
      <w:proofErr w:type="spellStart"/>
      <w:r>
        <w:t>Elsworth</w:t>
      </w:r>
      <w:proofErr w:type="spellEnd"/>
      <w:r>
        <w:t xml:space="preserve"> and </w:t>
      </w:r>
      <w:proofErr w:type="spellStart"/>
      <w:r>
        <w:t>Güttel</w:t>
      </w:r>
      <w:proofErr w:type="spellEnd"/>
      <w:r>
        <w:t> </w:t>
      </w:r>
      <w:hyperlink r:id="rId50" w:anchor="ref-CR16" w:tooltip="Elsworth S, Güttel S (2020) Time series forecasting using lSTM networks: a symbolic approach. arXiv preprint arXiv:2003.05672" w:history="1">
        <w:r>
          <w:rPr>
            <w:rStyle w:val="Hyperlink"/>
            <w:rFonts w:eastAsiaTheme="majorEastAsia"/>
            <w:color w:val="004B83"/>
          </w:rPr>
          <w:t>2020</w:t>
        </w:r>
      </w:hyperlink>
      <w:r>
        <w:t>).</w:t>
      </w:r>
    </w:p>
    <w:p w14:paraId="6205D229"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lastRenderedPageBreak/>
        <w:t>Flow chart</w:t>
      </w:r>
    </w:p>
    <w:p w14:paraId="145C4F41" w14:textId="77777777" w:rsidR="003F0A22" w:rsidRDefault="003F0A22" w:rsidP="003F0A22">
      <w:pPr>
        <w:pStyle w:val="NormalWeb"/>
        <w:spacing w:before="0" w:beforeAutospacing="0" w:after="0" w:afterAutospacing="0"/>
      </w:pPr>
      <w:r>
        <w:t>The flowchart shown in Fig. </w:t>
      </w:r>
      <w:hyperlink r:id="rId51" w:anchor="Fig2" w:history="1">
        <w:r>
          <w:rPr>
            <w:rStyle w:val="Hyperlink"/>
            <w:rFonts w:eastAsiaTheme="majorEastAsia"/>
            <w:color w:val="004B83"/>
          </w:rPr>
          <w:t>2</w:t>
        </w:r>
      </w:hyperlink>
      <w:r>
        <w:t> presents the framework of the proposed model. In which, it can be seen that we have applied the time-series and machine learning models as stated above.</w:t>
      </w:r>
    </w:p>
    <w:p w14:paraId="34593AB8" w14:textId="77777777" w:rsidR="003F0A22" w:rsidRDefault="003F0A22" w:rsidP="003F0A22">
      <w:r>
        <w:rPr>
          <w:b/>
          <w:bCs/>
        </w:rPr>
        <w:t>Fig. 2</w:t>
      </w:r>
    </w:p>
    <w:p w14:paraId="5E2E70F8" w14:textId="47685AA3" w:rsidR="003F0A22" w:rsidRDefault="003F0A22" w:rsidP="003F0A22">
      <w:r>
        <w:rPr>
          <w:noProof/>
          <w:color w:val="004B83"/>
        </w:rPr>
        <w:lastRenderedPageBreak/>
        <w:drawing>
          <wp:inline distT="0" distB="0" distL="0" distR="0" wp14:anchorId="6AC69082" wp14:editId="6217D58D">
            <wp:extent cx="6524625" cy="7467600"/>
            <wp:effectExtent l="0" t="0" r="9525" b="0"/>
            <wp:docPr id="11" name="Picture 11" descr="figure 2">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 2">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524625" cy="7467600"/>
                    </a:xfrm>
                    <a:prstGeom prst="rect">
                      <a:avLst/>
                    </a:prstGeom>
                    <a:noFill/>
                    <a:ln>
                      <a:noFill/>
                    </a:ln>
                  </pic:spPr>
                </pic:pic>
              </a:graphicData>
            </a:graphic>
          </wp:inline>
        </w:drawing>
      </w:r>
    </w:p>
    <w:p w14:paraId="36B0C8EA" w14:textId="77777777" w:rsidR="003F0A22" w:rsidRDefault="003F0A22" w:rsidP="003F0A22">
      <w:pPr>
        <w:pStyle w:val="NormalWeb"/>
        <w:spacing w:before="0" w:beforeAutospacing="0" w:after="0" w:afterAutospacing="0"/>
        <w:rPr>
          <w:rFonts w:ascii="Georgia" w:hAnsi="Georgia"/>
        </w:rPr>
      </w:pPr>
      <w:r>
        <w:rPr>
          <w:rFonts w:ascii="Georgia" w:hAnsi="Georgia"/>
        </w:rPr>
        <w:t>Proposed framework for </w:t>
      </w:r>
      <w:r>
        <w:rPr>
          <w:rFonts w:ascii="Georgia" w:hAnsi="Georgia"/>
          <w:i/>
          <w:iCs/>
        </w:rPr>
        <w:t>CO</w:t>
      </w:r>
      <w:r>
        <w:rPr>
          <w:rFonts w:ascii="Georgia" w:hAnsi="Georgia"/>
          <w:sz w:val="18"/>
          <w:szCs w:val="18"/>
          <w:vertAlign w:val="subscript"/>
        </w:rPr>
        <w:t>2</w:t>
      </w:r>
      <w:r>
        <w:rPr>
          <w:rFonts w:ascii="Georgia" w:hAnsi="Georgia"/>
        </w:rPr>
        <w:t> emission forecasting</w:t>
      </w:r>
    </w:p>
    <w:p w14:paraId="37188549" w14:textId="77777777" w:rsidR="003F0A22" w:rsidRDefault="003F0A22" w:rsidP="003F0A22">
      <w:pPr>
        <w:jc w:val="right"/>
        <w:rPr>
          <w:rFonts w:ascii="Times New Roman" w:hAnsi="Times New Roman"/>
        </w:rPr>
      </w:pPr>
      <w:hyperlink r:id="rId54" w:history="1">
        <w:r>
          <w:rPr>
            <w:rStyle w:val="Hyperlink"/>
            <w:rFonts w:ascii="Segoe UI" w:hAnsi="Segoe UI" w:cs="Segoe UI"/>
            <w:b/>
            <w:bCs/>
            <w:color w:val="004B83"/>
            <w:bdr w:val="single" w:sz="24" w:space="6" w:color="BCD2DC" w:frame="1"/>
            <w:shd w:val="clear" w:color="auto" w:fill="FFFFFF"/>
          </w:rPr>
          <w:t>Full size image</w:t>
        </w:r>
      </w:hyperlink>
    </w:p>
    <w:p w14:paraId="42BE17E9" w14:textId="77777777" w:rsidR="003F0A22" w:rsidRDefault="003F0A22" w:rsidP="003F0A22">
      <w:pPr>
        <w:pStyle w:val="NormalWeb"/>
        <w:spacing w:before="0" w:beforeAutospacing="0" w:after="360" w:afterAutospacing="0"/>
      </w:pPr>
      <w:r>
        <w:lastRenderedPageBreak/>
        <w:t>This framework initially pre-processed the dataset collected from CAIT data source. It contains 40 years of data starting from 1980 to 2019. In pre-processing, we have filled the missing values for the smooth functioning of the applied models.</w:t>
      </w:r>
    </w:p>
    <w:p w14:paraId="11A8300C" w14:textId="77777777" w:rsidR="003F0A22" w:rsidRDefault="003F0A22" w:rsidP="003F0A22">
      <w:pPr>
        <w:pStyle w:val="NormalWeb"/>
        <w:spacing w:before="0" w:beforeAutospacing="0" w:after="0" w:afterAutospacing="0"/>
      </w:pPr>
      <w:r>
        <w:t>We have split the pre-processed data into two parts; training and testing and then after that, we selected the six models that are from a statistical, machine learning and deep learning models to forecast the </w:t>
      </w:r>
      <w:r>
        <w:rPr>
          <w:i/>
          <w:iCs/>
        </w:rPr>
        <w:t>CO</w:t>
      </w:r>
      <w:r>
        <w:rPr>
          <w:sz w:val="20"/>
          <w:szCs w:val="20"/>
          <w:vertAlign w:val="subscript"/>
        </w:rPr>
        <w:t>2</w:t>
      </w:r>
      <w:r>
        <w:t> emissions. The reason for selecting these modes is that these are suggested models for time series forecasting in various fields like business, economics, environmental science, and in science and technology.</w:t>
      </w:r>
    </w:p>
    <w:p w14:paraId="7C47ED22" w14:textId="77777777" w:rsidR="003F0A22" w:rsidRDefault="003F0A22" w:rsidP="003F0A22">
      <w:pPr>
        <w:pStyle w:val="NormalWeb"/>
        <w:spacing w:before="0" w:beforeAutospacing="0" w:after="0" w:afterAutospacing="0"/>
      </w:pPr>
      <w:r>
        <w:t xml:space="preserve">After model selection, we trained the model by fitting the training data and then applied the trained models over test data to observe the performance. Furthermore, we have used nine performance metrics to </w:t>
      </w:r>
      <w:proofErr w:type="spellStart"/>
      <w:r>
        <w:t>analyse</w:t>
      </w:r>
      <w:proofErr w:type="spellEnd"/>
      <w:r>
        <w:t xml:space="preserve"> the effectiveness of the applied models. Before applying the models, the performance of the models on test data shows the efficacy; and accordingly, it is used to forecast the </w:t>
      </w:r>
      <w:r>
        <w:rPr>
          <w:i/>
          <w:iCs/>
        </w:rPr>
        <w:t>CO</w:t>
      </w:r>
      <w:r>
        <w:rPr>
          <w:sz w:val="20"/>
          <w:szCs w:val="20"/>
          <w:vertAlign w:val="subscript"/>
        </w:rPr>
        <w:t>2</w:t>
      </w:r>
      <w:r>
        <w:t> emission for the next ten (10) years until 2030.</w:t>
      </w:r>
    </w:p>
    <w:p w14:paraId="6E613B11" w14:textId="77777777" w:rsidR="003F0A22" w:rsidRDefault="003F0A22" w:rsidP="003F0A22">
      <w:pPr>
        <w:pStyle w:val="Heading2"/>
        <w:pBdr>
          <w:bottom w:val="single" w:sz="12" w:space="6" w:color="D5D5D5"/>
        </w:pBdr>
        <w:spacing w:before="0"/>
        <w:rPr>
          <w:rFonts w:ascii="Georgia" w:hAnsi="Georgia"/>
        </w:rPr>
      </w:pPr>
      <w:r>
        <w:rPr>
          <w:rFonts w:ascii="Georgia" w:hAnsi="Georgia"/>
          <w:b/>
          <w:bCs/>
        </w:rPr>
        <w:t>Performance metrics</w:t>
      </w:r>
    </w:p>
    <w:p w14:paraId="2323F5FC" w14:textId="77777777" w:rsidR="003F0A22" w:rsidRDefault="003F0A22" w:rsidP="003F0A22">
      <w:pPr>
        <w:pStyle w:val="NormalWeb"/>
        <w:spacing w:before="0" w:beforeAutospacing="0" w:after="0" w:afterAutospacing="0"/>
      </w:pPr>
      <w:r>
        <w:t>In this section, we have discussed the performance metrics used to determine the effectiveness of the models. These models are used to analyze </w:t>
      </w:r>
      <w:r>
        <w:rPr>
          <w:i/>
          <w:iCs/>
        </w:rPr>
        <w:t>CO</w:t>
      </w:r>
      <w:r>
        <w:rPr>
          <w:sz w:val="20"/>
          <w:szCs w:val="20"/>
          <w:vertAlign w:val="subscript"/>
        </w:rPr>
        <w:t>2</w:t>
      </w:r>
      <w:r>
        <w:t> emission, and forecasting, which is a kind of regression problem. There are many evaluation metrics; we have used nine to evaluate the models’ effectiveness. Before using all these metrics, we must know about the residual error, i.e. </w:t>
      </w:r>
      <w:r>
        <w:rPr>
          <w:rStyle w:val="mo"/>
          <w:rFonts w:ascii="MathJax_Main" w:hAnsi="MathJax_Main"/>
          <w:sz w:val="29"/>
          <w:szCs w:val="29"/>
          <w:bdr w:val="none" w:sz="0" w:space="0" w:color="auto" w:frame="1"/>
        </w:rPr>
        <w:t>(</w:t>
      </w:r>
      <w:r>
        <w:rPr>
          <w:rStyle w:val="mi"/>
          <w:rFonts w:ascii="MathJax_Math-italic" w:hAnsi="MathJax_Math-italic"/>
          <w:sz w:val="29"/>
          <w:szCs w:val="29"/>
          <w:bdr w:val="none" w:sz="0" w:space="0" w:color="auto" w:frame="1"/>
        </w:rPr>
        <w:t>y</w:t>
      </w:r>
      <w:r>
        <w:rPr>
          <w:rStyle w:val="mo"/>
          <w:rFonts w:ascii="MathJax_Main" w:hAnsi="MathJax_Main"/>
          <w:sz w:val="29"/>
          <w:szCs w:val="29"/>
          <w:bdr w:val="none" w:sz="0" w:space="0" w:color="auto" w:frame="1"/>
        </w:rPr>
        <w:t>−</w:t>
      </w:r>
      <w:r>
        <w:rPr>
          <w:rStyle w:val="mi"/>
          <w:rFonts w:ascii="MathJax_Math-italic" w:hAnsi="MathJax_Math-italic"/>
          <w:sz w:val="29"/>
          <w:szCs w:val="29"/>
          <w:bdr w:val="none" w:sz="0" w:space="0" w:color="auto" w:frame="1"/>
        </w:rPr>
        <w:t>y</w:t>
      </w:r>
      <w:r>
        <w:rPr>
          <w:rStyle w:val="mo"/>
          <w:rFonts w:ascii="MathJax_Main" w:hAnsi="MathJax_Main"/>
          <w:sz w:val="29"/>
          <w:szCs w:val="29"/>
          <w:bdr w:val="none" w:sz="0" w:space="0" w:color="auto" w:frame="1"/>
        </w:rPr>
        <w:t>^</w:t>
      </w:r>
      <w:proofErr w:type="gramStart"/>
      <w:r>
        <w:rPr>
          <w:rStyle w:val="mo"/>
          <w:rFonts w:ascii="MathJax_Main" w:hAnsi="MathJax_Main"/>
          <w:sz w:val="29"/>
          <w:szCs w:val="29"/>
          <w:bdr w:val="none" w:sz="0" w:space="0" w:color="auto" w:frame="1"/>
        </w:rPr>
        <w:t>)</w:t>
      </w:r>
      <w:r>
        <w:rPr>
          <w:rStyle w:val="mjxassistivemathml"/>
          <w:sz w:val="27"/>
          <w:szCs w:val="27"/>
          <w:bdr w:val="none" w:sz="0" w:space="0" w:color="auto" w:frame="1"/>
        </w:rPr>
        <w:t>(</w:t>
      </w:r>
      <w:proofErr w:type="gramEnd"/>
      <w:r>
        <w:rPr>
          <w:rStyle w:val="mjxassistivemathml"/>
          <w:rFonts w:ascii="Tahoma" w:hAnsi="Tahoma" w:cs="Tahoma"/>
          <w:sz w:val="27"/>
          <w:szCs w:val="27"/>
          <w:bdr w:val="none" w:sz="0" w:space="0" w:color="auto" w:frame="1"/>
        </w:rPr>
        <w:t>�</w:t>
      </w:r>
      <w:r>
        <w:rPr>
          <w:rStyle w:val="mjxassistivemathml"/>
          <w:sz w:val="27"/>
          <w:szCs w:val="27"/>
          <w:bdr w:val="none" w:sz="0" w:space="0" w:color="auto" w:frame="1"/>
        </w:rPr>
        <w:t>−</w:t>
      </w:r>
      <w:r>
        <w:rPr>
          <w:rStyle w:val="mjxassistivemathml"/>
          <w:rFonts w:ascii="Tahoma" w:hAnsi="Tahoma" w:cs="Tahoma"/>
          <w:sz w:val="27"/>
          <w:szCs w:val="27"/>
          <w:bdr w:val="none" w:sz="0" w:space="0" w:color="auto" w:frame="1"/>
        </w:rPr>
        <w:t>�</w:t>
      </w:r>
      <w:r>
        <w:rPr>
          <w:rStyle w:val="mjxassistivemathml"/>
          <w:sz w:val="27"/>
          <w:szCs w:val="27"/>
          <w:bdr w:val="none" w:sz="0" w:space="0" w:color="auto" w:frame="1"/>
        </w:rPr>
        <w:t>^)</w:t>
      </w:r>
      <w:r>
        <w:t>. Here, </w:t>
      </w:r>
      <w:r>
        <w:rPr>
          <w:i/>
          <w:iCs/>
        </w:rPr>
        <w:t>y</w:t>
      </w:r>
      <w:r>
        <w:t> and </w:t>
      </w:r>
      <w:r>
        <w:rPr>
          <w:rStyle w:val="mi"/>
          <w:rFonts w:ascii="MathJax_Math-italic" w:hAnsi="MathJax_Math-italic"/>
          <w:sz w:val="29"/>
          <w:szCs w:val="29"/>
          <w:bdr w:val="none" w:sz="0" w:space="0" w:color="auto" w:frame="1"/>
        </w:rPr>
        <w:t>y</w:t>
      </w:r>
      <w:r>
        <w:rPr>
          <w:rStyle w:val="mo"/>
          <w:rFonts w:ascii="MathJax_Main" w:hAnsi="MathJax_Main"/>
          <w:sz w:val="29"/>
          <w:szCs w:val="29"/>
          <w:bdr w:val="none" w:sz="0" w:space="0" w:color="auto" w:frame="1"/>
        </w:rPr>
        <w:t>^</w:t>
      </w:r>
      <w:r>
        <w:rPr>
          <w:rStyle w:val="mjxassistivemathml"/>
          <w:rFonts w:ascii="Tahoma" w:hAnsi="Tahoma" w:cs="Tahoma"/>
          <w:sz w:val="27"/>
          <w:szCs w:val="27"/>
          <w:bdr w:val="none" w:sz="0" w:space="0" w:color="auto" w:frame="1"/>
        </w:rPr>
        <w:t>�</w:t>
      </w:r>
      <w:r>
        <w:rPr>
          <w:rStyle w:val="mjxassistivemathml"/>
          <w:sz w:val="27"/>
          <w:szCs w:val="27"/>
          <w:bdr w:val="none" w:sz="0" w:space="0" w:color="auto" w:frame="1"/>
        </w:rPr>
        <w:t>^</w:t>
      </w:r>
      <w:r>
        <w:t> indicate the actual and predicted values. The performance metrics used to evaluate the models are as follows.</w:t>
      </w:r>
    </w:p>
    <w:p w14:paraId="35A0934C"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Mean squared error</w:t>
      </w:r>
    </w:p>
    <w:p w14:paraId="6C3FA0C6" w14:textId="77777777" w:rsidR="003F0A22" w:rsidRDefault="003F0A22" w:rsidP="003F0A22">
      <w:pPr>
        <w:pStyle w:val="NormalWeb"/>
        <w:spacing w:before="0" w:beforeAutospacing="0" w:after="0" w:afterAutospacing="0"/>
      </w:pPr>
      <w:r>
        <w:t>In mean squared error (MSE), first, calculate the squares of the residual error as defined above for each data point and then calculate the average of that(</w:t>
      </w:r>
      <w:proofErr w:type="spellStart"/>
      <w:r>
        <w:t>Ağbulut</w:t>
      </w:r>
      <w:proofErr w:type="spellEnd"/>
      <w:r>
        <w:t xml:space="preserve"> et al. </w:t>
      </w:r>
      <w:hyperlink r:id="rId55" w:anchor="ref-CR4" w:tooltip="Ağbulut Ü, Gürel AE, Biçen Y (2021a) Prediction of daily global solar radiation using different machine learning algorithms: evaluation and comparison. Renew Sust Energ Rev 135:110114" w:history="1">
        <w:r>
          <w:rPr>
            <w:rStyle w:val="Hyperlink"/>
            <w:rFonts w:eastAsiaTheme="majorEastAsia"/>
            <w:color w:val="004B83"/>
          </w:rPr>
          <w:t>2021a</w:t>
        </w:r>
      </w:hyperlink>
      <w:r>
        <w:t>; R. Kumar et al. </w:t>
      </w:r>
      <w:hyperlink r:id="rId56" w:anchor="ref-CR23" w:tooltip="Kumar R, Kumar P, Kumar Y (2020) Time series data prediction using IoT and machine learning technique. Procedia Comp Sci 167(2019):373–381. &#10;                https://doi.org/10.1016/j.procs.2020.03.240&#10;                &#10;              " w:history="1">
        <w:r>
          <w:rPr>
            <w:rStyle w:val="Hyperlink"/>
            <w:rFonts w:eastAsiaTheme="majorEastAsia"/>
            <w:color w:val="004B83"/>
          </w:rPr>
          <w:t>2020</w:t>
        </w:r>
      </w:hyperlink>
      <w:r>
        <w:t>)</w:t>
      </w:r>
    </w:p>
    <w:p w14:paraId="6007C7C9" w14:textId="77777777" w:rsidR="003F0A22" w:rsidRDefault="003F0A22" w:rsidP="003F0A22">
      <w:pPr>
        <w:textAlignment w:val="center"/>
      </w:pPr>
      <w:r>
        <w:rPr>
          <w:rStyle w:val="mi"/>
          <w:rFonts w:ascii="MathJax_Math-italic" w:hAnsi="MathJax_Math-italic"/>
          <w:sz w:val="29"/>
          <w:szCs w:val="29"/>
          <w:bdr w:val="none" w:sz="0" w:space="0" w:color="auto" w:frame="1"/>
        </w:rPr>
        <w:t>MSE</w:t>
      </w:r>
      <w:r>
        <w:rPr>
          <w:rStyle w:val="mo"/>
          <w:rFonts w:ascii="MathJax_Main" w:hAnsi="MathJax_Main"/>
          <w:sz w:val="29"/>
          <w:szCs w:val="29"/>
          <w:bdr w:val="none" w:sz="0" w:space="0" w:color="auto" w:frame="1"/>
        </w:rPr>
        <w:t>=</w:t>
      </w:r>
      <w:r>
        <w:rPr>
          <w:rStyle w:val="mn"/>
          <w:rFonts w:ascii="MathJax_Main" w:hAnsi="MathJax_Main"/>
          <w:sz w:val="29"/>
          <w:szCs w:val="29"/>
          <w:bdr w:val="none" w:sz="0" w:space="0" w:color="auto" w:frame="1"/>
        </w:rPr>
        <w:t>1</w:t>
      </w:r>
      <w:r>
        <w:rPr>
          <w:rStyle w:val="mi"/>
          <w:rFonts w:ascii="MathJax_Main" w:hAnsi="MathJax_Main"/>
          <w:sz w:val="29"/>
          <w:szCs w:val="29"/>
          <w:bdr w:val="none" w:sz="0" w:space="0" w:color="auto" w:frame="1"/>
        </w:rPr>
        <w:t>n</w:t>
      </w:r>
      <w:r>
        <w:rPr>
          <w:rStyle w:val="mo"/>
          <w:rFonts w:ascii="MathJax_Size2" w:hAnsi="MathJax_Size2"/>
          <w:sz w:val="29"/>
          <w:szCs w:val="29"/>
          <w:bdr w:val="none" w:sz="0" w:space="0" w:color="auto" w:frame="1"/>
        </w:rPr>
        <w:t>∑</w:t>
      </w:r>
      <w:r>
        <w:rPr>
          <w:rStyle w:val="mi"/>
          <w:rFonts w:ascii="MathJax_Main" w:hAnsi="MathJax_Main"/>
          <w:sz w:val="21"/>
          <w:szCs w:val="21"/>
          <w:bdr w:val="none" w:sz="0" w:space="0" w:color="auto" w:frame="1"/>
        </w:rPr>
        <w:t>i</w:t>
      </w:r>
      <w:r>
        <w:rPr>
          <w:rStyle w:val="mo"/>
          <w:rFonts w:ascii="MathJax_Main" w:hAnsi="MathJax_Main"/>
          <w:sz w:val="21"/>
          <w:szCs w:val="21"/>
          <w:bdr w:val="none" w:sz="0" w:space="0" w:color="auto" w:frame="1"/>
        </w:rPr>
        <w:t>=</w:t>
      </w:r>
      <w:proofErr w:type="gramStart"/>
      <w:r>
        <w:rPr>
          <w:rStyle w:val="mn"/>
          <w:rFonts w:ascii="MathJax_Main" w:hAnsi="MathJax_Main"/>
          <w:sz w:val="21"/>
          <w:szCs w:val="21"/>
          <w:bdr w:val="none" w:sz="0" w:space="0" w:color="auto" w:frame="1"/>
        </w:rPr>
        <w:t>1</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proofErr w:type="spellStart"/>
      <w:proofErr w:type="gramEnd"/>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proofErr w:type="spellEnd"/>
      <w:r>
        <w:rPr>
          <w:rStyle w:val="mo"/>
          <w:rFonts w:ascii="MathJax_Main" w:hAnsi="MathJax_Main"/>
          <w:sz w:val="29"/>
          <w:szCs w:val="29"/>
          <w:bdr w:val="none" w:sz="0" w:space="0" w:color="auto" w:frame="1"/>
        </w:rPr>
        <w:t>)</w:t>
      </w:r>
      <w:r>
        <w:rPr>
          <w:rStyle w:val="mn"/>
          <w:rFonts w:ascii="MathJax_Main" w:hAnsi="MathJax_Main"/>
          <w:sz w:val="21"/>
          <w:szCs w:val="21"/>
          <w:bdr w:val="none" w:sz="0" w:space="0" w:color="auto" w:frame="1"/>
        </w:rPr>
        <w:t>2</w:t>
      </w:r>
      <w:r>
        <w:rPr>
          <w:rStyle w:val="mjxassistivemathml"/>
          <w:rFonts w:ascii="Tahoma" w:hAnsi="Tahoma" w:cs="Tahoma"/>
          <w:sz w:val="27"/>
          <w:szCs w:val="27"/>
          <w:bdr w:val="none" w:sz="0" w:space="0" w:color="auto" w:frame="1"/>
        </w:rPr>
        <w:t>���</w:t>
      </w:r>
      <w:r>
        <w:rPr>
          <w:rStyle w:val="mjxassistivemathml"/>
          <w:sz w:val="27"/>
          <w:szCs w:val="27"/>
          <w:bdr w:val="none" w:sz="0" w:space="0" w:color="auto" w:frame="1"/>
        </w:rPr>
        <w:t>=1n∑i=1n(</w:t>
      </w:r>
      <w:proofErr w:type="spellStart"/>
      <w:r>
        <w:rPr>
          <w:rStyle w:val="mjxassistivemathml"/>
          <w:sz w:val="27"/>
          <w:szCs w:val="27"/>
          <w:bdr w:val="none" w:sz="0" w:space="0" w:color="auto" w:frame="1"/>
        </w:rPr>
        <w:t>yi−y^i</w:t>
      </w:r>
      <w:proofErr w:type="spellEnd"/>
      <w:r>
        <w:rPr>
          <w:rStyle w:val="mjxassistivemathml"/>
          <w:sz w:val="27"/>
          <w:szCs w:val="27"/>
          <w:bdr w:val="none" w:sz="0" w:space="0" w:color="auto" w:frame="1"/>
        </w:rPr>
        <w:t>)2</w:t>
      </w:r>
    </w:p>
    <w:p w14:paraId="25884D9A" w14:textId="77777777" w:rsidR="003F0A22" w:rsidRDefault="003F0A22" w:rsidP="003F0A22">
      <w:pPr>
        <w:jc w:val="right"/>
        <w:textAlignment w:val="center"/>
        <w:rPr>
          <w:rFonts w:ascii="Segoe UI" w:hAnsi="Segoe UI" w:cs="Segoe UI"/>
        </w:rPr>
      </w:pPr>
      <w:r>
        <w:rPr>
          <w:rFonts w:ascii="Segoe UI" w:hAnsi="Segoe UI" w:cs="Segoe UI"/>
        </w:rPr>
        <w:t>(2)</w:t>
      </w:r>
    </w:p>
    <w:p w14:paraId="7915CFC7" w14:textId="77777777" w:rsidR="003F0A22" w:rsidRDefault="003F0A22" w:rsidP="003F0A22">
      <w:pPr>
        <w:pStyle w:val="NormalWeb"/>
        <w:spacing w:before="0" w:beforeAutospacing="0" w:after="0" w:afterAutospacing="0"/>
      </w:pPr>
      <w:proofErr w:type="gramStart"/>
      <w:r>
        <w:t>where</w:t>
      </w:r>
      <w:proofErr w:type="gramEnd"/>
      <w:r>
        <w:t> </w:t>
      </w:r>
      <w:proofErr w:type="spellStart"/>
      <w:r>
        <w:rPr>
          <w:i/>
          <w:iCs/>
        </w:rPr>
        <w:t>y</w:t>
      </w:r>
      <w:r>
        <w:rPr>
          <w:i/>
          <w:iCs/>
          <w:sz w:val="20"/>
          <w:szCs w:val="20"/>
          <w:vertAlign w:val="subscript"/>
        </w:rPr>
        <w:t>i</w:t>
      </w:r>
      <w:proofErr w:type="spellEnd"/>
      <w:r>
        <w:t> and </w:t>
      </w:r>
      <w:proofErr w:type="spellStart"/>
      <w:r>
        <w:rPr>
          <w:rStyle w:val="mi"/>
          <w:rFonts w:ascii="MathJax_Math-italic" w:hAnsi="MathJax_Math-italic"/>
          <w:sz w:val="29"/>
          <w:szCs w:val="29"/>
          <w:bdr w:val="none" w:sz="0" w:space="0" w:color="auto" w:frame="1"/>
        </w:rPr>
        <w:t>y</w:t>
      </w:r>
      <w:r>
        <w:rPr>
          <w:rStyle w:val="mo"/>
          <w:rFonts w:ascii="MathJax_Main" w:hAnsi="MathJax_Main"/>
          <w:sz w:val="29"/>
          <w:szCs w:val="29"/>
          <w:bdr w:val="none" w:sz="0" w:space="0" w:color="auto" w:frame="1"/>
        </w:rPr>
        <w:t>^</w:t>
      </w:r>
      <w:r>
        <w:rPr>
          <w:rStyle w:val="mi"/>
          <w:rFonts w:ascii="MathJax_Math-italic" w:hAnsi="MathJax_Math-italic"/>
          <w:sz w:val="21"/>
          <w:szCs w:val="21"/>
          <w:bdr w:val="none" w:sz="0" w:space="0" w:color="auto" w:frame="1"/>
        </w:rPr>
        <w:t>i</w:t>
      </w:r>
      <w:proofErr w:type="spellEnd"/>
      <w:r>
        <w:rPr>
          <w:rStyle w:val="mjxassistivemathml"/>
          <w:rFonts w:ascii="Tahoma" w:hAnsi="Tahoma" w:cs="Tahoma"/>
          <w:sz w:val="27"/>
          <w:szCs w:val="27"/>
          <w:bdr w:val="none" w:sz="0" w:space="0" w:color="auto" w:frame="1"/>
        </w:rPr>
        <w:t>�</w:t>
      </w:r>
      <w:r>
        <w:rPr>
          <w:rStyle w:val="mjxassistivemathml"/>
          <w:sz w:val="27"/>
          <w:szCs w:val="27"/>
          <w:bdr w:val="none" w:sz="0" w:space="0" w:color="auto" w:frame="1"/>
        </w:rPr>
        <w:t>^</w:t>
      </w:r>
      <w:r>
        <w:rPr>
          <w:rStyle w:val="mjxassistivemathml"/>
          <w:rFonts w:ascii="Tahoma" w:hAnsi="Tahoma" w:cs="Tahoma"/>
          <w:sz w:val="27"/>
          <w:szCs w:val="27"/>
          <w:bdr w:val="none" w:sz="0" w:space="0" w:color="auto" w:frame="1"/>
        </w:rPr>
        <w:t>�</w:t>
      </w:r>
      <w:r>
        <w:t> indicate the actual and predicted values, respectively. </w:t>
      </w:r>
      <w:proofErr w:type="gramStart"/>
      <w:r>
        <w:rPr>
          <w:i/>
          <w:iCs/>
        </w:rPr>
        <w:t>n</w:t>
      </w:r>
      <w:proofErr w:type="gramEnd"/>
      <w:r>
        <w:t> indicates the number of data points. The study of (</w:t>
      </w:r>
      <w:proofErr w:type="spellStart"/>
      <w:r>
        <w:t>Bakay</w:t>
      </w:r>
      <w:proofErr w:type="spellEnd"/>
      <w:r>
        <w:t xml:space="preserve"> and </w:t>
      </w:r>
      <w:proofErr w:type="spellStart"/>
      <w:r>
        <w:t>Ağbulut</w:t>
      </w:r>
      <w:proofErr w:type="spellEnd"/>
      <w:r>
        <w:t> </w:t>
      </w:r>
      <w:hyperlink r:id="rId57" w:anchor="ref-CR10" w:tooltip="Bakay MS, Ağbulut Ü (2021) Electricity production based forecasting of greenhouse gas emissions in Turkey with deep learning, support vector machine and artificial neural network algorithms. J Clean Prod 285:125324" w:history="1">
        <w:r>
          <w:rPr>
            <w:rStyle w:val="Hyperlink"/>
            <w:rFonts w:eastAsiaTheme="majorEastAsia"/>
            <w:color w:val="004B83"/>
          </w:rPr>
          <w:t>2021</w:t>
        </w:r>
      </w:hyperlink>
      <w:r>
        <w:t>) suggests that MSE values can vary from 0 to ∞ where smaller values are preferable.</w:t>
      </w:r>
    </w:p>
    <w:p w14:paraId="54D10665"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Root mean squared error</w:t>
      </w:r>
    </w:p>
    <w:p w14:paraId="71EF2954" w14:textId="77777777" w:rsidR="003F0A22" w:rsidRDefault="003F0A22" w:rsidP="003F0A22">
      <w:pPr>
        <w:pStyle w:val="NormalWeb"/>
        <w:spacing w:before="0" w:beforeAutospacing="0" w:after="0" w:afterAutospacing="0"/>
      </w:pPr>
      <w:r>
        <w:t>It is the same as MSE, the only addition is a square root sign (R. Kumar et al. </w:t>
      </w:r>
      <w:hyperlink r:id="rId58" w:anchor="ref-CR23" w:tooltip="Kumar R, Kumar P, Kumar Y (2020) Time series data prediction using IoT and machine learning technique. Procedia Comp Sci 167(2019):373–381. &#10;                https://doi.org/10.1016/j.procs.2020.03.240&#10;                &#10;              " w:history="1">
        <w:r>
          <w:rPr>
            <w:rStyle w:val="Hyperlink"/>
            <w:rFonts w:eastAsiaTheme="majorEastAsia"/>
            <w:color w:val="004B83"/>
          </w:rPr>
          <w:t>2020</w:t>
        </w:r>
      </w:hyperlink>
      <w:r>
        <w:t>) The formula for mean absolute error is represented in Eq. (</w:t>
      </w:r>
      <w:hyperlink r:id="rId59" w:anchor="Equ3" w:history="1">
        <w:r>
          <w:rPr>
            <w:rStyle w:val="Hyperlink"/>
            <w:rFonts w:eastAsiaTheme="majorEastAsia"/>
            <w:color w:val="004B83"/>
          </w:rPr>
          <w:t>3</w:t>
        </w:r>
      </w:hyperlink>
      <w:r>
        <w:t>).</w:t>
      </w:r>
    </w:p>
    <w:p w14:paraId="7F117725" w14:textId="77777777" w:rsidR="003F0A22" w:rsidRDefault="003F0A22" w:rsidP="003F0A22">
      <w:pPr>
        <w:textAlignment w:val="center"/>
      </w:pPr>
      <w:r>
        <w:rPr>
          <w:rStyle w:val="mi"/>
          <w:rFonts w:ascii="MathJax_Main" w:hAnsi="MathJax_Main"/>
          <w:sz w:val="29"/>
          <w:szCs w:val="29"/>
          <w:bdr w:val="none" w:sz="0" w:space="0" w:color="auto" w:frame="1"/>
        </w:rPr>
        <w:t>RMSE</w:t>
      </w:r>
      <w:r>
        <w:rPr>
          <w:rStyle w:val="mo"/>
          <w:rFonts w:ascii="MathJax_Main" w:hAnsi="MathJax_Main"/>
          <w:sz w:val="29"/>
          <w:szCs w:val="29"/>
          <w:bdr w:val="none" w:sz="0" w:space="0" w:color="auto" w:frame="1"/>
        </w:rPr>
        <w:t>=</w:t>
      </w:r>
      <w:r>
        <w:rPr>
          <w:rStyle w:val="mo"/>
          <w:rFonts w:ascii="MathJax_Size2" w:hAnsi="MathJax_Size2"/>
          <w:sz w:val="29"/>
          <w:szCs w:val="29"/>
          <w:bdr w:val="none" w:sz="0" w:space="0" w:color="auto" w:frame="1"/>
        </w:rPr>
        <w:t>∑</w:t>
      </w:r>
      <w:proofErr w:type="spellStart"/>
      <w:r>
        <w:rPr>
          <w:rStyle w:val="mi"/>
          <w:rFonts w:ascii="MathJax_Main" w:hAnsi="MathJax_Main"/>
          <w:sz w:val="21"/>
          <w:szCs w:val="21"/>
          <w:bdr w:val="none" w:sz="0" w:space="0" w:color="auto" w:frame="1"/>
        </w:rPr>
        <w:t>i</w:t>
      </w:r>
      <w:proofErr w:type="spellEnd"/>
      <w:r>
        <w:rPr>
          <w:rStyle w:val="mo"/>
          <w:rFonts w:ascii="MathJax_Main" w:hAnsi="MathJax_Main"/>
          <w:sz w:val="21"/>
          <w:szCs w:val="21"/>
          <w:bdr w:val="none" w:sz="0" w:space="0" w:color="auto" w:frame="1"/>
        </w:rPr>
        <w:t>=</w:t>
      </w:r>
      <w:proofErr w:type="gramStart"/>
      <w:r>
        <w:rPr>
          <w:rStyle w:val="mn"/>
          <w:rFonts w:ascii="MathJax_Main" w:hAnsi="MathJax_Main"/>
          <w:sz w:val="21"/>
          <w:szCs w:val="21"/>
          <w:bdr w:val="none" w:sz="0" w:space="0" w:color="auto" w:frame="1"/>
        </w:rPr>
        <w:t>1</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proofErr w:type="spellStart"/>
      <w:proofErr w:type="gramEnd"/>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proofErr w:type="spellEnd"/>
      <w:r>
        <w:rPr>
          <w:rStyle w:val="mo"/>
          <w:rFonts w:ascii="MathJax_Main" w:hAnsi="MathJax_Main"/>
          <w:sz w:val="29"/>
          <w:szCs w:val="29"/>
          <w:bdr w:val="none" w:sz="0" w:space="0" w:color="auto" w:frame="1"/>
        </w:rPr>
        <w:t>)</w:t>
      </w:r>
      <w:r>
        <w:rPr>
          <w:rStyle w:val="mn"/>
          <w:rFonts w:ascii="MathJax_Main" w:hAnsi="MathJax_Main"/>
          <w:sz w:val="21"/>
          <w:szCs w:val="21"/>
          <w:bdr w:val="none" w:sz="0" w:space="0" w:color="auto" w:frame="1"/>
        </w:rPr>
        <w:t>2</w:t>
      </w:r>
      <w:r>
        <w:rPr>
          <w:rStyle w:val="mi"/>
          <w:rFonts w:ascii="MathJax_Main" w:hAnsi="MathJax_Main"/>
          <w:sz w:val="29"/>
          <w:szCs w:val="29"/>
          <w:bdr w:val="none" w:sz="0" w:space="0" w:color="auto" w:frame="1"/>
        </w:rPr>
        <w:t>n</w:t>
      </w:r>
      <w:r>
        <w:rPr>
          <w:rStyle w:val="msqrt"/>
          <w:rFonts w:ascii="MathJax_Main" w:hAnsi="MathJax_Main"/>
          <w:sz w:val="29"/>
          <w:szCs w:val="29"/>
          <w:bdr w:val="none" w:sz="0" w:space="0" w:color="auto" w:frame="1"/>
        </w:rPr>
        <w:t>−−−−−−−−−−−</w:t>
      </w:r>
      <w:r>
        <w:rPr>
          <w:rStyle w:val="msqrt"/>
          <w:rFonts w:ascii="MathJax_Size4" w:hAnsi="MathJax_Size4"/>
          <w:sz w:val="29"/>
          <w:szCs w:val="29"/>
          <w:bdr w:val="none" w:sz="0" w:space="0" w:color="auto" w:frame="1"/>
        </w:rPr>
        <w:t></w:t>
      </w:r>
      <w:r>
        <w:rPr>
          <w:rStyle w:val="msqrt"/>
          <w:rFonts w:ascii="Cambria Math" w:hAnsi="Cambria Math" w:cs="Cambria Math"/>
          <w:sz w:val="29"/>
          <w:szCs w:val="29"/>
          <w:bdr w:val="none" w:sz="0" w:space="0" w:color="auto" w:frame="1"/>
        </w:rPr>
        <w:t>⎷</w:t>
      </w:r>
      <w:r>
        <w:rPr>
          <w:rStyle w:val="msqrt"/>
          <w:rFonts w:ascii="Times New Roman" w:hAnsi="Times New Roman" w:cs="Times New Roman"/>
          <w:sz w:val="29"/>
          <w:szCs w:val="29"/>
          <w:bdr w:val="none" w:sz="0" w:space="0" w:color="auto" w:frame="1"/>
        </w:rPr>
        <w:t></w:t>
      </w:r>
      <w:r>
        <w:rPr>
          <w:rStyle w:val="mjxassistivemathml"/>
          <w:sz w:val="27"/>
          <w:szCs w:val="27"/>
          <w:bdr w:val="none" w:sz="0" w:space="0" w:color="auto" w:frame="1"/>
        </w:rPr>
        <w:t>RMSE=∑</w:t>
      </w:r>
      <w:proofErr w:type="spellStart"/>
      <w:r>
        <w:rPr>
          <w:rStyle w:val="mjxassistivemathml"/>
          <w:sz w:val="27"/>
          <w:szCs w:val="27"/>
          <w:bdr w:val="none" w:sz="0" w:space="0" w:color="auto" w:frame="1"/>
        </w:rPr>
        <w:t>i</w:t>
      </w:r>
      <w:proofErr w:type="spellEnd"/>
      <w:r>
        <w:rPr>
          <w:rStyle w:val="mjxassistivemathml"/>
          <w:sz w:val="27"/>
          <w:szCs w:val="27"/>
          <w:bdr w:val="none" w:sz="0" w:space="0" w:color="auto" w:frame="1"/>
        </w:rPr>
        <w:t>=1n(</w:t>
      </w:r>
      <w:proofErr w:type="spellStart"/>
      <w:r>
        <w:rPr>
          <w:rStyle w:val="mjxassistivemathml"/>
          <w:sz w:val="27"/>
          <w:szCs w:val="27"/>
          <w:bdr w:val="none" w:sz="0" w:space="0" w:color="auto" w:frame="1"/>
        </w:rPr>
        <w:t>y^i−yi</w:t>
      </w:r>
      <w:proofErr w:type="spellEnd"/>
      <w:r>
        <w:rPr>
          <w:rStyle w:val="mjxassistivemathml"/>
          <w:sz w:val="27"/>
          <w:szCs w:val="27"/>
          <w:bdr w:val="none" w:sz="0" w:space="0" w:color="auto" w:frame="1"/>
        </w:rPr>
        <w:t>)2n</w:t>
      </w:r>
    </w:p>
    <w:p w14:paraId="5C14BB8E" w14:textId="77777777" w:rsidR="003F0A22" w:rsidRDefault="003F0A22" w:rsidP="003F0A22">
      <w:pPr>
        <w:jc w:val="right"/>
        <w:textAlignment w:val="center"/>
        <w:rPr>
          <w:rFonts w:ascii="Segoe UI" w:hAnsi="Segoe UI" w:cs="Segoe UI"/>
        </w:rPr>
      </w:pPr>
      <w:r>
        <w:rPr>
          <w:rFonts w:ascii="Segoe UI" w:hAnsi="Segoe UI" w:cs="Segoe UI"/>
        </w:rPr>
        <w:t>(3)</w:t>
      </w:r>
    </w:p>
    <w:p w14:paraId="226C0CD5" w14:textId="77777777" w:rsidR="003F0A22" w:rsidRDefault="003F0A22" w:rsidP="003F0A22">
      <w:pPr>
        <w:pStyle w:val="NormalWeb"/>
        <w:spacing w:before="0" w:beforeAutospacing="0" w:after="0" w:afterAutospacing="0"/>
      </w:pPr>
      <w:r>
        <w:t>Root mean squared error (</w:t>
      </w:r>
      <w:r>
        <w:rPr>
          <w:i/>
          <w:iCs/>
        </w:rPr>
        <w:t>RMSE</w:t>
      </w:r>
      <w:r>
        <w:t>) takes the values from 0 to ∞, and the smaller </w:t>
      </w:r>
      <w:r>
        <w:rPr>
          <w:i/>
          <w:iCs/>
        </w:rPr>
        <w:t>RMSE</w:t>
      </w:r>
      <w:r>
        <w:t> values are desirable (</w:t>
      </w:r>
      <w:proofErr w:type="spellStart"/>
      <w:r>
        <w:t>Bakay</w:t>
      </w:r>
      <w:proofErr w:type="spellEnd"/>
      <w:r>
        <w:t xml:space="preserve"> and </w:t>
      </w:r>
      <w:proofErr w:type="spellStart"/>
      <w:r>
        <w:t>Ağbulut</w:t>
      </w:r>
      <w:proofErr w:type="spellEnd"/>
      <w:r>
        <w:t> </w:t>
      </w:r>
      <w:hyperlink r:id="rId60" w:anchor="ref-CR10" w:tooltip="Bakay MS, Ağbulut Ü (2021) Electricity production based forecasting of greenhouse gas emissions in Turkey with deep learning, support vector machine and artificial neural network algorithms. J Clean Prod 285:125324" w:history="1">
        <w:r>
          <w:rPr>
            <w:rStyle w:val="Hyperlink"/>
            <w:rFonts w:eastAsiaTheme="majorEastAsia"/>
            <w:color w:val="004B83"/>
          </w:rPr>
          <w:t>2021</w:t>
        </w:r>
      </w:hyperlink>
      <w:r>
        <w:t>).</w:t>
      </w:r>
    </w:p>
    <w:p w14:paraId="2634FD7B"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lastRenderedPageBreak/>
        <w:t>Mean squared log error</w:t>
      </w:r>
    </w:p>
    <w:p w14:paraId="59ED10B4" w14:textId="77777777" w:rsidR="003F0A22" w:rsidRDefault="003F0A22" w:rsidP="003F0A22">
      <w:pPr>
        <w:pStyle w:val="NormalWeb"/>
        <w:spacing w:before="0" w:beforeAutospacing="0" w:after="0" w:afterAutospacing="0"/>
      </w:pPr>
      <w:r>
        <w:t>In mean squared log error (</w:t>
      </w:r>
      <w:r>
        <w:rPr>
          <w:i/>
          <w:iCs/>
        </w:rPr>
        <w:t>MSLE</w:t>
      </w:r>
      <w:r>
        <w:t>), the residual error is calculated with the logarithm of the original and predicated values. It is an extension on mean squared error (MSE), mainly used when predictions have large deviations. The formula for mean absolute log error is represented in Eq. (</w:t>
      </w:r>
      <w:hyperlink r:id="rId61" w:anchor="Equ4" w:history="1">
        <w:r>
          <w:rPr>
            <w:rStyle w:val="Hyperlink"/>
            <w:rFonts w:eastAsiaTheme="majorEastAsia"/>
            <w:color w:val="004B83"/>
          </w:rPr>
          <w:t>4</w:t>
        </w:r>
      </w:hyperlink>
      <w:r>
        <w:t>).</w:t>
      </w:r>
    </w:p>
    <w:p w14:paraId="76A6ABFE" w14:textId="77777777" w:rsidR="003F0A22" w:rsidRDefault="003F0A22" w:rsidP="003F0A22">
      <w:pPr>
        <w:textAlignment w:val="center"/>
      </w:pPr>
      <w:r>
        <w:rPr>
          <w:rStyle w:val="mi"/>
          <w:rFonts w:ascii="MathJax_Main" w:hAnsi="MathJax_Main"/>
          <w:sz w:val="29"/>
          <w:szCs w:val="29"/>
          <w:bdr w:val="none" w:sz="0" w:space="0" w:color="auto" w:frame="1"/>
        </w:rPr>
        <w:t>MSLE</w:t>
      </w:r>
      <w:r>
        <w:rPr>
          <w:rStyle w:val="mo"/>
          <w:rFonts w:ascii="MathJax_Main" w:hAnsi="MathJax_Main"/>
          <w:sz w:val="29"/>
          <w:szCs w:val="29"/>
          <w:bdr w:val="none" w:sz="0" w:space="0" w:color="auto" w:frame="1"/>
        </w:rPr>
        <w:t>=</w:t>
      </w:r>
      <w:r>
        <w:rPr>
          <w:rStyle w:val="mn"/>
          <w:rFonts w:ascii="MathJax_Main" w:hAnsi="MathJax_Main"/>
          <w:sz w:val="29"/>
          <w:szCs w:val="29"/>
          <w:bdr w:val="none" w:sz="0" w:space="0" w:color="auto" w:frame="1"/>
        </w:rPr>
        <w:t>1</w:t>
      </w:r>
      <w:r>
        <w:rPr>
          <w:rStyle w:val="mi"/>
          <w:rFonts w:ascii="MathJax_Main" w:hAnsi="MathJax_Main"/>
          <w:sz w:val="29"/>
          <w:szCs w:val="29"/>
          <w:bdr w:val="none" w:sz="0" w:space="0" w:color="auto" w:frame="1"/>
        </w:rPr>
        <w:t>n</w:t>
      </w:r>
      <w:r>
        <w:rPr>
          <w:rStyle w:val="mo"/>
          <w:rFonts w:ascii="MathJax_Size2" w:hAnsi="MathJax_Size2"/>
          <w:sz w:val="29"/>
          <w:szCs w:val="29"/>
          <w:bdr w:val="none" w:sz="0" w:space="0" w:color="auto" w:frame="1"/>
        </w:rPr>
        <w:t>∑</w:t>
      </w:r>
      <w:r>
        <w:rPr>
          <w:rStyle w:val="mi"/>
          <w:rFonts w:ascii="MathJax_Main" w:hAnsi="MathJax_Main"/>
          <w:sz w:val="21"/>
          <w:szCs w:val="21"/>
          <w:bdr w:val="none" w:sz="0" w:space="0" w:color="auto" w:frame="1"/>
        </w:rPr>
        <w:t>i</w:t>
      </w:r>
      <w:r>
        <w:rPr>
          <w:rStyle w:val="mo"/>
          <w:rFonts w:ascii="MathJax_Main" w:hAnsi="MathJax_Main"/>
          <w:sz w:val="21"/>
          <w:szCs w:val="21"/>
          <w:bdr w:val="none" w:sz="0" w:space="0" w:color="auto" w:frame="1"/>
        </w:rPr>
        <w:t>=</w:t>
      </w:r>
      <w:proofErr w:type="gramStart"/>
      <w:r>
        <w:rPr>
          <w:rStyle w:val="mn"/>
          <w:rFonts w:ascii="MathJax_Main" w:hAnsi="MathJax_Main"/>
          <w:sz w:val="21"/>
          <w:szCs w:val="21"/>
          <w:bdr w:val="none" w:sz="0" w:space="0" w:color="auto" w:frame="1"/>
        </w:rPr>
        <w:t>1</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proofErr w:type="gramEnd"/>
      <w:r>
        <w:rPr>
          <w:rStyle w:val="mi"/>
          <w:rFonts w:ascii="MathJax_Main" w:hAnsi="MathJax_Main"/>
          <w:sz w:val="29"/>
          <w:szCs w:val="29"/>
          <w:bdr w:val="none" w:sz="0" w:space="0" w:color="auto" w:frame="1"/>
        </w:rPr>
        <w:t>log</w:t>
      </w:r>
      <w:r>
        <w:rPr>
          <w:rStyle w:val="mo"/>
          <w:rFonts w:ascii="MathJax_Main" w:hAnsi="MathJax_Main"/>
          <w:sz w:val="29"/>
          <w:szCs w:val="29"/>
          <w:bdr w:val="none" w:sz="0" w:space="0" w:color="auto" w:frame="1"/>
        </w:rPr>
        <w:t>(</w:t>
      </w:r>
      <w:proofErr w:type="spellStart"/>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proofErr w:type="spellEnd"/>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log</w:t>
      </w:r>
      <w:r>
        <w:rPr>
          <w:rStyle w:val="mo"/>
          <w:rFonts w:ascii="MathJax_Main" w:hAnsi="MathJax_Main"/>
          <w:sz w:val="29"/>
          <w:szCs w:val="29"/>
          <w:bdr w:val="none" w:sz="0" w:space="0" w:color="auto" w:frame="1"/>
        </w:rPr>
        <w:t>(</w:t>
      </w:r>
      <w:proofErr w:type="spellStart"/>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proofErr w:type="spellEnd"/>
      <w:r>
        <w:rPr>
          <w:rStyle w:val="mo"/>
          <w:rFonts w:ascii="MathJax_Main" w:hAnsi="MathJax_Main"/>
          <w:sz w:val="29"/>
          <w:szCs w:val="29"/>
          <w:bdr w:val="none" w:sz="0" w:space="0" w:color="auto" w:frame="1"/>
        </w:rPr>
        <w:t>))</w:t>
      </w:r>
      <w:r>
        <w:rPr>
          <w:rStyle w:val="mn"/>
          <w:rFonts w:ascii="MathJax_Main" w:hAnsi="MathJax_Main"/>
          <w:sz w:val="21"/>
          <w:szCs w:val="21"/>
          <w:bdr w:val="none" w:sz="0" w:space="0" w:color="auto" w:frame="1"/>
        </w:rPr>
        <w:t>2</w:t>
      </w:r>
      <w:r>
        <w:rPr>
          <w:rStyle w:val="mjxassistivemathml"/>
          <w:sz w:val="27"/>
          <w:szCs w:val="27"/>
          <w:bdr w:val="none" w:sz="0" w:space="0" w:color="auto" w:frame="1"/>
        </w:rPr>
        <w:t>MSLE=1n∑i=1n(log</w:t>
      </w:r>
      <w:r>
        <w:rPr>
          <w:rStyle w:val="mjxassistivemathml"/>
          <w:rFonts w:ascii="Cambria Math" w:hAnsi="Cambria Math" w:cs="Cambria Math"/>
          <w:sz w:val="27"/>
          <w:szCs w:val="27"/>
          <w:bdr w:val="none" w:sz="0" w:space="0" w:color="auto" w:frame="1"/>
        </w:rPr>
        <w:t>⁡</w:t>
      </w:r>
      <w:r>
        <w:rPr>
          <w:rStyle w:val="mjxassistivemathml"/>
          <w:sz w:val="27"/>
          <w:szCs w:val="27"/>
          <w:bdr w:val="none" w:sz="0" w:space="0" w:color="auto" w:frame="1"/>
        </w:rPr>
        <w:t>(</w:t>
      </w:r>
      <w:proofErr w:type="spellStart"/>
      <w:r>
        <w:rPr>
          <w:rStyle w:val="mjxassistivemathml"/>
          <w:sz w:val="27"/>
          <w:szCs w:val="27"/>
          <w:bdr w:val="none" w:sz="0" w:space="0" w:color="auto" w:frame="1"/>
        </w:rPr>
        <w:t>yi</w:t>
      </w:r>
      <w:proofErr w:type="spellEnd"/>
      <w:r>
        <w:rPr>
          <w:rStyle w:val="mjxassistivemathml"/>
          <w:sz w:val="27"/>
          <w:szCs w:val="27"/>
          <w:bdr w:val="none" w:sz="0" w:space="0" w:color="auto" w:frame="1"/>
        </w:rPr>
        <w:t>)</w:t>
      </w:r>
      <w:r>
        <w:rPr>
          <w:rStyle w:val="mjxassistivemathml"/>
          <w:rFonts w:ascii="Calibri" w:hAnsi="Calibri" w:cs="Calibri"/>
          <w:sz w:val="27"/>
          <w:szCs w:val="27"/>
          <w:bdr w:val="none" w:sz="0" w:space="0" w:color="auto" w:frame="1"/>
        </w:rPr>
        <w:t>−</w:t>
      </w:r>
      <w:r>
        <w:rPr>
          <w:rStyle w:val="mjxassistivemathml"/>
          <w:sz w:val="27"/>
          <w:szCs w:val="27"/>
          <w:bdr w:val="none" w:sz="0" w:space="0" w:color="auto" w:frame="1"/>
        </w:rPr>
        <w:t>log</w:t>
      </w:r>
      <w:r>
        <w:rPr>
          <w:rStyle w:val="mjxassistivemathml"/>
          <w:rFonts w:ascii="Cambria Math" w:hAnsi="Cambria Math" w:cs="Cambria Math"/>
          <w:sz w:val="27"/>
          <w:szCs w:val="27"/>
          <w:bdr w:val="none" w:sz="0" w:space="0" w:color="auto" w:frame="1"/>
        </w:rPr>
        <w:t>⁡</w:t>
      </w:r>
      <w:r>
        <w:rPr>
          <w:rStyle w:val="mjxassistivemathml"/>
          <w:sz w:val="27"/>
          <w:szCs w:val="27"/>
          <w:bdr w:val="none" w:sz="0" w:space="0" w:color="auto" w:frame="1"/>
        </w:rPr>
        <w:t>(</w:t>
      </w:r>
      <w:proofErr w:type="spellStart"/>
      <w:r>
        <w:rPr>
          <w:rStyle w:val="mjxassistivemathml"/>
          <w:sz w:val="27"/>
          <w:szCs w:val="27"/>
          <w:bdr w:val="none" w:sz="0" w:space="0" w:color="auto" w:frame="1"/>
        </w:rPr>
        <w:t>y^i</w:t>
      </w:r>
      <w:proofErr w:type="spellEnd"/>
      <w:r>
        <w:rPr>
          <w:rStyle w:val="mjxassistivemathml"/>
          <w:sz w:val="27"/>
          <w:szCs w:val="27"/>
          <w:bdr w:val="none" w:sz="0" w:space="0" w:color="auto" w:frame="1"/>
        </w:rPr>
        <w:t>))2</w:t>
      </w:r>
    </w:p>
    <w:p w14:paraId="732130F9" w14:textId="77777777" w:rsidR="003F0A22" w:rsidRDefault="003F0A22" w:rsidP="003F0A22">
      <w:pPr>
        <w:jc w:val="right"/>
        <w:textAlignment w:val="center"/>
        <w:rPr>
          <w:rFonts w:ascii="Segoe UI" w:hAnsi="Segoe UI" w:cs="Segoe UI"/>
        </w:rPr>
      </w:pPr>
      <w:r>
        <w:rPr>
          <w:rFonts w:ascii="Segoe UI" w:hAnsi="Segoe UI" w:cs="Segoe UI"/>
        </w:rPr>
        <w:t>(4)</w:t>
      </w:r>
    </w:p>
    <w:p w14:paraId="5B60AA7B" w14:textId="77777777" w:rsidR="003F0A22" w:rsidRDefault="003F0A22" w:rsidP="003F0A22">
      <w:pPr>
        <w:pStyle w:val="NormalWeb"/>
        <w:spacing w:before="0" w:beforeAutospacing="0" w:after="360" w:afterAutospacing="0"/>
      </w:pPr>
      <w:r>
        <w:t>Also, this metric does not deal with negative values, so if there is any negative error value for any data point in the dataset, then this metric will not be applicable.</w:t>
      </w:r>
    </w:p>
    <w:p w14:paraId="26790B6C"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Mean absolute error</w:t>
      </w:r>
    </w:p>
    <w:p w14:paraId="0CB806CE" w14:textId="77777777" w:rsidR="003F0A22" w:rsidRDefault="003F0A22" w:rsidP="003F0A22">
      <w:pPr>
        <w:pStyle w:val="NormalWeb"/>
        <w:spacing w:before="0" w:beforeAutospacing="0" w:after="0" w:afterAutospacing="0"/>
      </w:pPr>
      <w:r>
        <w:t>Mean absolute error (</w:t>
      </w:r>
      <w:r>
        <w:rPr>
          <w:i/>
          <w:iCs/>
        </w:rPr>
        <w:t>MAE</w:t>
      </w:r>
      <w:r>
        <w:t>) is the sum of the absolute residual error. That means it does not matter about negative or positive (R. Kumar et al. </w:t>
      </w:r>
      <w:hyperlink r:id="rId62" w:anchor="ref-CR23" w:tooltip="Kumar R, Kumar P, Kumar Y (2020) Time series data prediction using IoT and machine learning technique. Procedia Comp Sci 167(2019):373–381. &#10;                https://doi.org/10.1016/j.procs.2020.03.240&#10;                &#10;              " w:history="1">
        <w:r>
          <w:rPr>
            <w:rStyle w:val="Hyperlink"/>
            <w:rFonts w:eastAsiaTheme="majorEastAsia"/>
            <w:color w:val="004B83"/>
          </w:rPr>
          <w:t>2020</w:t>
        </w:r>
      </w:hyperlink>
      <w:r>
        <w:t>). The formula for mean absolute error is indicated in Eq. (</w:t>
      </w:r>
      <w:hyperlink r:id="rId63" w:anchor="Equ5" w:history="1">
        <w:r>
          <w:rPr>
            <w:rStyle w:val="Hyperlink"/>
            <w:rFonts w:eastAsiaTheme="majorEastAsia"/>
            <w:color w:val="004B83"/>
          </w:rPr>
          <w:t>5</w:t>
        </w:r>
      </w:hyperlink>
      <w:r>
        <w:t>).</w:t>
      </w:r>
    </w:p>
    <w:p w14:paraId="0AE9B4C7" w14:textId="77777777" w:rsidR="003F0A22" w:rsidRDefault="003F0A22" w:rsidP="003F0A22">
      <w:pPr>
        <w:textAlignment w:val="center"/>
      </w:pPr>
      <w:r>
        <w:rPr>
          <w:rStyle w:val="mi"/>
          <w:rFonts w:ascii="MathJax_Main" w:hAnsi="MathJax_Main"/>
          <w:sz w:val="29"/>
          <w:szCs w:val="29"/>
          <w:bdr w:val="none" w:sz="0" w:space="0" w:color="auto" w:frame="1"/>
        </w:rPr>
        <w:t>MAE</w:t>
      </w:r>
      <w:r>
        <w:rPr>
          <w:rStyle w:val="mo"/>
          <w:rFonts w:ascii="MathJax_Main" w:hAnsi="MathJax_Main"/>
          <w:sz w:val="29"/>
          <w:szCs w:val="29"/>
          <w:bdr w:val="none" w:sz="0" w:space="0" w:color="auto" w:frame="1"/>
        </w:rPr>
        <w:t>=</w:t>
      </w:r>
      <w:r>
        <w:rPr>
          <w:rStyle w:val="mo"/>
          <w:rFonts w:ascii="MathJax_Size1" w:hAnsi="MathJax_Size1"/>
          <w:sz w:val="29"/>
          <w:szCs w:val="29"/>
          <w:bdr w:val="none" w:sz="0" w:space="0" w:color="auto" w:frame="1"/>
        </w:rPr>
        <w:t>∑</w:t>
      </w:r>
      <w:proofErr w:type="spellStart"/>
      <w:r>
        <w:rPr>
          <w:rStyle w:val="mi"/>
          <w:rFonts w:ascii="MathJax_Main" w:hAnsi="MathJax_Main"/>
          <w:sz w:val="21"/>
          <w:szCs w:val="21"/>
          <w:bdr w:val="none" w:sz="0" w:space="0" w:color="auto" w:frame="1"/>
        </w:rPr>
        <w:t>ni</w:t>
      </w:r>
      <w:proofErr w:type="spellEnd"/>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n</w:t>
      </w:r>
      <w:r>
        <w:rPr>
          <w:rStyle w:val="mjxassistivemathml"/>
          <w:sz w:val="27"/>
          <w:szCs w:val="27"/>
          <w:bdr w:val="none" w:sz="0" w:space="0" w:color="auto" w:frame="1"/>
        </w:rPr>
        <w:t>MAE=∑</w:t>
      </w:r>
      <w:proofErr w:type="spellStart"/>
      <w:r>
        <w:rPr>
          <w:rStyle w:val="mjxassistivemathml"/>
          <w:sz w:val="27"/>
          <w:szCs w:val="27"/>
          <w:bdr w:val="none" w:sz="0" w:space="0" w:color="auto" w:frame="1"/>
        </w:rPr>
        <w:t>i</w:t>
      </w:r>
      <w:proofErr w:type="spellEnd"/>
      <w:r>
        <w:rPr>
          <w:rStyle w:val="mjxassistivemathml"/>
          <w:sz w:val="27"/>
          <w:szCs w:val="27"/>
          <w:bdr w:val="none" w:sz="0" w:space="0" w:color="auto" w:frame="1"/>
        </w:rPr>
        <w:t>=1n|y^i−yi|n</w:t>
      </w:r>
    </w:p>
    <w:p w14:paraId="42C8E2A7" w14:textId="77777777" w:rsidR="003F0A22" w:rsidRDefault="003F0A22" w:rsidP="003F0A22">
      <w:pPr>
        <w:jc w:val="right"/>
        <w:textAlignment w:val="center"/>
        <w:rPr>
          <w:rFonts w:ascii="Segoe UI" w:hAnsi="Segoe UI" w:cs="Segoe UI"/>
        </w:rPr>
      </w:pPr>
      <w:r>
        <w:rPr>
          <w:rFonts w:ascii="Segoe UI" w:hAnsi="Segoe UI" w:cs="Segoe UI"/>
        </w:rPr>
        <w:t>(5)</w:t>
      </w:r>
    </w:p>
    <w:p w14:paraId="2FABE887"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Mean absolute percentage error</w:t>
      </w:r>
    </w:p>
    <w:p w14:paraId="71043DEF" w14:textId="77777777" w:rsidR="003F0A22" w:rsidRDefault="003F0A22" w:rsidP="003F0A22">
      <w:pPr>
        <w:pStyle w:val="NormalWeb"/>
        <w:spacing w:before="0" w:beforeAutospacing="0" w:after="0" w:afterAutospacing="0"/>
      </w:pPr>
      <w:r>
        <w:t>Mean absolute percentage error (</w:t>
      </w:r>
      <w:r>
        <w:rPr>
          <w:i/>
          <w:iCs/>
        </w:rPr>
        <w:t>MAPE</w:t>
      </w:r>
      <w:r>
        <w:t>) is defined with the addition of percentage to </w:t>
      </w:r>
      <w:r>
        <w:rPr>
          <w:i/>
          <w:iCs/>
        </w:rPr>
        <w:t>MAE</w:t>
      </w:r>
      <w:r>
        <w:t> (R. Kumar et al. </w:t>
      </w:r>
      <w:hyperlink r:id="rId64" w:anchor="ref-CR23" w:tooltip="Kumar R, Kumar P, Kumar Y (2020) Time series data prediction using IoT and machine learning technique. Procedia Comp Sci 167(2019):373–381. &#10;                https://doi.org/10.1016/j.procs.2020.03.240&#10;                &#10;              " w:history="1">
        <w:r>
          <w:rPr>
            <w:rStyle w:val="Hyperlink"/>
            <w:rFonts w:eastAsiaTheme="majorEastAsia"/>
            <w:color w:val="004B83"/>
          </w:rPr>
          <w:t>2020</w:t>
        </w:r>
      </w:hyperlink>
      <w:r>
        <w:t>). For a good model, a smaller </w:t>
      </w:r>
      <w:r>
        <w:rPr>
          <w:i/>
          <w:iCs/>
        </w:rPr>
        <w:t>MAPE</w:t>
      </w:r>
      <w:r>
        <w:t> value is desirable. The formula for mean absolute percentage error is shown in Eq. (</w:t>
      </w:r>
      <w:hyperlink r:id="rId65" w:anchor="Equ6" w:history="1">
        <w:r>
          <w:rPr>
            <w:rStyle w:val="Hyperlink"/>
            <w:rFonts w:eastAsiaTheme="majorEastAsia"/>
            <w:color w:val="004B83"/>
          </w:rPr>
          <w:t>6</w:t>
        </w:r>
      </w:hyperlink>
      <w:r>
        <w:t>).</w:t>
      </w:r>
    </w:p>
    <w:p w14:paraId="4AC8F12F" w14:textId="77777777" w:rsidR="003F0A22" w:rsidRDefault="003F0A22" w:rsidP="003F0A22">
      <w:pPr>
        <w:textAlignment w:val="center"/>
      </w:pPr>
      <w:r>
        <w:rPr>
          <w:rStyle w:val="mi"/>
          <w:rFonts w:ascii="MathJax_Main" w:hAnsi="MathJax_Main"/>
          <w:sz w:val="29"/>
          <w:szCs w:val="29"/>
          <w:bdr w:val="none" w:sz="0" w:space="0" w:color="auto" w:frame="1"/>
        </w:rPr>
        <w:t>MAPE</w:t>
      </w:r>
      <w:r>
        <w:rPr>
          <w:rStyle w:val="mo"/>
          <w:rFonts w:ascii="MathJax_Main" w:hAnsi="MathJax_Main"/>
          <w:sz w:val="29"/>
          <w:szCs w:val="29"/>
          <w:bdr w:val="none" w:sz="0" w:space="0" w:color="auto" w:frame="1"/>
        </w:rPr>
        <w:t>=</w:t>
      </w:r>
      <w:r>
        <w:rPr>
          <w:rStyle w:val="mn"/>
          <w:rFonts w:ascii="MathJax_Main" w:hAnsi="MathJax_Main"/>
          <w:sz w:val="29"/>
          <w:szCs w:val="29"/>
          <w:bdr w:val="none" w:sz="0" w:space="0" w:color="auto" w:frame="1"/>
        </w:rPr>
        <w:t>100</w:t>
      </w:r>
      <w:r>
        <w:rPr>
          <w:rStyle w:val="mi"/>
          <w:rFonts w:ascii="MathJax_Main" w:hAnsi="MathJax_Main"/>
          <w:sz w:val="29"/>
          <w:szCs w:val="29"/>
          <w:bdr w:val="none" w:sz="0" w:space="0" w:color="auto" w:frame="1"/>
        </w:rPr>
        <w:t>%n</w:t>
      </w:r>
      <w:r>
        <w:rPr>
          <w:rStyle w:val="mo"/>
          <w:rFonts w:ascii="MathJax_Size2" w:hAnsi="MathJax_Size2"/>
          <w:sz w:val="29"/>
          <w:szCs w:val="29"/>
          <w:bdr w:val="none" w:sz="0" w:space="0" w:color="auto" w:frame="1"/>
        </w:rPr>
        <w:t>∑</w:t>
      </w:r>
      <w:r>
        <w:rPr>
          <w:rStyle w:val="mi"/>
          <w:rFonts w:ascii="MathJax_Main" w:hAnsi="MathJax_Main"/>
          <w:sz w:val="21"/>
          <w:szCs w:val="21"/>
          <w:bdr w:val="none" w:sz="0" w:space="0" w:color="auto" w:frame="1"/>
        </w:rPr>
        <w:t>i</w:t>
      </w:r>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rPr>
          <w:rStyle w:val="mi"/>
          <w:rFonts w:ascii="MathJax_Main" w:hAnsi="MathJax_Main"/>
          <w:sz w:val="21"/>
          <w:szCs w:val="21"/>
          <w:bdr w:val="none" w:sz="0" w:space="0" w:color="auto" w:frame="1"/>
        </w:rPr>
        <w:t>n</w:t>
      </w:r>
      <w:r>
        <w:rPr>
          <w:rStyle w:val="mo"/>
          <w:rFonts w:ascii="Cambria Math" w:hAnsi="Cambria Math" w:cs="Cambria Math"/>
          <w:sz w:val="29"/>
          <w:szCs w:val="29"/>
          <w:bdr w:val="none" w:sz="0" w:space="0" w:color="auto" w:frame="1"/>
        </w:rPr>
        <w:t>∣∣∣</w:t>
      </w:r>
      <w:proofErr w:type="spellStart"/>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proofErr w:type="spellEnd"/>
      <w:r>
        <w:rPr>
          <w:rStyle w:val="mo"/>
          <w:rFonts w:ascii="Cambria Math" w:hAnsi="Cambria Math" w:cs="Cambria Math"/>
          <w:sz w:val="29"/>
          <w:szCs w:val="29"/>
          <w:bdr w:val="none" w:sz="0" w:space="0" w:color="auto" w:frame="1"/>
        </w:rPr>
        <w:t>∣∣∣</w:t>
      </w:r>
      <w:r>
        <w:rPr>
          <w:rStyle w:val="mjxassistivemathml"/>
          <w:sz w:val="27"/>
          <w:szCs w:val="27"/>
          <w:bdr w:val="none" w:sz="0" w:space="0" w:color="auto" w:frame="1"/>
        </w:rPr>
        <w:t>MAPE=100%n∑i=1n|yi−y^iyi|</w:t>
      </w:r>
    </w:p>
    <w:p w14:paraId="19D97F8E" w14:textId="77777777" w:rsidR="003F0A22" w:rsidRDefault="003F0A22" w:rsidP="003F0A22">
      <w:pPr>
        <w:jc w:val="right"/>
        <w:textAlignment w:val="center"/>
        <w:rPr>
          <w:rFonts w:ascii="Segoe UI" w:hAnsi="Segoe UI" w:cs="Segoe UI"/>
        </w:rPr>
      </w:pPr>
      <w:r>
        <w:rPr>
          <w:rFonts w:ascii="Segoe UI" w:hAnsi="Segoe UI" w:cs="Segoe UI"/>
        </w:rPr>
        <w:t>(6)</w:t>
      </w:r>
    </w:p>
    <w:p w14:paraId="47FF1824" w14:textId="77777777" w:rsidR="003F0A22" w:rsidRDefault="003F0A22" w:rsidP="003F0A22">
      <w:pPr>
        <w:pStyle w:val="NormalWeb"/>
        <w:spacing w:before="0" w:beforeAutospacing="0" w:after="0" w:afterAutospacing="0"/>
      </w:pPr>
      <w:r>
        <w:t>If the </w:t>
      </w:r>
      <w:r>
        <w:rPr>
          <w:i/>
          <w:iCs/>
        </w:rPr>
        <w:t>MAPE</w:t>
      </w:r>
      <w:r>
        <w:t> value &lt; 10%, then the prediction will be classified as the “high prediction accuracy.”</w:t>
      </w:r>
    </w:p>
    <w:p w14:paraId="204E07B4" w14:textId="77777777" w:rsidR="003F0A22" w:rsidRDefault="003F0A22" w:rsidP="003F0A22">
      <w:pPr>
        <w:pStyle w:val="NormalWeb"/>
        <w:spacing w:before="0" w:beforeAutospacing="0" w:after="0" w:afterAutospacing="0"/>
      </w:pPr>
      <w:r>
        <w:t>If the </w:t>
      </w:r>
      <w:r>
        <w:rPr>
          <w:i/>
          <w:iCs/>
        </w:rPr>
        <w:t>MAPE</w:t>
      </w:r>
      <w:r>
        <w:t> value ranges between 10 and 20%, the prediction will be classified as “good prediction accuracy.”</w:t>
      </w:r>
    </w:p>
    <w:p w14:paraId="6C8A4A12" w14:textId="77777777" w:rsidR="003F0A22" w:rsidRDefault="003F0A22" w:rsidP="003F0A22">
      <w:pPr>
        <w:pStyle w:val="NormalWeb"/>
        <w:spacing w:before="0" w:beforeAutospacing="0" w:after="0" w:afterAutospacing="0"/>
      </w:pPr>
      <w:r>
        <w:t>If the </w:t>
      </w:r>
      <w:r>
        <w:rPr>
          <w:i/>
          <w:iCs/>
        </w:rPr>
        <w:t>MAPE</w:t>
      </w:r>
      <w:r>
        <w:t> value ranges between 20 and to 50%, predictions will be classified as “reasonable predication accuracy.”</w:t>
      </w:r>
    </w:p>
    <w:p w14:paraId="104891E6" w14:textId="77777777" w:rsidR="003F0A22" w:rsidRDefault="003F0A22" w:rsidP="003F0A22">
      <w:pPr>
        <w:pStyle w:val="NormalWeb"/>
        <w:spacing w:before="0" w:beforeAutospacing="0" w:after="0" w:afterAutospacing="0"/>
      </w:pPr>
      <w:r>
        <w:t>And if </w:t>
      </w:r>
      <w:r>
        <w:rPr>
          <w:i/>
          <w:iCs/>
        </w:rPr>
        <w:t>MAPE</w:t>
      </w:r>
      <w:r>
        <w:t> value &gt; 50%, then predication will be classified as “inaccurate prediction accuracy</w:t>
      </w:r>
      <w:proofErr w:type="gramStart"/>
      <w:r>
        <w:t>”(</w:t>
      </w:r>
      <w:proofErr w:type="spellStart"/>
      <w:proofErr w:type="gramEnd"/>
      <w:r>
        <w:t>Ağbulut</w:t>
      </w:r>
      <w:proofErr w:type="spellEnd"/>
      <w:r>
        <w:t xml:space="preserve"> et al. </w:t>
      </w:r>
      <w:hyperlink r:id="rId66" w:anchor="ref-CR5" w:tooltip="Ağbulut Ü, Gürel AE, Sarıdemir S (2021b) Experimental investigation and prediction of performance and emission responses of a CI engine fuelled with different metal-oxide based nanoparticles–diesel blends using different machine learning algorithms. Energy 215:119076" w:history="1">
        <w:r>
          <w:rPr>
            <w:rStyle w:val="Hyperlink"/>
            <w:rFonts w:eastAsiaTheme="majorEastAsia"/>
            <w:color w:val="004B83"/>
          </w:rPr>
          <w:t>2021b</w:t>
        </w:r>
      </w:hyperlink>
      <w:r>
        <w:t>).</w:t>
      </w:r>
    </w:p>
    <w:p w14:paraId="4B11D3AF"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Median absolute error</w:t>
      </w:r>
    </w:p>
    <w:p w14:paraId="05F2C415" w14:textId="77777777" w:rsidR="003F0A22" w:rsidRDefault="003F0A22" w:rsidP="003F0A22">
      <w:pPr>
        <w:pStyle w:val="NormalWeb"/>
        <w:spacing w:before="0" w:beforeAutospacing="0" w:after="0" w:afterAutospacing="0"/>
      </w:pPr>
      <w:r>
        <w:t xml:space="preserve">The median absolute error is robust to outliers, making it interesting and capable enough to deal with the impacts of outliers on whole prediction (Yin and </w:t>
      </w:r>
      <w:proofErr w:type="spellStart"/>
      <w:r>
        <w:t>Xie</w:t>
      </w:r>
      <w:proofErr w:type="spellEnd"/>
      <w:r>
        <w:t> </w:t>
      </w:r>
      <w:hyperlink r:id="rId67" w:anchor="ref-CR45" w:tooltip="Yin L, Xie J (2021) Multi-temporal-spatial-scale temporal convolution network for short-term load forecasting of power systems. Appl Energy 283:116328" w:history="1">
        <w:r>
          <w:rPr>
            <w:rStyle w:val="Hyperlink"/>
            <w:rFonts w:eastAsiaTheme="majorEastAsia"/>
            <w:color w:val="004B83"/>
          </w:rPr>
          <w:t>2021</w:t>
        </w:r>
      </w:hyperlink>
      <w:r>
        <w:t>). The formula for median absolute error is represented by</w:t>
      </w:r>
    </w:p>
    <w:p w14:paraId="4D59157F" w14:textId="77777777" w:rsidR="003F0A22" w:rsidRDefault="003F0A22" w:rsidP="003F0A22">
      <w:pPr>
        <w:textAlignment w:val="center"/>
      </w:pPr>
      <w:r>
        <w:rPr>
          <w:rStyle w:val="mi"/>
          <w:rFonts w:ascii="MathJax_Main" w:hAnsi="MathJax_Main"/>
          <w:sz w:val="29"/>
          <w:szCs w:val="29"/>
          <w:bdr w:val="none" w:sz="0" w:space="0" w:color="auto" w:frame="1"/>
        </w:rPr>
        <w:t>MedAE</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proofErr w:type="gramStart"/>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proofErr w:type="gramEnd"/>
      <w:r>
        <w:rPr>
          <w:rStyle w:val="mo"/>
          <w:rFonts w:ascii="MathJax_Size1" w:hAnsi="MathJax_Size1"/>
          <w:sz w:val="29"/>
          <w:szCs w:val="29"/>
          <w:bdr w:val="none" w:sz="0" w:space="0" w:color="auto" w:frame="1"/>
        </w:rPr>
        <w:t>ˆ</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median</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n</w:t>
      </w:r>
      <w:r>
        <w:rPr>
          <w:rStyle w:val="mo"/>
          <w:rFonts w:ascii="MathJax_Main" w:hAnsi="MathJax_Main"/>
          <w:sz w:val="29"/>
          <w:szCs w:val="29"/>
          <w:bdr w:val="none" w:sz="0" w:space="0" w:color="auto" w:frame="1"/>
        </w:rPr>
        <w:t>|)</w:t>
      </w:r>
      <w:r>
        <w:rPr>
          <w:rStyle w:val="mjxassistivemathml"/>
          <w:sz w:val="27"/>
          <w:szCs w:val="27"/>
          <w:bdr w:val="none" w:sz="0" w:space="0" w:color="auto" w:frame="1"/>
        </w:rPr>
        <w:t>MedAE(y,y^)=median(|y1−y^1|,………|yn−y^n|)</w:t>
      </w:r>
    </w:p>
    <w:p w14:paraId="6D9A87FE" w14:textId="77777777" w:rsidR="003F0A22" w:rsidRDefault="003F0A22" w:rsidP="003F0A22">
      <w:pPr>
        <w:jc w:val="right"/>
        <w:textAlignment w:val="center"/>
        <w:rPr>
          <w:rFonts w:ascii="Segoe UI" w:hAnsi="Segoe UI" w:cs="Segoe UI"/>
        </w:rPr>
      </w:pPr>
      <w:r>
        <w:rPr>
          <w:rFonts w:ascii="Segoe UI" w:hAnsi="Segoe UI" w:cs="Segoe UI"/>
        </w:rPr>
        <w:lastRenderedPageBreak/>
        <w:t>(7)</w:t>
      </w:r>
    </w:p>
    <w:p w14:paraId="5C6019D3" w14:textId="77777777" w:rsidR="003F0A22" w:rsidRDefault="003F0A22" w:rsidP="003F0A22">
      <w:pPr>
        <w:pStyle w:val="NormalWeb"/>
        <w:spacing w:before="0" w:beforeAutospacing="0" w:after="0" w:afterAutospacing="0"/>
      </w:pPr>
      <w:r>
        <w:t>The median absolute error (</w:t>
      </w:r>
      <w:proofErr w:type="spellStart"/>
      <w:r>
        <w:rPr>
          <w:i/>
          <w:iCs/>
        </w:rPr>
        <w:t>MedAE</w:t>
      </w:r>
      <w:proofErr w:type="spellEnd"/>
      <w:r>
        <w:t>) is a robust measure of the variability of a univariate sample of quantitative data. Its value could be anything between 0 and infinity. Therefore, the lesser the value, the higher the accuracy of the model will be.</w:t>
      </w:r>
    </w:p>
    <w:p w14:paraId="6DCBABE9"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Max error</w:t>
      </w:r>
    </w:p>
    <w:p w14:paraId="398EF7F1" w14:textId="77777777" w:rsidR="003F0A22" w:rsidRDefault="003F0A22" w:rsidP="003F0A22">
      <w:pPr>
        <w:pStyle w:val="NormalWeb"/>
        <w:spacing w:before="0" w:beforeAutospacing="0" w:after="0" w:afterAutospacing="0"/>
      </w:pPr>
      <w:r>
        <w:t>The max error metric calculates the maximum residual error. The formula for max error is shown in Eq. (</w:t>
      </w:r>
      <w:hyperlink r:id="rId68" w:anchor="Equ8" w:history="1">
        <w:r>
          <w:rPr>
            <w:rStyle w:val="Hyperlink"/>
            <w:rFonts w:eastAsiaTheme="majorEastAsia"/>
            <w:color w:val="004B83"/>
          </w:rPr>
          <w:t>8</w:t>
        </w:r>
      </w:hyperlink>
      <w:r>
        <w:t>).</w:t>
      </w:r>
    </w:p>
    <w:p w14:paraId="3CCA9A6A" w14:textId="77777777" w:rsidR="003F0A22" w:rsidRDefault="003F0A22" w:rsidP="003F0A22">
      <w:pPr>
        <w:textAlignment w:val="center"/>
      </w:pPr>
      <w:proofErr w:type="spellStart"/>
      <w:r>
        <w:rPr>
          <w:rStyle w:val="mi"/>
          <w:rFonts w:ascii="MathJax_Main" w:hAnsi="MathJax_Main"/>
          <w:sz w:val="29"/>
          <w:szCs w:val="29"/>
          <w:bdr w:val="none" w:sz="0" w:space="0" w:color="auto" w:frame="1"/>
        </w:rPr>
        <w:t>Maxerror</w:t>
      </w:r>
      <w:proofErr w:type="spellEnd"/>
      <w:r>
        <w:rPr>
          <w:rStyle w:val="mo"/>
          <w:rFonts w:ascii="MathJax_Main" w:hAnsi="MathJax_Main"/>
          <w:sz w:val="29"/>
          <w:szCs w:val="29"/>
          <w:bdr w:val="none" w:sz="0" w:space="0" w:color="auto" w:frame="1"/>
        </w:rPr>
        <w:t>=</w:t>
      </w:r>
      <w:proofErr w:type="spellStart"/>
      <w:r>
        <w:rPr>
          <w:rStyle w:val="mi"/>
          <w:rFonts w:ascii="MathJax_Main" w:hAnsi="MathJax_Main"/>
          <w:sz w:val="29"/>
          <w:szCs w:val="29"/>
          <w:bdr w:val="none" w:sz="0" w:space="0" w:color="auto" w:frame="1"/>
        </w:rPr>
        <w:t>Max</w:t>
      </w:r>
      <w:r>
        <w:rPr>
          <w:rStyle w:val="mo"/>
          <w:rFonts w:ascii="Cambria Math" w:hAnsi="Cambria Math" w:cs="Cambria Math"/>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proofErr w:type="spellEnd"/>
      <w:r>
        <w:rPr>
          <w:rStyle w:val="mo"/>
          <w:rFonts w:ascii="MathJax_Size1" w:hAnsi="MathJax_Size1"/>
          <w:sz w:val="29"/>
          <w:szCs w:val="29"/>
          <w:bdr w:val="none" w:sz="0" w:space="0" w:color="auto" w:frame="1"/>
        </w:rPr>
        <w:t>ˆ</w:t>
      </w:r>
      <w:r>
        <w:rPr>
          <w:rStyle w:val="mo"/>
          <w:rFonts w:ascii="Cambria Math" w:hAnsi="Cambria Math" w:cs="Cambria Math"/>
          <w:sz w:val="29"/>
          <w:szCs w:val="29"/>
          <w:bdr w:val="none" w:sz="0" w:space="0" w:color="auto" w:frame="1"/>
        </w:rPr>
        <w:t>∣</w:t>
      </w:r>
      <w:proofErr w:type="spellStart"/>
      <w:r>
        <w:rPr>
          <w:rStyle w:val="mjxassistivemathml"/>
          <w:sz w:val="27"/>
          <w:szCs w:val="27"/>
          <w:bdr w:val="none" w:sz="0" w:space="0" w:color="auto" w:frame="1"/>
        </w:rPr>
        <w:t>Maxerror</w:t>
      </w:r>
      <w:proofErr w:type="spellEnd"/>
      <w:r>
        <w:rPr>
          <w:rStyle w:val="mjxassistivemathml"/>
          <w:sz w:val="27"/>
          <w:szCs w:val="27"/>
          <w:bdr w:val="none" w:sz="0" w:space="0" w:color="auto" w:frame="1"/>
        </w:rPr>
        <w:t>=</w:t>
      </w:r>
      <w:proofErr w:type="spellStart"/>
      <w:r>
        <w:rPr>
          <w:rStyle w:val="mjxassistivemathml"/>
          <w:sz w:val="27"/>
          <w:szCs w:val="27"/>
          <w:bdr w:val="none" w:sz="0" w:space="0" w:color="auto" w:frame="1"/>
        </w:rPr>
        <w:t>Max</w:t>
      </w:r>
      <w:r>
        <w:rPr>
          <w:rStyle w:val="mjxassistivemathml"/>
          <w:rFonts w:ascii="Cambria Math" w:hAnsi="Cambria Math" w:cs="Cambria Math"/>
          <w:sz w:val="27"/>
          <w:szCs w:val="27"/>
          <w:bdr w:val="none" w:sz="0" w:space="0" w:color="auto" w:frame="1"/>
        </w:rPr>
        <w:t>∣</w:t>
      </w:r>
      <w:r>
        <w:rPr>
          <w:rStyle w:val="mjxassistivemathml"/>
          <w:sz w:val="27"/>
          <w:szCs w:val="27"/>
          <w:bdr w:val="none" w:sz="0" w:space="0" w:color="auto" w:frame="1"/>
        </w:rPr>
        <w:t>yi</w:t>
      </w:r>
      <w:r>
        <w:rPr>
          <w:rStyle w:val="mjxassistivemathml"/>
          <w:rFonts w:ascii="Calibri" w:hAnsi="Calibri" w:cs="Calibri"/>
          <w:sz w:val="27"/>
          <w:szCs w:val="27"/>
          <w:bdr w:val="none" w:sz="0" w:space="0" w:color="auto" w:frame="1"/>
        </w:rPr>
        <w:t>−</w:t>
      </w:r>
      <w:r>
        <w:rPr>
          <w:rStyle w:val="mjxassistivemathml"/>
          <w:sz w:val="27"/>
          <w:szCs w:val="27"/>
          <w:bdr w:val="none" w:sz="0" w:space="0" w:color="auto" w:frame="1"/>
        </w:rPr>
        <w:t>yi</w:t>
      </w:r>
      <w:proofErr w:type="spellEnd"/>
      <w:r>
        <w:rPr>
          <w:rStyle w:val="mjxassistivemathml"/>
          <w:sz w:val="27"/>
          <w:szCs w:val="27"/>
          <w:bdr w:val="none" w:sz="0" w:space="0" w:color="auto" w:frame="1"/>
        </w:rPr>
        <w:t>^</w:t>
      </w:r>
      <w:r>
        <w:rPr>
          <w:rStyle w:val="mjxassistivemathml"/>
          <w:rFonts w:ascii="Cambria Math" w:hAnsi="Cambria Math" w:cs="Cambria Math"/>
          <w:sz w:val="27"/>
          <w:szCs w:val="27"/>
          <w:bdr w:val="none" w:sz="0" w:space="0" w:color="auto" w:frame="1"/>
        </w:rPr>
        <w:t>∣</w:t>
      </w:r>
    </w:p>
    <w:p w14:paraId="4392A162" w14:textId="77777777" w:rsidR="003F0A22" w:rsidRDefault="003F0A22" w:rsidP="003F0A22">
      <w:pPr>
        <w:jc w:val="right"/>
        <w:textAlignment w:val="center"/>
        <w:rPr>
          <w:rFonts w:ascii="Segoe UI" w:hAnsi="Segoe UI" w:cs="Segoe UI"/>
        </w:rPr>
      </w:pPr>
      <w:r>
        <w:rPr>
          <w:rFonts w:ascii="Segoe UI" w:hAnsi="Segoe UI" w:cs="Segoe UI"/>
        </w:rPr>
        <w:t>(8)</w:t>
      </w:r>
    </w:p>
    <w:p w14:paraId="6B461460" w14:textId="77777777" w:rsidR="003F0A22" w:rsidRDefault="003F0A22" w:rsidP="003F0A22">
      <w:pPr>
        <w:pStyle w:val="Heading3"/>
        <w:spacing w:before="0"/>
        <w:rPr>
          <w:rFonts w:ascii="Segoe UI" w:hAnsi="Segoe UI" w:cs="Segoe UI"/>
          <w:color w:val="222222"/>
        </w:rPr>
      </w:pPr>
      <w:r>
        <w:rPr>
          <w:rFonts w:ascii="Segoe UI" w:hAnsi="Segoe UI" w:cs="Segoe UI"/>
          <w:b/>
          <w:bCs/>
          <w:color w:val="222222"/>
        </w:rPr>
        <w:t>R </w:t>
      </w:r>
      <w:r>
        <w:rPr>
          <w:rFonts w:ascii="Segoe UI" w:hAnsi="Segoe UI" w:cs="Segoe UI"/>
          <w:b/>
          <w:bCs/>
          <w:color w:val="222222"/>
          <w:vertAlign w:val="superscript"/>
        </w:rPr>
        <w:t>2</w:t>
      </w:r>
      <w:r>
        <w:rPr>
          <w:rFonts w:ascii="Segoe UI" w:hAnsi="Segoe UI" w:cs="Segoe UI"/>
          <w:b/>
          <w:bCs/>
          <w:color w:val="222222"/>
        </w:rPr>
        <w:t> score error</w:t>
      </w:r>
    </w:p>
    <w:p w14:paraId="7A8896AA" w14:textId="77777777" w:rsidR="003F0A22" w:rsidRDefault="003F0A22" w:rsidP="003F0A22">
      <w:pPr>
        <w:pStyle w:val="NormalWeb"/>
        <w:spacing w:before="0" w:beforeAutospacing="0" w:after="0" w:afterAutospacing="0"/>
      </w:pPr>
      <w:r>
        <w:t>The formula for </w:t>
      </w:r>
      <w:r>
        <w:rPr>
          <w:i/>
          <w:iCs/>
        </w:rPr>
        <w:t>R</w:t>
      </w:r>
      <w:r>
        <w:rPr>
          <w:sz w:val="20"/>
          <w:szCs w:val="20"/>
          <w:vertAlign w:val="superscript"/>
        </w:rPr>
        <w:t>2</w:t>
      </w:r>
      <w:r>
        <w:t> square error also has it significance in measuring the effectiveness of the models (Shaikh et al. </w:t>
      </w:r>
      <w:hyperlink r:id="rId69" w:anchor="ref-CR40" w:tooltip="Shaikh S, Gala J, Jain A, Advani S, Jaidhara S, Edinburgh MR (2021) Analysis and prediction of covid-19 using regression models and time series forecasting. In: 2021 11th international conference on cloud computing, data science &amp; engineering (Confluence). IEEE, pp 989–995" w:history="1">
        <w:r>
          <w:rPr>
            <w:rStyle w:val="Hyperlink"/>
            <w:rFonts w:eastAsiaTheme="majorEastAsia"/>
            <w:color w:val="004B83"/>
          </w:rPr>
          <w:t>2021</w:t>
        </w:r>
      </w:hyperlink>
      <w:r>
        <w:t xml:space="preserve">; </w:t>
      </w:r>
      <w:proofErr w:type="spellStart"/>
      <w:r>
        <w:t>Ağbulut</w:t>
      </w:r>
      <w:proofErr w:type="spellEnd"/>
      <w:r>
        <w:t xml:space="preserve"> et al. </w:t>
      </w:r>
      <w:hyperlink r:id="rId70" w:anchor="ref-CR3" w:tooltip="Ağbulut Ü, Gürel AE, Ergün A, Ceylan İ (2020) Performance assessment of a V-Trough photovoltaic system and prediction of power output with different machine learning algorithms. J Clean Prod 268:122269" w:history="1">
        <w:r>
          <w:rPr>
            <w:rStyle w:val="Hyperlink"/>
            <w:rFonts w:eastAsiaTheme="majorEastAsia"/>
            <w:color w:val="004B83"/>
          </w:rPr>
          <w:t>2020</w:t>
        </w:r>
      </w:hyperlink>
      <w:r>
        <w:t>); it is defined as shown in Eq. (</w:t>
      </w:r>
      <w:hyperlink r:id="rId71" w:anchor="Equ9" w:history="1">
        <w:r>
          <w:rPr>
            <w:rStyle w:val="Hyperlink"/>
            <w:rFonts w:eastAsiaTheme="majorEastAsia"/>
            <w:color w:val="004B83"/>
          </w:rPr>
          <w:t>9</w:t>
        </w:r>
      </w:hyperlink>
      <w:r>
        <w:t>).</w:t>
      </w:r>
    </w:p>
    <w:p w14:paraId="6508F842" w14:textId="77777777" w:rsidR="003F0A22" w:rsidRDefault="003F0A22" w:rsidP="003F0A22">
      <w:pPr>
        <w:textAlignment w:val="center"/>
      </w:pPr>
      <w:r>
        <w:rPr>
          <w:rStyle w:val="mi"/>
          <w:rFonts w:ascii="MathJax_Main" w:hAnsi="MathJax_Main"/>
          <w:sz w:val="29"/>
          <w:szCs w:val="29"/>
          <w:bdr w:val="none" w:sz="0" w:space="0" w:color="auto" w:frame="1"/>
        </w:rPr>
        <w:t>R</w:t>
      </w:r>
      <w:r>
        <w:rPr>
          <w:rStyle w:val="mn"/>
          <w:rFonts w:ascii="MathJax_Main" w:hAnsi="MathJax_Main"/>
          <w:sz w:val="29"/>
          <w:szCs w:val="29"/>
          <w:bdr w:val="none" w:sz="0" w:space="0" w:color="auto" w:frame="1"/>
        </w:rPr>
        <w:t>2</w:t>
      </w:r>
      <w:r>
        <w:rPr>
          <w:rStyle w:val="mo"/>
          <w:rFonts w:ascii="MathJax_Main" w:hAnsi="MathJax_Main"/>
          <w:sz w:val="29"/>
          <w:szCs w:val="29"/>
          <w:bdr w:val="none" w:sz="0" w:space="0" w:color="auto" w:frame="1"/>
        </w:rPr>
        <w:t>=</w:t>
      </w:r>
      <w:r>
        <w:rPr>
          <w:rStyle w:val="mn"/>
          <w:rFonts w:ascii="MathJax_Main" w:hAnsi="MathJax_Main"/>
          <w:sz w:val="29"/>
          <w:szCs w:val="29"/>
          <w:bdr w:val="none" w:sz="0" w:space="0" w:color="auto" w:frame="1"/>
        </w:rPr>
        <w:t>1</w:t>
      </w:r>
      <w:r>
        <w:rPr>
          <w:rStyle w:val="mo"/>
          <w:rFonts w:ascii="MathJax_Main" w:hAnsi="MathJax_Main"/>
          <w:sz w:val="29"/>
          <w:szCs w:val="29"/>
          <w:bdr w:val="none" w:sz="0" w:space="0" w:color="auto" w:frame="1"/>
        </w:rPr>
        <w:t>−</w:t>
      </w:r>
      <w:r>
        <w:rPr>
          <w:rStyle w:val="mo"/>
          <w:rFonts w:ascii="MathJax_Size1" w:hAnsi="MathJax_Size1"/>
          <w:sz w:val="29"/>
          <w:szCs w:val="29"/>
          <w:bdr w:val="none" w:sz="0" w:space="0" w:color="auto" w:frame="1"/>
        </w:rPr>
        <w:t>∑</w:t>
      </w:r>
      <w:r>
        <w:rPr>
          <w:rStyle w:val="mi"/>
          <w:rFonts w:ascii="MathJax_Main" w:hAnsi="MathJax_Main"/>
          <w:sz w:val="21"/>
          <w:szCs w:val="21"/>
          <w:bdr w:val="none" w:sz="0" w:space="0" w:color="auto" w:frame="1"/>
        </w:rPr>
        <w:t>ni</w:t>
      </w:r>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proofErr w:type="gramStart"/>
      <w:r>
        <w:rPr>
          <w:rStyle w:val="mo"/>
          <w:rFonts w:ascii="MathJax_Main" w:hAnsi="MathJax_Main"/>
          <w:sz w:val="29"/>
          <w:szCs w:val="29"/>
          <w:bdr w:val="none" w:sz="0" w:space="0" w:color="auto" w:frame="1"/>
        </w:rPr>
        <w:t>)</w:t>
      </w:r>
      <w:r>
        <w:rPr>
          <w:rStyle w:val="mn"/>
          <w:rFonts w:ascii="MathJax_Main" w:hAnsi="MathJax_Main"/>
          <w:sz w:val="21"/>
          <w:szCs w:val="21"/>
          <w:bdr w:val="none" w:sz="0" w:space="0" w:color="auto" w:frame="1"/>
        </w:rPr>
        <w:t>2</w:t>
      </w:r>
      <w:proofErr w:type="gramEnd"/>
      <w:r>
        <w:rPr>
          <w:rStyle w:val="mo"/>
          <w:rFonts w:ascii="MathJax_Size1" w:hAnsi="MathJax_Size1"/>
          <w:sz w:val="29"/>
          <w:szCs w:val="29"/>
          <w:bdr w:val="none" w:sz="0" w:space="0" w:color="auto" w:frame="1"/>
        </w:rPr>
        <w:t>∑</w:t>
      </w:r>
      <w:r>
        <w:rPr>
          <w:rStyle w:val="mi"/>
          <w:rFonts w:ascii="MathJax_Main" w:hAnsi="MathJax_Main"/>
          <w:sz w:val="21"/>
          <w:szCs w:val="21"/>
          <w:bdr w:val="none" w:sz="0" w:space="0" w:color="auto" w:frame="1"/>
        </w:rPr>
        <w:t>ni</w:t>
      </w:r>
      <w:r>
        <w:rPr>
          <w:rStyle w:val="mo"/>
          <w:rFonts w:ascii="MathJax_Main" w:hAnsi="MathJax_Main"/>
          <w:sz w:val="21"/>
          <w:szCs w:val="21"/>
          <w:bdr w:val="none" w:sz="0" w:space="0" w:color="auto" w:frame="1"/>
        </w:rPr>
        <w:t>=</w:t>
      </w:r>
      <w:r>
        <w:rPr>
          <w:rStyle w:val="mn"/>
          <w:rFonts w:ascii="MathJax_Main" w:hAnsi="MathJax_Main"/>
          <w:sz w:val="21"/>
          <w:szCs w:val="21"/>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Main" w:hAnsi="MathJax_Main"/>
          <w:sz w:val="21"/>
          <w:szCs w:val="21"/>
          <w:bdr w:val="none" w:sz="0" w:space="0" w:color="auto" w:frame="1"/>
        </w:rPr>
        <w:t>¯¯¯</w:t>
      </w:r>
      <w:r>
        <w:rPr>
          <w:rStyle w:val="mi"/>
          <w:rFonts w:ascii="MathJax_Main" w:hAnsi="MathJax_Main"/>
          <w:sz w:val="21"/>
          <w:szCs w:val="21"/>
          <w:bdr w:val="none" w:sz="0" w:space="0" w:color="auto" w:frame="1"/>
        </w:rPr>
        <w:t>i</w:t>
      </w:r>
      <w:r>
        <w:rPr>
          <w:rStyle w:val="mo"/>
          <w:rFonts w:ascii="MathJax_Main" w:hAnsi="MathJax_Main"/>
          <w:sz w:val="29"/>
          <w:szCs w:val="29"/>
          <w:bdr w:val="none" w:sz="0" w:space="0" w:color="auto" w:frame="1"/>
        </w:rPr>
        <w:t>)</w:t>
      </w:r>
      <w:r>
        <w:rPr>
          <w:rStyle w:val="mn"/>
          <w:rFonts w:ascii="MathJax_Main" w:hAnsi="MathJax_Main"/>
          <w:sz w:val="21"/>
          <w:szCs w:val="21"/>
          <w:bdr w:val="none" w:sz="0" w:space="0" w:color="auto" w:frame="1"/>
        </w:rPr>
        <w:t>2</w:t>
      </w:r>
      <w:r>
        <w:rPr>
          <w:rStyle w:val="mjxassistivemathml"/>
          <w:sz w:val="27"/>
          <w:szCs w:val="27"/>
          <w:bdr w:val="none" w:sz="0" w:space="0" w:color="auto" w:frame="1"/>
        </w:rPr>
        <w:t>R2=1−∑i=1n(y^i−yi)2∑i=1n(yi−y¯i)2</w:t>
      </w:r>
    </w:p>
    <w:p w14:paraId="2428E999" w14:textId="77777777" w:rsidR="003F0A22" w:rsidRDefault="003F0A22" w:rsidP="003F0A22">
      <w:pPr>
        <w:jc w:val="right"/>
        <w:textAlignment w:val="center"/>
        <w:rPr>
          <w:rFonts w:ascii="Segoe UI" w:hAnsi="Segoe UI" w:cs="Segoe UI"/>
        </w:rPr>
      </w:pPr>
      <w:r>
        <w:rPr>
          <w:rFonts w:ascii="Segoe UI" w:hAnsi="Segoe UI" w:cs="Segoe UI"/>
        </w:rPr>
        <w:t>(9)</w:t>
      </w:r>
    </w:p>
    <w:p w14:paraId="50966274" w14:textId="77777777" w:rsidR="003F0A22" w:rsidRDefault="003F0A22" w:rsidP="003F0A22">
      <w:pPr>
        <w:pStyle w:val="NormalWeb"/>
        <w:spacing w:before="0" w:beforeAutospacing="0" w:after="0" w:afterAutospacing="0"/>
      </w:pPr>
      <w:r>
        <w:rPr>
          <w:i/>
          <w:iCs/>
        </w:rPr>
        <w:t>R</w:t>
      </w:r>
      <w:r>
        <w:t> </w:t>
      </w:r>
      <w:r>
        <w:rPr>
          <w:sz w:val="20"/>
          <w:szCs w:val="20"/>
          <w:vertAlign w:val="superscript"/>
        </w:rPr>
        <w:t>2</w:t>
      </w:r>
      <w:r>
        <w:t> score error, also known as the determination coefficient, ranges from 0 to 1. It gives a clue on how well the trends of the model results is able to track the trends of actual data (</w:t>
      </w:r>
      <w:proofErr w:type="spellStart"/>
      <w:r>
        <w:t>Ağbulut</w:t>
      </w:r>
      <w:proofErr w:type="spellEnd"/>
      <w:r>
        <w:t xml:space="preserve"> et al. </w:t>
      </w:r>
      <w:hyperlink r:id="rId72" w:anchor="ref-CR5" w:tooltip="Ağbulut Ü, Gürel AE, Sarıdemir S (2021b) Experimental investigation and prediction of performance and emission responses of a CI engine fuelled with different metal-oxide based nanoparticles–diesel blends using different machine learning algorithms. Energy 215:119076" w:history="1">
        <w:r>
          <w:rPr>
            <w:rStyle w:val="Hyperlink"/>
            <w:rFonts w:eastAsiaTheme="majorEastAsia"/>
            <w:color w:val="004B83"/>
          </w:rPr>
          <w:t>2021b</w:t>
        </w:r>
      </w:hyperlink>
      <w:r>
        <w:t>). If the value is closer to 1, the model will be considered more accurate, so the more significant values is desirable.</w:t>
      </w:r>
    </w:p>
    <w:p w14:paraId="344BEE1C"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Explained variance score error</w:t>
      </w:r>
    </w:p>
    <w:p w14:paraId="5FFA6636" w14:textId="77777777" w:rsidR="003F0A22" w:rsidRDefault="003F0A22" w:rsidP="003F0A22">
      <w:pPr>
        <w:pStyle w:val="NormalWeb"/>
        <w:spacing w:before="0" w:beforeAutospacing="0" w:after="0" w:afterAutospacing="0"/>
      </w:pPr>
      <w:r>
        <w:t>The explained variance score error is calculated to measure the proportion of the variability of the predictions of the applied machine learning models. Variance measures how far observed values differ from the average of predicted values, i.e., their difference from the predicted value mean (Dos Santos et al. </w:t>
      </w:r>
      <w:hyperlink r:id="rId73" w:anchor="ref-CR15" w:tooltip="Dos Santos PR, De Souza LB, Lélis SP, Ribeiro HB, Borges FA, Silva RR, ... Rodrigues JJ (2021) Prediction of COVID-19 using time-sliding window: the case of Piauí state-Brazil. In: 2020 IEEE international conference on e-health networking, application &amp; services (HEALTHCOM). IEEE, pp 1–6" w:history="1">
        <w:r>
          <w:rPr>
            <w:rStyle w:val="Hyperlink"/>
            <w:rFonts w:eastAsiaTheme="majorEastAsia"/>
            <w:color w:val="004B83"/>
          </w:rPr>
          <w:t>2021</w:t>
        </w:r>
      </w:hyperlink>
      <w:r>
        <w:t>). It can be seen as indicated in Eq. (</w:t>
      </w:r>
      <w:hyperlink r:id="rId74" w:anchor="Equ10" w:history="1">
        <w:r>
          <w:rPr>
            <w:rStyle w:val="Hyperlink"/>
            <w:rFonts w:eastAsiaTheme="majorEastAsia"/>
            <w:color w:val="004B83"/>
          </w:rPr>
          <w:t>10</w:t>
        </w:r>
      </w:hyperlink>
      <w:r>
        <w:t>).</w:t>
      </w:r>
    </w:p>
    <w:p w14:paraId="24300EBE" w14:textId="77777777" w:rsidR="003F0A22" w:rsidRDefault="003F0A22" w:rsidP="003F0A22">
      <w:pPr>
        <w:textAlignment w:val="center"/>
      </w:pPr>
      <w:r>
        <w:rPr>
          <w:rStyle w:val="mi"/>
          <w:rFonts w:ascii="MathJax_Main" w:hAnsi="MathJax_Main"/>
          <w:sz w:val="29"/>
          <w:szCs w:val="29"/>
          <w:bdr w:val="none" w:sz="0" w:space="0" w:color="auto" w:frame="1"/>
        </w:rPr>
        <w:t>EVS</w:t>
      </w:r>
      <w:r>
        <w:rPr>
          <w:rStyle w:val="mo"/>
          <w:rFonts w:ascii="MathJax_Main" w:hAnsi="MathJax_Main"/>
          <w:sz w:val="29"/>
          <w:szCs w:val="29"/>
          <w:bdr w:val="none" w:sz="0" w:space="0" w:color="auto" w:frame="1"/>
        </w:rPr>
        <w:t>(</w:t>
      </w:r>
      <w:proofErr w:type="spellStart"/>
      <w:r>
        <w:rPr>
          <w:rStyle w:val="mi"/>
          <w:rFonts w:ascii="MathJax_Main" w:hAnsi="MathJax_Main"/>
          <w:sz w:val="29"/>
          <w:szCs w:val="29"/>
          <w:bdr w:val="none" w:sz="0" w:space="0" w:color="auto" w:frame="1"/>
        </w:rPr>
        <w:t>y</w:t>
      </w:r>
      <w:proofErr w:type="gramStart"/>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proofErr w:type="spellEnd"/>
      <w:proofErr w:type="gramEnd"/>
      <w:r>
        <w:rPr>
          <w:rStyle w:val="mo"/>
          <w:rFonts w:ascii="MathJax_Size1" w:hAnsi="MathJax_Size1"/>
          <w:sz w:val="29"/>
          <w:szCs w:val="29"/>
          <w:bdr w:val="none" w:sz="0" w:space="0" w:color="auto" w:frame="1"/>
        </w:rPr>
        <w:t>ˆ</w:t>
      </w:r>
      <w:r>
        <w:rPr>
          <w:rStyle w:val="mo"/>
          <w:rFonts w:ascii="MathJax_Main" w:hAnsi="MathJax_Main"/>
          <w:sz w:val="29"/>
          <w:szCs w:val="29"/>
          <w:bdr w:val="none" w:sz="0" w:space="0" w:color="auto" w:frame="1"/>
        </w:rPr>
        <w:t>)=</w:t>
      </w:r>
      <w:r>
        <w:rPr>
          <w:rStyle w:val="mn"/>
          <w:rFonts w:ascii="MathJax_Main" w:hAnsi="MathJax_Main"/>
          <w:sz w:val="29"/>
          <w:szCs w:val="29"/>
          <w:bdr w:val="none" w:sz="0" w:space="0" w:color="auto" w:frame="1"/>
        </w:rPr>
        <w:t>1</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var</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Size1" w:hAnsi="MathJax_Size1"/>
          <w:sz w:val="29"/>
          <w:szCs w:val="29"/>
          <w:bdr w:val="none" w:sz="0" w:space="0" w:color="auto" w:frame="1"/>
        </w:rPr>
        <w:t>ˆ</w:t>
      </w:r>
      <w:r>
        <w:rPr>
          <w:rStyle w:val="mo"/>
          <w:rFonts w:ascii="MathJax_Main" w:hAnsi="MathJax_Main"/>
          <w:sz w:val="29"/>
          <w:szCs w:val="29"/>
          <w:bdr w:val="none" w:sz="0" w:space="0" w:color="auto" w:frame="1"/>
        </w:rPr>
        <w:t>)</w:t>
      </w:r>
      <w:proofErr w:type="spellStart"/>
      <w:r>
        <w:rPr>
          <w:rStyle w:val="mi"/>
          <w:rFonts w:ascii="MathJax_Main" w:hAnsi="MathJax_Main"/>
          <w:sz w:val="29"/>
          <w:szCs w:val="29"/>
          <w:bdr w:val="none" w:sz="0" w:space="0" w:color="auto" w:frame="1"/>
        </w:rPr>
        <w:t>var</w:t>
      </w:r>
      <w:proofErr w:type="spellEnd"/>
      <w:r>
        <w:rPr>
          <w:rStyle w:val="mo"/>
          <w:rFonts w:ascii="MathJax_Main" w:hAnsi="MathJax_Main"/>
          <w:sz w:val="29"/>
          <w:szCs w:val="29"/>
          <w:bdr w:val="none" w:sz="0" w:space="0" w:color="auto" w:frame="1"/>
        </w:rPr>
        <w:t>(</w:t>
      </w:r>
      <w:r>
        <w:rPr>
          <w:rStyle w:val="mi"/>
          <w:rFonts w:ascii="MathJax_Main" w:hAnsi="MathJax_Main"/>
          <w:sz w:val="29"/>
          <w:szCs w:val="29"/>
          <w:bdr w:val="none" w:sz="0" w:space="0" w:color="auto" w:frame="1"/>
        </w:rPr>
        <w:t>y</w:t>
      </w:r>
      <w:r>
        <w:rPr>
          <w:rStyle w:val="mo"/>
          <w:rFonts w:ascii="MathJax_Main" w:hAnsi="MathJax_Main"/>
          <w:sz w:val="29"/>
          <w:szCs w:val="29"/>
          <w:bdr w:val="none" w:sz="0" w:space="0" w:color="auto" w:frame="1"/>
        </w:rPr>
        <w:t>)</w:t>
      </w:r>
      <w:r>
        <w:rPr>
          <w:rStyle w:val="mjxassistivemathml"/>
          <w:sz w:val="27"/>
          <w:szCs w:val="27"/>
          <w:bdr w:val="none" w:sz="0" w:space="0" w:color="auto" w:frame="1"/>
        </w:rPr>
        <w:t>EVS(</w:t>
      </w:r>
      <w:proofErr w:type="spellStart"/>
      <w:r>
        <w:rPr>
          <w:rStyle w:val="mjxassistivemathml"/>
          <w:sz w:val="27"/>
          <w:szCs w:val="27"/>
          <w:bdr w:val="none" w:sz="0" w:space="0" w:color="auto" w:frame="1"/>
        </w:rPr>
        <w:t>y,y</w:t>
      </w:r>
      <w:proofErr w:type="spellEnd"/>
      <w:r>
        <w:rPr>
          <w:rStyle w:val="mjxassistivemathml"/>
          <w:sz w:val="27"/>
          <w:szCs w:val="27"/>
          <w:bdr w:val="none" w:sz="0" w:space="0" w:color="auto" w:frame="1"/>
        </w:rPr>
        <w:t>^)=1−var</w:t>
      </w:r>
      <w:r>
        <w:rPr>
          <w:rStyle w:val="mjxassistivemathml"/>
          <w:rFonts w:ascii="Cambria Math" w:hAnsi="Cambria Math" w:cs="Cambria Math"/>
          <w:sz w:val="27"/>
          <w:szCs w:val="27"/>
          <w:bdr w:val="none" w:sz="0" w:space="0" w:color="auto" w:frame="1"/>
        </w:rPr>
        <w:t>⁡</w:t>
      </w:r>
      <w:r>
        <w:rPr>
          <w:rStyle w:val="mjxassistivemathml"/>
          <w:sz w:val="27"/>
          <w:szCs w:val="27"/>
          <w:bdr w:val="none" w:sz="0" w:space="0" w:color="auto" w:frame="1"/>
        </w:rPr>
        <w:t>(y</w:t>
      </w:r>
      <w:r>
        <w:rPr>
          <w:rStyle w:val="mjxassistivemathml"/>
          <w:rFonts w:ascii="Calibri" w:hAnsi="Calibri" w:cs="Calibri"/>
          <w:sz w:val="27"/>
          <w:szCs w:val="27"/>
          <w:bdr w:val="none" w:sz="0" w:space="0" w:color="auto" w:frame="1"/>
        </w:rPr>
        <w:t>−</w:t>
      </w:r>
      <w:r>
        <w:rPr>
          <w:rStyle w:val="mjxassistivemathml"/>
          <w:sz w:val="27"/>
          <w:szCs w:val="27"/>
          <w:bdr w:val="none" w:sz="0" w:space="0" w:color="auto" w:frame="1"/>
        </w:rPr>
        <w:t>y^)</w:t>
      </w:r>
      <w:proofErr w:type="spellStart"/>
      <w:r>
        <w:rPr>
          <w:rStyle w:val="mjxassistivemathml"/>
          <w:sz w:val="27"/>
          <w:szCs w:val="27"/>
          <w:bdr w:val="none" w:sz="0" w:space="0" w:color="auto" w:frame="1"/>
        </w:rPr>
        <w:t>var</w:t>
      </w:r>
      <w:proofErr w:type="spellEnd"/>
      <w:r>
        <w:rPr>
          <w:rStyle w:val="mjxassistivemathml"/>
          <w:rFonts w:ascii="Cambria Math" w:hAnsi="Cambria Math" w:cs="Cambria Math"/>
          <w:sz w:val="27"/>
          <w:szCs w:val="27"/>
          <w:bdr w:val="none" w:sz="0" w:space="0" w:color="auto" w:frame="1"/>
        </w:rPr>
        <w:t>⁡</w:t>
      </w:r>
      <w:r>
        <w:rPr>
          <w:rStyle w:val="mjxassistivemathml"/>
          <w:sz w:val="27"/>
          <w:szCs w:val="27"/>
          <w:bdr w:val="none" w:sz="0" w:space="0" w:color="auto" w:frame="1"/>
        </w:rPr>
        <w:t>(y)</w:t>
      </w:r>
    </w:p>
    <w:p w14:paraId="62B262CB" w14:textId="77777777" w:rsidR="003F0A22" w:rsidRDefault="003F0A22" w:rsidP="003F0A22">
      <w:pPr>
        <w:jc w:val="right"/>
        <w:textAlignment w:val="center"/>
        <w:rPr>
          <w:rFonts w:ascii="Segoe UI" w:hAnsi="Segoe UI" w:cs="Segoe UI"/>
        </w:rPr>
      </w:pPr>
      <w:r>
        <w:rPr>
          <w:rFonts w:ascii="Segoe UI" w:hAnsi="Segoe UI" w:cs="Segoe UI"/>
        </w:rPr>
        <w:t>(10)</w:t>
      </w:r>
    </w:p>
    <w:p w14:paraId="7084E26E" w14:textId="77777777" w:rsidR="003F0A22" w:rsidRDefault="003F0A22" w:rsidP="003F0A22">
      <w:pPr>
        <w:pStyle w:val="NormalWeb"/>
        <w:spacing w:before="0" w:beforeAutospacing="0" w:after="0" w:afterAutospacing="0"/>
      </w:pPr>
      <w:r>
        <w:t>It is a fundamental concept for the </w:t>
      </w:r>
      <w:r>
        <w:rPr>
          <w:i/>
          <w:iCs/>
        </w:rPr>
        <w:t>R</w:t>
      </w:r>
      <w:r>
        <w:rPr>
          <w:sz w:val="20"/>
          <w:szCs w:val="20"/>
          <w:vertAlign w:val="superscript"/>
        </w:rPr>
        <w:t>2</w:t>
      </w:r>
      <w:r>
        <w:t> score error; also, that model will be the best fit with the higher EVS value. It also ranges from 0 to 1(Good and Fletcher </w:t>
      </w:r>
      <w:hyperlink r:id="rId75" w:anchor="ref-CR19" w:tooltip="Good R, Fletcher HJ (1981) Reporting explained variance. J Res Sci Teach 18(1):1–7" w:history="1">
        <w:r>
          <w:rPr>
            <w:rStyle w:val="Hyperlink"/>
            <w:rFonts w:eastAsiaTheme="majorEastAsia"/>
            <w:color w:val="004B83"/>
          </w:rPr>
          <w:t>1981</w:t>
        </w:r>
      </w:hyperlink>
      <w:r>
        <w:t>).</w:t>
      </w:r>
    </w:p>
    <w:p w14:paraId="34EF8A40" w14:textId="77777777" w:rsidR="003F0A22" w:rsidRDefault="003F0A22" w:rsidP="003F0A22">
      <w:pPr>
        <w:pStyle w:val="Heading2"/>
        <w:pBdr>
          <w:bottom w:val="single" w:sz="12" w:space="6" w:color="D5D5D5"/>
        </w:pBdr>
        <w:spacing w:before="0"/>
        <w:rPr>
          <w:rFonts w:ascii="Georgia" w:hAnsi="Georgia"/>
        </w:rPr>
      </w:pPr>
      <w:r>
        <w:rPr>
          <w:rFonts w:ascii="Georgia" w:hAnsi="Georgia"/>
          <w:b/>
          <w:bCs/>
        </w:rPr>
        <w:t>Performance analysis</w:t>
      </w:r>
    </w:p>
    <w:p w14:paraId="64978F7E" w14:textId="77777777" w:rsidR="003F0A22" w:rsidRDefault="003F0A22" w:rsidP="003F0A22">
      <w:pPr>
        <w:pStyle w:val="NormalWeb"/>
        <w:spacing w:before="0" w:beforeAutospacing="0" w:after="360" w:afterAutospacing="0"/>
      </w:pPr>
      <w:r>
        <w:t xml:space="preserve">The performance of the proposed framework is analyzed by writing a program in a python 3.6 programming environment. We have also used </w:t>
      </w:r>
      <w:proofErr w:type="spellStart"/>
      <w:r>
        <w:t>Keras</w:t>
      </w:r>
      <w:proofErr w:type="spellEnd"/>
      <w:r>
        <w:t xml:space="preserve"> and Tensor flow libraries to implement the machine learning and deep learning-based models. The applied models for predictions are analyzed as follows.</w:t>
      </w:r>
    </w:p>
    <w:p w14:paraId="2568B13D"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lastRenderedPageBreak/>
        <w:t>Experiment: performance observation of the models</w:t>
      </w:r>
    </w:p>
    <w:p w14:paraId="3C642A2E" w14:textId="77777777" w:rsidR="003F0A22" w:rsidRDefault="003F0A22" w:rsidP="003F0A22">
      <w:pPr>
        <w:pStyle w:val="NormalWeb"/>
        <w:spacing w:before="0" w:beforeAutospacing="0" w:after="0" w:afterAutospacing="0"/>
      </w:pPr>
      <w:r>
        <w:t>We have applied the models on </w:t>
      </w:r>
      <w:r>
        <w:rPr>
          <w:i/>
          <w:iCs/>
        </w:rPr>
        <w:t>CO</w:t>
      </w:r>
      <w:r>
        <w:rPr>
          <w:sz w:val="20"/>
          <w:szCs w:val="20"/>
          <w:vertAlign w:val="subscript"/>
        </w:rPr>
        <w:t>2</w:t>
      </w:r>
      <w:r>
        <w:t> emission dataset, after splitting the dataset into training and test samples. Trained models are applied to the test dataset to observe the models’ performances. Table </w:t>
      </w:r>
      <w:hyperlink r:id="rId76" w:anchor="Tab2" w:history="1">
        <w:r>
          <w:rPr>
            <w:rStyle w:val="Hyperlink"/>
            <w:rFonts w:eastAsiaTheme="majorEastAsia"/>
            <w:color w:val="004B83"/>
          </w:rPr>
          <w:t>2</w:t>
        </w:r>
      </w:hyperlink>
      <w:r>
        <w:t> shows the performances of the applied models; here, in Table </w:t>
      </w:r>
      <w:hyperlink r:id="rId77" w:anchor="Tab2" w:history="1">
        <w:r>
          <w:rPr>
            <w:rStyle w:val="Hyperlink"/>
            <w:rFonts w:eastAsiaTheme="majorEastAsia"/>
            <w:color w:val="004B83"/>
          </w:rPr>
          <w:t>2</w:t>
        </w:r>
      </w:hyperlink>
      <w:r>
        <w:t>, we can see that the </w:t>
      </w:r>
      <w:r>
        <w:rPr>
          <w:i/>
          <w:iCs/>
        </w:rPr>
        <w:t>MSLE</w:t>
      </w:r>
      <w:r>
        <w:t> value for the ARIMA model is not available because it cannot be applied to a negative error value.</w:t>
      </w:r>
    </w:p>
    <w:p w14:paraId="69B30950" w14:textId="77777777" w:rsidR="003F0A22" w:rsidRDefault="003F0A22" w:rsidP="003F0A22">
      <w:r>
        <w:rPr>
          <w:b/>
          <w:bCs/>
        </w:rPr>
        <w:t>Table 2: The error rate of models on given </w:t>
      </w:r>
      <w:r>
        <w:rPr>
          <w:b/>
          <w:bCs/>
          <w:i/>
          <w:iCs/>
        </w:rPr>
        <w:t>CO</w:t>
      </w:r>
      <w:r>
        <w:rPr>
          <w:b/>
          <w:bCs/>
          <w:sz w:val="20"/>
          <w:szCs w:val="20"/>
          <w:vertAlign w:val="subscript"/>
        </w:rPr>
        <w:t>2</w:t>
      </w:r>
      <w:r>
        <w:rPr>
          <w:b/>
          <w:bCs/>
        </w:rPr>
        <w:t> emission dataset</w:t>
      </w:r>
    </w:p>
    <w:p w14:paraId="147943C4" w14:textId="77777777" w:rsidR="003F0A22" w:rsidRDefault="003F0A22" w:rsidP="003F0A22">
      <w:pPr>
        <w:jc w:val="right"/>
      </w:pPr>
      <w:hyperlink r:id="rId78" w:history="1">
        <w:r>
          <w:rPr>
            <w:rStyle w:val="Hyperlink"/>
            <w:rFonts w:ascii="Segoe UI" w:hAnsi="Segoe UI" w:cs="Segoe UI"/>
            <w:b/>
            <w:bCs/>
            <w:color w:val="004B83"/>
            <w:bdr w:val="single" w:sz="24" w:space="6" w:color="BCD2DC" w:frame="1"/>
            <w:shd w:val="clear" w:color="auto" w:fill="FFFFFF"/>
          </w:rPr>
          <w:t>Full size table</w:t>
        </w:r>
      </w:hyperlink>
    </w:p>
    <w:p w14:paraId="0B2979CB" w14:textId="77777777" w:rsidR="003F0A22" w:rsidRDefault="003F0A22" w:rsidP="003F0A22">
      <w:pPr>
        <w:pStyle w:val="NormalWeb"/>
        <w:spacing w:before="0" w:beforeAutospacing="0" w:after="0" w:afterAutospacing="0"/>
      </w:pPr>
      <w:r>
        <w:t>Furthermore, we have also plotted the bar graph of the applied models to observe the relative performances, as shown in Fig. </w:t>
      </w:r>
      <w:hyperlink r:id="rId79" w:anchor="Fig3" w:history="1">
        <w:r>
          <w:rPr>
            <w:rStyle w:val="Hyperlink"/>
            <w:rFonts w:eastAsiaTheme="majorEastAsia"/>
            <w:color w:val="004B83"/>
          </w:rPr>
          <w:t>3</w:t>
        </w:r>
      </w:hyperlink>
      <w:r>
        <w:t>. Observations from Fig. </w:t>
      </w:r>
      <w:hyperlink r:id="rId80" w:anchor="Fig3" w:history="1">
        <w:r>
          <w:rPr>
            <w:rStyle w:val="Hyperlink"/>
            <w:rFonts w:eastAsiaTheme="majorEastAsia"/>
            <w:color w:val="004B83"/>
          </w:rPr>
          <w:t>3(a)</w:t>
        </w:r>
      </w:hyperlink>
      <w:r>
        <w:t>, </w:t>
      </w:r>
      <w:hyperlink r:id="rId81" w:anchor="Fig3" w:history="1">
        <w:r>
          <w:rPr>
            <w:rStyle w:val="Hyperlink"/>
            <w:rFonts w:eastAsiaTheme="majorEastAsia"/>
            <w:color w:val="004B83"/>
          </w:rPr>
          <w:t>3(b)</w:t>
        </w:r>
      </w:hyperlink>
      <w:r>
        <w:t>, and </w:t>
      </w:r>
      <w:hyperlink r:id="rId82" w:anchor="Fig3" w:history="1">
        <w:r>
          <w:rPr>
            <w:rStyle w:val="Hyperlink"/>
            <w:rFonts w:eastAsiaTheme="majorEastAsia"/>
            <w:color w:val="004B83"/>
          </w:rPr>
          <w:t>3(f)</w:t>
        </w:r>
      </w:hyperlink>
      <w:r>
        <w:t>, it can be seen that LSTM, SARIMAX, and Holt-Winters models have the lowest </w:t>
      </w:r>
      <w:r>
        <w:rPr>
          <w:i/>
          <w:iCs/>
        </w:rPr>
        <w:t>MSE</w:t>
      </w:r>
      <w:r>
        <w:t>, </w:t>
      </w:r>
      <w:r>
        <w:rPr>
          <w:i/>
          <w:iCs/>
        </w:rPr>
        <w:t>RMSE</w:t>
      </w:r>
      <w:r>
        <w:t>, and </w:t>
      </w:r>
      <w:r>
        <w:rPr>
          <w:i/>
          <w:iCs/>
        </w:rPr>
        <w:t>MAE</w:t>
      </w:r>
      <w:r>
        <w:t> values in comparison to other models.</w:t>
      </w:r>
    </w:p>
    <w:p w14:paraId="51320E14" w14:textId="77777777" w:rsidR="003F0A22" w:rsidRDefault="003F0A22" w:rsidP="003F0A22">
      <w:r>
        <w:rPr>
          <w:b/>
          <w:bCs/>
        </w:rPr>
        <w:t>Fig. 3</w:t>
      </w:r>
    </w:p>
    <w:p w14:paraId="0852EAFD" w14:textId="77A5FB2E" w:rsidR="003F0A22" w:rsidRDefault="003F0A22" w:rsidP="003F0A22">
      <w:r>
        <w:rPr>
          <w:noProof/>
          <w:color w:val="004B83"/>
        </w:rPr>
        <w:drawing>
          <wp:inline distT="0" distB="0" distL="0" distR="0" wp14:anchorId="5EA2C9A1" wp14:editId="34C7FF9D">
            <wp:extent cx="6524625" cy="5067300"/>
            <wp:effectExtent l="0" t="0" r="9525" b="0"/>
            <wp:docPr id="10" name="Picture 10" descr="figure 3">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ure 3">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524625" cy="5067300"/>
                    </a:xfrm>
                    <a:prstGeom prst="rect">
                      <a:avLst/>
                    </a:prstGeom>
                    <a:noFill/>
                    <a:ln>
                      <a:noFill/>
                    </a:ln>
                  </pic:spPr>
                </pic:pic>
              </a:graphicData>
            </a:graphic>
          </wp:inline>
        </w:drawing>
      </w:r>
    </w:p>
    <w:p w14:paraId="700D9797" w14:textId="77777777" w:rsidR="003F0A22" w:rsidRDefault="003F0A22" w:rsidP="003F0A22">
      <w:pPr>
        <w:pStyle w:val="NormalWeb"/>
        <w:spacing w:before="0" w:beforeAutospacing="0" w:after="360" w:afterAutospacing="0"/>
        <w:rPr>
          <w:rFonts w:ascii="Georgia" w:hAnsi="Georgia"/>
        </w:rPr>
      </w:pPr>
      <w:r>
        <w:rPr>
          <w:rFonts w:ascii="Georgia" w:hAnsi="Georgia"/>
        </w:rPr>
        <w:lastRenderedPageBreak/>
        <w:t>Comparative error plot w.r.t. models</w:t>
      </w:r>
    </w:p>
    <w:p w14:paraId="547D7816" w14:textId="77777777" w:rsidR="003F0A22" w:rsidRDefault="003F0A22" w:rsidP="003F0A22">
      <w:pPr>
        <w:jc w:val="right"/>
        <w:rPr>
          <w:rFonts w:ascii="Times New Roman" w:hAnsi="Times New Roman"/>
        </w:rPr>
      </w:pPr>
      <w:hyperlink r:id="rId85" w:history="1">
        <w:r>
          <w:rPr>
            <w:rStyle w:val="Hyperlink"/>
            <w:rFonts w:ascii="Segoe UI" w:hAnsi="Segoe UI" w:cs="Segoe UI"/>
            <w:b/>
            <w:bCs/>
            <w:color w:val="004B83"/>
            <w:bdr w:val="single" w:sz="24" w:space="6" w:color="BCD2DC" w:frame="1"/>
            <w:shd w:val="clear" w:color="auto" w:fill="FFFFFF"/>
          </w:rPr>
          <w:t>Full size image</w:t>
        </w:r>
      </w:hyperlink>
    </w:p>
    <w:p w14:paraId="6C74C41F" w14:textId="77777777" w:rsidR="003F0A22" w:rsidRDefault="003F0A22" w:rsidP="003F0A22">
      <w:pPr>
        <w:pStyle w:val="NormalWeb"/>
        <w:spacing w:before="0" w:beforeAutospacing="0" w:after="0" w:afterAutospacing="0"/>
      </w:pPr>
      <w:r>
        <w:t>Similarly, they have lower </w:t>
      </w:r>
      <w:r>
        <w:rPr>
          <w:i/>
          <w:iCs/>
        </w:rPr>
        <w:t>MAPE</w:t>
      </w:r>
      <w:r>
        <w:t> and max error values in decreasing order of w.r.t. models SARIMAX, Hot-Winter, and LSTM.</w:t>
      </w:r>
    </w:p>
    <w:p w14:paraId="5694DB30" w14:textId="77777777" w:rsidR="003F0A22" w:rsidRDefault="003F0A22" w:rsidP="003F0A22">
      <w:pPr>
        <w:pStyle w:val="NormalWeb"/>
        <w:spacing w:before="0" w:beforeAutospacing="0" w:after="0" w:afterAutospacing="0"/>
      </w:pPr>
      <w:r>
        <w:t>Observations from Fig. </w:t>
      </w:r>
      <w:hyperlink r:id="rId86" w:anchor="Fig3" w:history="1">
        <w:r>
          <w:rPr>
            <w:rStyle w:val="Hyperlink"/>
            <w:rFonts w:eastAsiaTheme="majorEastAsia"/>
            <w:color w:val="004B83"/>
          </w:rPr>
          <w:t>3(d)</w:t>
        </w:r>
      </w:hyperlink>
      <w:r>
        <w:t>, SARIMAX and LSTM have the lowest </w:t>
      </w:r>
      <w:r>
        <w:rPr>
          <w:i/>
          <w:iCs/>
        </w:rPr>
        <w:t>MAE</w:t>
      </w:r>
      <w:r>
        <w:t> values. Similarly, when we look at the </w:t>
      </w:r>
      <w:r>
        <w:rPr>
          <w:i/>
          <w:iCs/>
        </w:rPr>
        <w:t>R</w:t>
      </w:r>
      <w:r>
        <w:rPr>
          <w:sz w:val="20"/>
          <w:szCs w:val="20"/>
          <w:vertAlign w:val="superscript"/>
        </w:rPr>
        <w:t>2</w:t>
      </w:r>
      <w:r>
        <w:t> score error and EVS error in Fig. </w:t>
      </w:r>
      <w:hyperlink r:id="rId87" w:anchor="Fig3" w:history="1">
        <w:r>
          <w:rPr>
            <w:rStyle w:val="Hyperlink"/>
            <w:rFonts w:eastAsiaTheme="majorEastAsia"/>
            <w:color w:val="004B83"/>
          </w:rPr>
          <w:t>3(g) and (</w:t>
        </w:r>
        <w:proofErr w:type="spellStart"/>
        <w:r>
          <w:rPr>
            <w:rStyle w:val="Hyperlink"/>
            <w:rFonts w:eastAsiaTheme="majorEastAsia"/>
            <w:color w:val="004B83"/>
          </w:rPr>
          <w:t>i</w:t>
        </w:r>
        <w:proofErr w:type="spellEnd"/>
        <w:r>
          <w:rPr>
            <w:rStyle w:val="Hyperlink"/>
            <w:rFonts w:eastAsiaTheme="majorEastAsia"/>
            <w:color w:val="004B83"/>
          </w:rPr>
          <w:t>)</w:t>
        </w:r>
      </w:hyperlink>
      <w:r>
        <w:t>, the models Holt-Winters, linear regression, and SARIMAX have the least error value in increasing order. Last, we have the remaining </w:t>
      </w:r>
      <w:r>
        <w:rPr>
          <w:i/>
          <w:iCs/>
        </w:rPr>
        <w:t>MSLE</w:t>
      </w:r>
      <w:r>
        <w:t> referring to Fig. </w:t>
      </w:r>
      <w:hyperlink r:id="rId88" w:anchor="Fig3" w:history="1">
        <w:r>
          <w:rPr>
            <w:rStyle w:val="Hyperlink"/>
            <w:rFonts w:eastAsiaTheme="majorEastAsia"/>
            <w:color w:val="004B83"/>
          </w:rPr>
          <w:t>3(c)</w:t>
        </w:r>
      </w:hyperlink>
      <w:r>
        <w:t> LSTM, Holt-Winters, and linear regression with the least error value in ascending order. Also, ARIMA is not participating in it negative predictions, which </w:t>
      </w:r>
      <w:r>
        <w:rPr>
          <w:i/>
          <w:iCs/>
        </w:rPr>
        <w:t>MSLE</w:t>
      </w:r>
      <w:r>
        <w:t> cannot handle.</w:t>
      </w:r>
    </w:p>
    <w:p w14:paraId="27A99914" w14:textId="77777777" w:rsidR="003F0A22" w:rsidRDefault="003F0A22" w:rsidP="003F0A22">
      <w:pPr>
        <w:pStyle w:val="NormalWeb"/>
        <w:spacing w:before="0" w:beforeAutospacing="0" w:after="0" w:afterAutospacing="0"/>
      </w:pPr>
      <w:r>
        <w:t>Overall observation from Fig. </w:t>
      </w:r>
      <w:hyperlink r:id="rId89" w:anchor="Fig3" w:history="1">
        <w:r>
          <w:rPr>
            <w:rStyle w:val="Hyperlink"/>
            <w:rFonts w:eastAsiaTheme="majorEastAsia"/>
            <w:color w:val="004B83"/>
          </w:rPr>
          <w:t>3</w:t>
        </w:r>
      </w:hyperlink>
      <w:r>
        <w:t> shows that LSTM, SARIMAX, and Hot-Winter are better performing models for time series forecasting data.</w:t>
      </w:r>
    </w:p>
    <w:p w14:paraId="30626989" w14:textId="77777777" w:rsidR="003F0A22" w:rsidRDefault="003F0A22" w:rsidP="003F0A22">
      <w:pPr>
        <w:pStyle w:val="NormalWeb"/>
        <w:spacing w:before="0" w:beforeAutospacing="0" w:after="0" w:afterAutospacing="0"/>
      </w:pPr>
      <w:r>
        <w:t>These three models can be applied for effective </w:t>
      </w:r>
      <w:r>
        <w:rPr>
          <w:i/>
          <w:iCs/>
        </w:rPr>
        <w:t>CO</w:t>
      </w:r>
      <w:r>
        <w:rPr>
          <w:sz w:val="20"/>
          <w:szCs w:val="20"/>
          <w:vertAlign w:val="subscript"/>
        </w:rPr>
        <w:t>2</w:t>
      </w:r>
      <w:r>
        <w:t> emission predictions. When looking at all nine performance metric values, we can say that LSTM is one of the best-performing models.</w:t>
      </w:r>
    </w:p>
    <w:p w14:paraId="4A777B5E" w14:textId="77777777" w:rsidR="003F0A22" w:rsidRDefault="003F0A22" w:rsidP="003F0A22">
      <w:pPr>
        <w:pStyle w:val="Heading3"/>
        <w:spacing w:before="0"/>
        <w:rPr>
          <w:rFonts w:ascii="Segoe UI" w:hAnsi="Segoe UI" w:cs="Segoe UI"/>
          <w:color w:val="222222"/>
        </w:rPr>
      </w:pPr>
      <w:r>
        <w:rPr>
          <w:rFonts w:ascii="Segoe UI" w:hAnsi="Segoe UI" w:cs="Segoe UI"/>
          <w:b/>
          <w:bCs/>
          <w:color w:val="222222"/>
        </w:rPr>
        <w:t>Experiment: 10 years forecasting of CO</w:t>
      </w:r>
      <w:r>
        <w:rPr>
          <w:rFonts w:ascii="Segoe UI" w:hAnsi="Segoe UI" w:cs="Segoe UI"/>
          <w:b/>
          <w:bCs/>
          <w:color w:val="222222"/>
          <w:vertAlign w:val="subscript"/>
        </w:rPr>
        <w:t>2</w:t>
      </w:r>
      <w:r>
        <w:rPr>
          <w:rFonts w:ascii="Segoe UI" w:hAnsi="Segoe UI" w:cs="Segoe UI"/>
          <w:b/>
          <w:bCs/>
          <w:color w:val="222222"/>
        </w:rPr>
        <w:t> emissions</w:t>
      </w:r>
    </w:p>
    <w:p w14:paraId="64C4B3BE" w14:textId="77777777" w:rsidR="003F0A22" w:rsidRDefault="003F0A22" w:rsidP="003F0A22">
      <w:pPr>
        <w:pStyle w:val="NormalWeb"/>
        <w:spacing w:before="0" w:beforeAutospacing="0" w:after="0" w:afterAutospacing="0"/>
      </w:pPr>
      <w:r>
        <w:t>In this section of the experiment, we have applied the models to forecast the </w:t>
      </w:r>
      <w:r>
        <w:rPr>
          <w:i/>
          <w:iCs/>
        </w:rPr>
        <w:t>CO</w:t>
      </w:r>
      <w:r>
        <w:rPr>
          <w:sz w:val="20"/>
          <w:szCs w:val="20"/>
          <w:vertAlign w:val="subscript"/>
        </w:rPr>
        <w:t>2</w:t>
      </w:r>
      <w:r>
        <w:t> emissions for the next 10 years i.e. from 2020 to 2030. Table </w:t>
      </w:r>
      <w:hyperlink r:id="rId90" w:anchor="Tab3" w:history="1">
        <w:r>
          <w:rPr>
            <w:rStyle w:val="Hyperlink"/>
            <w:rFonts w:eastAsiaTheme="majorEastAsia"/>
            <w:color w:val="004B83"/>
          </w:rPr>
          <w:t>3</w:t>
        </w:r>
      </w:hyperlink>
      <w:r>
        <w:t> shows the summarized results of the forecasted values of the models.</w:t>
      </w:r>
    </w:p>
    <w:p w14:paraId="69305DC2" w14:textId="77777777" w:rsidR="003F0A22" w:rsidRDefault="003F0A22" w:rsidP="003F0A22">
      <w:r>
        <w:rPr>
          <w:b/>
          <w:bCs/>
        </w:rPr>
        <w:t>Table 3 10 years forecast of all model</w:t>
      </w:r>
    </w:p>
    <w:p w14:paraId="7F89BE3A" w14:textId="77777777" w:rsidR="003F0A22" w:rsidRDefault="003F0A22" w:rsidP="003F0A22">
      <w:pPr>
        <w:jc w:val="right"/>
      </w:pPr>
      <w:hyperlink r:id="rId91" w:history="1">
        <w:r>
          <w:rPr>
            <w:rStyle w:val="Hyperlink"/>
            <w:rFonts w:ascii="Segoe UI" w:hAnsi="Segoe UI" w:cs="Segoe UI"/>
            <w:b/>
            <w:bCs/>
            <w:color w:val="004B83"/>
            <w:bdr w:val="single" w:sz="24" w:space="6" w:color="BCD2DC" w:frame="1"/>
            <w:shd w:val="clear" w:color="auto" w:fill="FFFFFF"/>
          </w:rPr>
          <w:t>Full size table</w:t>
        </w:r>
      </w:hyperlink>
    </w:p>
    <w:p w14:paraId="6253C6B5" w14:textId="77777777" w:rsidR="003F0A22" w:rsidRDefault="003F0A22" w:rsidP="003F0A22">
      <w:pPr>
        <w:pStyle w:val="NormalWeb"/>
        <w:spacing w:before="0" w:beforeAutospacing="0" w:after="0" w:afterAutospacing="0"/>
      </w:pPr>
      <w:r>
        <w:t>In this section, we have plotted the graph for the actual </w:t>
      </w:r>
      <w:r>
        <w:rPr>
          <w:i/>
          <w:iCs/>
        </w:rPr>
        <w:t>CO</w:t>
      </w:r>
      <w:r>
        <w:rPr>
          <w:sz w:val="20"/>
          <w:szCs w:val="20"/>
          <w:vertAlign w:val="subscript"/>
        </w:rPr>
        <w:t>2</w:t>
      </w:r>
      <w:r>
        <w:t> emissions for the entire dataset and predicted the values from 2010 to 2019 by applying the models as mentioned earlier. Furthermore, we have forecasted the values from 2020 to 2030.</w:t>
      </w:r>
    </w:p>
    <w:p w14:paraId="42FAEF89"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ARIMA’s forecasting</w:t>
      </w:r>
    </w:p>
    <w:p w14:paraId="2FC4362F" w14:textId="77777777" w:rsidR="003F0A22" w:rsidRDefault="003F0A22" w:rsidP="003F0A22">
      <w:pPr>
        <w:pStyle w:val="NormalWeb"/>
        <w:spacing w:before="0" w:beforeAutospacing="0" w:after="0" w:afterAutospacing="0"/>
      </w:pPr>
      <w:r>
        <w:t>From Fig. </w:t>
      </w:r>
      <w:hyperlink r:id="rId92" w:anchor="Fig4" w:history="1">
        <w:r>
          <w:rPr>
            <w:rStyle w:val="Hyperlink"/>
            <w:rFonts w:eastAsiaTheme="majorEastAsia"/>
            <w:color w:val="004B83"/>
          </w:rPr>
          <w:t>4</w:t>
        </w:r>
      </w:hyperlink>
      <w:r>
        <w:t>, it can be observed that ARIMA’s predicted values are too far from the actual </w:t>
      </w:r>
      <w:r>
        <w:rPr>
          <w:i/>
          <w:iCs/>
        </w:rPr>
        <w:t>CO</w:t>
      </w:r>
      <w:r>
        <w:rPr>
          <w:sz w:val="20"/>
          <w:szCs w:val="20"/>
          <w:vertAlign w:val="subscript"/>
        </w:rPr>
        <w:t>2</w:t>
      </w:r>
      <w:r>
        <w:t> emissions. Our experiment tested the dataset we have for prediction with an increasing trend only, which means non-</w:t>
      </w:r>
      <w:proofErr w:type="spellStart"/>
      <w:r>
        <w:t>stationay</w:t>
      </w:r>
      <w:proofErr w:type="spellEnd"/>
      <w:r>
        <w:t xml:space="preserve"> in nature, also tested by ADF test (</w:t>
      </w:r>
      <w:proofErr w:type="spellStart"/>
      <w:r>
        <w:t>Ajewole</w:t>
      </w:r>
      <w:proofErr w:type="spellEnd"/>
      <w:r>
        <w:t xml:space="preserve"> et al. </w:t>
      </w:r>
      <w:hyperlink r:id="rId93" w:anchor="ref-CR8" w:tooltip="Ajewole KP, Adejuwon SO, Jemilohun VG (2020) Test for stationarity on inflation rates in Nigeria using augmented dickey fuller test and Phillips-persons test. J Undergrad Math 16:11–14" w:history="1">
        <w:r>
          <w:rPr>
            <w:rStyle w:val="Hyperlink"/>
            <w:rFonts w:eastAsiaTheme="majorEastAsia"/>
            <w:color w:val="004B83"/>
          </w:rPr>
          <w:t>2020</w:t>
        </w:r>
      </w:hyperlink>
      <w:r>
        <w:t xml:space="preserve">). ARIMA model work on stationary data, so we have to convert data into stationary one. In the conversion process, we shifted the data and differentiated it, which caused the loss of information. This reason makes the model to give an inaccurate result. Here, in our experiment, we used </w:t>
      </w:r>
      <w:proofErr w:type="spellStart"/>
      <w:r>
        <w:t>Arima</w:t>
      </w:r>
      <w:proofErr w:type="spellEnd"/>
      <w:r>
        <w:t xml:space="preserve"> (1</w:t>
      </w:r>
      <w:proofErr w:type="gramStart"/>
      <w:r>
        <w:t>,2,1</w:t>
      </w:r>
      <w:proofErr w:type="gramEnd"/>
      <w:r>
        <w:t>) for prediction. From Table </w:t>
      </w:r>
      <w:hyperlink r:id="rId94" w:anchor="Tab2" w:history="1">
        <w:r>
          <w:rPr>
            <w:rStyle w:val="Hyperlink"/>
            <w:rFonts w:eastAsiaTheme="majorEastAsia"/>
            <w:color w:val="004B83"/>
          </w:rPr>
          <w:t>2</w:t>
        </w:r>
      </w:hyperlink>
      <w:r>
        <w:t>, it can be seen that the ARIMA model has a </w:t>
      </w:r>
      <w:r>
        <w:rPr>
          <w:i/>
          <w:iCs/>
        </w:rPr>
        <w:t>MAPE</w:t>
      </w:r>
      <w:r>
        <w:t> value of 98.969%, which is inaccurate. Therefore, we can conclude that forecasting for 2020 to 2030 will not be appropriate.</w:t>
      </w:r>
    </w:p>
    <w:p w14:paraId="155F73A1" w14:textId="77777777" w:rsidR="003F0A22" w:rsidRDefault="003F0A22" w:rsidP="003F0A22">
      <w:r>
        <w:rPr>
          <w:b/>
          <w:bCs/>
        </w:rPr>
        <w:t>Fig. 4</w:t>
      </w:r>
    </w:p>
    <w:p w14:paraId="09E3B711" w14:textId="407FD93B" w:rsidR="003F0A22" w:rsidRDefault="003F0A22" w:rsidP="003F0A22">
      <w:bookmarkStart w:id="0" w:name="_GoBack"/>
      <w:bookmarkEnd w:id="0"/>
      <w:r>
        <w:rPr>
          <w:noProof/>
          <w:color w:val="004B83"/>
        </w:rPr>
        <w:lastRenderedPageBreak/>
        <w:drawing>
          <wp:inline distT="0" distB="0" distL="0" distR="0" wp14:anchorId="261E0FD0" wp14:editId="481AA02E">
            <wp:extent cx="6524625" cy="4171950"/>
            <wp:effectExtent l="0" t="0" r="9525" b="0"/>
            <wp:docPr id="9" name="Picture 9" descr="figure 4">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ure 4">
                      <a:hlinkClick r:id="rId95"/>
                    </pic:cNvPr>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524625" cy="4171950"/>
                    </a:xfrm>
                    <a:prstGeom prst="rect">
                      <a:avLst/>
                    </a:prstGeom>
                    <a:noFill/>
                    <a:ln>
                      <a:noFill/>
                    </a:ln>
                  </pic:spPr>
                </pic:pic>
              </a:graphicData>
            </a:graphic>
          </wp:inline>
        </w:drawing>
      </w:r>
    </w:p>
    <w:p w14:paraId="7FF2B6E7" w14:textId="77777777" w:rsidR="003F0A22" w:rsidRDefault="003F0A22" w:rsidP="003F0A22">
      <w:pPr>
        <w:pStyle w:val="NormalWeb"/>
        <w:spacing w:before="0" w:beforeAutospacing="0" w:after="0" w:afterAutospacing="0"/>
        <w:rPr>
          <w:rFonts w:ascii="Georgia" w:hAnsi="Georgia"/>
        </w:rPr>
      </w:pPr>
      <w:r>
        <w:rPr>
          <w:rFonts w:ascii="Georgia" w:hAnsi="Georgia"/>
        </w:rPr>
        <w:t>ARIMA forecasting vs. actual </w:t>
      </w:r>
      <w:r>
        <w:rPr>
          <w:rFonts w:ascii="Georgia" w:hAnsi="Georgia"/>
          <w:i/>
          <w:iCs/>
        </w:rPr>
        <w:t>CO</w:t>
      </w:r>
      <w:r>
        <w:rPr>
          <w:rFonts w:ascii="Georgia" w:hAnsi="Georgia"/>
          <w:sz w:val="18"/>
          <w:szCs w:val="18"/>
          <w:vertAlign w:val="subscript"/>
        </w:rPr>
        <w:t>2</w:t>
      </w:r>
      <w:r>
        <w:rPr>
          <w:rFonts w:ascii="Georgia" w:hAnsi="Georgia"/>
        </w:rPr>
        <w:t> emission</w:t>
      </w:r>
    </w:p>
    <w:p w14:paraId="1D5FB0CF" w14:textId="77777777" w:rsidR="003F0A22" w:rsidRDefault="003F0A22" w:rsidP="003F0A22">
      <w:pPr>
        <w:jc w:val="right"/>
        <w:rPr>
          <w:rFonts w:ascii="Times New Roman" w:hAnsi="Times New Roman"/>
        </w:rPr>
      </w:pPr>
      <w:hyperlink r:id="rId97" w:history="1">
        <w:r>
          <w:rPr>
            <w:rStyle w:val="Hyperlink"/>
            <w:rFonts w:ascii="Segoe UI" w:hAnsi="Segoe UI" w:cs="Segoe UI"/>
            <w:b/>
            <w:bCs/>
            <w:color w:val="004B83"/>
            <w:bdr w:val="single" w:sz="24" w:space="6" w:color="BCD2DC" w:frame="1"/>
            <w:shd w:val="clear" w:color="auto" w:fill="FFFFFF"/>
          </w:rPr>
          <w:t>Full size image</w:t>
        </w:r>
      </w:hyperlink>
    </w:p>
    <w:p w14:paraId="7B0EB675"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SARIMAX forecasting</w:t>
      </w:r>
    </w:p>
    <w:p w14:paraId="7E7AAEB8" w14:textId="77777777" w:rsidR="003F0A22" w:rsidRDefault="003F0A22" w:rsidP="003F0A22">
      <w:pPr>
        <w:pStyle w:val="NormalWeb"/>
        <w:spacing w:before="0" w:beforeAutospacing="0" w:after="0" w:afterAutospacing="0"/>
      </w:pPr>
      <w:r>
        <w:t>SARIMAX forecasting is almost in the same pattern as the actual </w:t>
      </w:r>
      <w:r>
        <w:rPr>
          <w:i/>
          <w:iCs/>
        </w:rPr>
        <w:t>CO</w:t>
      </w:r>
      <w:r>
        <w:rPr>
          <w:sz w:val="20"/>
          <w:szCs w:val="20"/>
          <w:vertAlign w:val="subscript"/>
        </w:rPr>
        <w:t>2</w:t>
      </w:r>
      <w:r>
        <w:t> emission can be seen from Fig. </w:t>
      </w:r>
      <w:hyperlink r:id="rId98" w:anchor="Fig5" w:history="1">
        <w:r>
          <w:rPr>
            <w:rStyle w:val="Hyperlink"/>
            <w:rFonts w:eastAsiaTheme="majorEastAsia"/>
            <w:color w:val="004B83"/>
          </w:rPr>
          <w:t>5</w:t>
        </w:r>
      </w:hyperlink>
      <w:r>
        <w:t>. It can be used as one of the appropriate models for forecasting the </w:t>
      </w:r>
      <w:r>
        <w:rPr>
          <w:i/>
          <w:iCs/>
        </w:rPr>
        <w:t>CO</w:t>
      </w:r>
      <w:r>
        <w:rPr>
          <w:sz w:val="20"/>
          <w:szCs w:val="20"/>
          <w:vertAlign w:val="subscript"/>
        </w:rPr>
        <w:t>2</w:t>
      </w:r>
      <w:r>
        <w:t> emission. This better performance because it can capture the information from its seasonality. It also takes care of exogenous factors in model training and makes a good prediction.</w:t>
      </w:r>
    </w:p>
    <w:p w14:paraId="438DD1BD" w14:textId="77777777" w:rsidR="003F0A22" w:rsidRDefault="003F0A22" w:rsidP="003F0A22">
      <w:r>
        <w:rPr>
          <w:b/>
          <w:bCs/>
        </w:rPr>
        <w:t>Fig. 5</w:t>
      </w:r>
    </w:p>
    <w:p w14:paraId="32B4141B" w14:textId="1D68409F" w:rsidR="003F0A22" w:rsidRDefault="003F0A22" w:rsidP="003F0A22">
      <w:r>
        <w:rPr>
          <w:noProof/>
          <w:color w:val="004B83"/>
        </w:rPr>
        <w:lastRenderedPageBreak/>
        <w:drawing>
          <wp:inline distT="0" distB="0" distL="0" distR="0" wp14:anchorId="6A516EBC" wp14:editId="0572BA78">
            <wp:extent cx="6524625" cy="4210050"/>
            <wp:effectExtent l="0" t="0" r="9525" b="0"/>
            <wp:docPr id="8" name="Picture 8" descr="figure 5">
              <a:hlinkClick xmlns:a="http://schemas.openxmlformats.org/drawingml/2006/main" r:id="rId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gure 5">
                      <a:hlinkClick r:id="rId99"/>
                    </pic:cNvPr>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524625" cy="4210050"/>
                    </a:xfrm>
                    <a:prstGeom prst="rect">
                      <a:avLst/>
                    </a:prstGeom>
                    <a:noFill/>
                    <a:ln>
                      <a:noFill/>
                    </a:ln>
                  </pic:spPr>
                </pic:pic>
              </a:graphicData>
            </a:graphic>
          </wp:inline>
        </w:drawing>
      </w:r>
    </w:p>
    <w:p w14:paraId="41741E7C" w14:textId="77777777" w:rsidR="003F0A22" w:rsidRDefault="003F0A22" w:rsidP="003F0A22">
      <w:pPr>
        <w:pStyle w:val="NormalWeb"/>
        <w:spacing w:before="0" w:beforeAutospacing="0" w:after="0" w:afterAutospacing="0"/>
        <w:rPr>
          <w:rFonts w:ascii="Georgia" w:hAnsi="Georgia"/>
        </w:rPr>
      </w:pPr>
      <w:r>
        <w:rPr>
          <w:rFonts w:ascii="Georgia" w:hAnsi="Georgia"/>
        </w:rPr>
        <w:t>SARIMAX forecasting vs. actual </w:t>
      </w:r>
      <w:r>
        <w:rPr>
          <w:rFonts w:ascii="Georgia" w:hAnsi="Georgia"/>
          <w:i/>
          <w:iCs/>
        </w:rPr>
        <w:t>CO</w:t>
      </w:r>
      <w:r>
        <w:rPr>
          <w:rFonts w:ascii="Georgia" w:hAnsi="Georgia"/>
          <w:sz w:val="18"/>
          <w:szCs w:val="18"/>
          <w:vertAlign w:val="subscript"/>
        </w:rPr>
        <w:t>2</w:t>
      </w:r>
      <w:r>
        <w:rPr>
          <w:rFonts w:ascii="Georgia" w:hAnsi="Georgia"/>
        </w:rPr>
        <w:t> emission</w:t>
      </w:r>
    </w:p>
    <w:p w14:paraId="1EC24A40" w14:textId="77777777" w:rsidR="003F0A22" w:rsidRDefault="003F0A22" w:rsidP="003F0A22">
      <w:pPr>
        <w:jc w:val="right"/>
        <w:rPr>
          <w:rFonts w:ascii="Times New Roman" w:hAnsi="Times New Roman"/>
        </w:rPr>
      </w:pPr>
      <w:hyperlink r:id="rId101" w:history="1">
        <w:r>
          <w:rPr>
            <w:rStyle w:val="Hyperlink"/>
            <w:rFonts w:ascii="Segoe UI" w:hAnsi="Segoe UI" w:cs="Segoe UI"/>
            <w:b/>
            <w:bCs/>
            <w:color w:val="004B83"/>
            <w:bdr w:val="single" w:sz="24" w:space="6" w:color="BCD2DC" w:frame="1"/>
            <w:shd w:val="clear" w:color="auto" w:fill="FFFFFF"/>
          </w:rPr>
          <w:t>Full size image</w:t>
        </w:r>
      </w:hyperlink>
    </w:p>
    <w:p w14:paraId="1EA72C81" w14:textId="77777777" w:rsidR="003F0A22" w:rsidRDefault="003F0A22" w:rsidP="003F0A22">
      <w:pPr>
        <w:pStyle w:val="NormalWeb"/>
        <w:spacing w:before="0" w:beforeAutospacing="0" w:after="0" w:afterAutospacing="0"/>
      </w:pPr>
      <w:r>
        <w:t>Also, we can see from Table </w:t>
      </w:r>
      <w:hyperlink r:id="rId102" w:anchor="Tab2" w:history="1">
        <w:r>
          <w:rPr>
            <w:rStyle w:val="Hyperlink"/>
            <w:rFonts w:eastAsiaTheme="majorEastAsia"/>
            <w:color w:val="004B83"/>
          </w:rPr>
          <w:t>2</w:t>
        </w:r>
      </w:hyperlink>
      <w:r>
        <w:t>, the </w:t>
      </w:r>
      <w:r>
        <w:rPr>
          <w:i/>
          <w:iCs/>
        </w:rPr>
        <w:t>MAPE</w:t>
      </w:r>
      <w:r>
        <w:t> value is the third smallest value at 6.554%, which clearly makes SARIMAX a better model.</w:t>
      </w:r>
    </w:p>
    <w:p w14:paraId="0E630DA2"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Linear regression forecasting</w:t>
      </w:r>
    </w:p>
    <w:p w14:paraId="090EBF3F" w14:textId="77777777" w:rsidR="003F0A22" w:rsidRDefault="003F0A22" w:rsidP="003F0A22">
      <w:pPr>
        <w:pStyle w:val="NormalWeb"/>
        <w:spacing w:before="0" w:beforeAutospacing="0" w:after="0" w:afterAutospacing="0"/>
      </w:pPr>
      <w:r>
        <w:t>Figure </w:t>
      </w:r>
      <w:hyperlink r:id="rId103" w:anchor="Fig6" w:history="1">
        <w:r>
          <w:rPr>
            <w:rStyle w:val="Hyperlink"/>
            <w:rFonts w:eastAsiaTheme="majorEastAsia"/>
            <w:color w:val="004B83"/>
          </w:rPr>
          <w:t>6</w:t>
        </w:r>
      </w:hyperlink>
      <w:r>
        <w:t> shows that </w:t>
      </w:r>
      <w:r>
        <w:rPr>
          <w:i/>
          <w:iCs/>
        </w:rPr>
        <w:t>CO</w:t>
      </w:r>
      <w:r>
        <w:rPr>
          <w:sz w:val="20"/>
          <w:szCs w:val="20"/>
          <w:vertAlign w:val="subscript"/>
        </w:rPr>
        <w:t>2</w:t>
      </w:r>
      <w:r>
        <w:t> predicted values by linear regression and actual emission, which is quite similar. We know that the linear regression model determines a mathematical equation under the black box while training the data with train data, so the linear relation assumes the output used as a predictor in the testing phase and then in forecasting.</w:t>
      </w:r>
    </w:p>
    <w:p w14:paraId="15CB7AA1" w14:textId="77777777" w:rsidR="003F0A22" w:rsidRDefault="003F0A22" w:rsidP="003F0A22">
      <w:r>
        <w:rPr>
          <w:b/>
          <w:bCs/>
        </w:rPr>
        <w:t>Fig. 6</w:t>
      </w:r>
    </w:p>
    <w:p w14:paraId="3A2C2271" w14:textId="2F4B327A" w:rsidR="003F0A22" w:rsidRDefault="003F0A22" w:rsidP="003F0A22">
      <w:r>
        <w:rPr>
          <w:noProof/>
          <w:color w:val="004B83"/>
        </w:rPr>
        <w:lastRenderedPageBreak/>
        <w:drawing>
          <wp:inline distT="0" distB="0" distL="0" distR="0" wp14:anchorId="511209C6" wp14:editId="6F8DD5AD">
            <wp:extent cx="6524625" cy="4010025"/>
            <wp:effectExtent l="0" t="0" r="9525" b="9525"/>
            <wp:docPr id="7" name="Picture 7" descr="figure 6">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igure 6">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524625" cy="4010025"/>
                    </a:xfrm>
                    <a:prstGeom prst="rect">
                      <a:avLst/>
                    </a:prstGeom>
                    <a:noFill/>
                    <a:ln>
                      <a:noFill/>
                    </a:ln>
                  </pic:spPr>
                </pic:pic>
              </a:graphicData>
            </a:graphic>
          </wp:inline>
        </w:drawing>
      </w:r>
    </w:p>
    <w:p w14:paraId="4A322C7B" w14:textId="77777777" w:rsidR="003F0A22" w:rsidRDefault="003F0A22" w:rsidP="003F0A22">
      <w:pPr>
        <w:pStyle w:val="NormalWeb"/>
        <w:spacing w:before="0" w:beforeAutospacing="0" w:after="0" w:afterAutospacing="0"/>
        <w:rPr>
          <w:rFonts w:ascii="Georgia" w:hAnsi="Georgia"/>
        </w:rPr>
      </w:pPr>
      <w:r>
        <w:rPr>
          <w:rFonts w:ascii="Georgia" w:hAnsi="Georgia"/>
        </w:rPr>
        <w:t>Linear regression forecasting vs. actual </w:t>
      </w:r>
      <w:r>
        <w:rPr>
          <w:rFonts w:ascii="Georgia" w:hAnsi="Georgia"/>
          <w:i/>
          <w:iCs/>
        </w:rPr>
        <w:t>CO</w:t>
      </w:r>
      <w:r>
        <w:rPr>
          <w:rFonts w:ascii="Georgia" w:hAnsi="Georgia"/>
          <w:sz w:val="18"/>
          <w:szCs w:val="18"/>
          <w:vertAlign w:val="subscript"/>
        </w:rPr>
        <w:t>2</w:t>
      </w:r>
      <w:r>
        <w:rPr>
          <w:rFonts w:ascii="Georgia" w:hAnsi="Georgia"/>
        </w:rPr>
        <w:t> emissions</w:t>
      </w:r>
    </w:p>
    <w:p w14:paraId="01E145F3" w14:textId="77777777" w:rsidR="003F0A22" w:rsidRDefault="003F0A22" w:rsidP="003F0A22">
      <w:pPr>
        <w:jc w:val="right"/>
        <w:rPr>
          <w:rFonts w:ascii="Times New Roman" w:hAnsi="Times New Roman"/>
        </w:rPr>
      </w:pPr>
      <w:hyperlink r:id="rId106" w:history="1">
        <w:r>
          <w:rPr>
            <w:rStyle w:val="Hyperlink"/>
            <w:rFonts w:ascii="Segoe UI" w:hAnsi="Segoe UI" w:cs="Segoe UI"/>
            <w:b/>
            <w:bCs/>
            <w:color w:val="004B83"/>
            <w:bdr w:val="single" w:sz="24" w:space="6" w:color="BCD2DC" w:frame="1"/>
            <w:shd w:val="clear" w:color="auto" w:fill="FFFFFF"/>
          </w:rPr>
          <w:t>Full size image</w:t>
        </w:r>
      </w:hyperlink>
    </w:p>
    <w:p w14:paraId="3A4537E5" w14:textId="77777777" w:rsidR="003F0A22" w:rsidRDefault="003F0A22" w:rsidP="003F0A22">
      <w:pPr>
        <w:pStyle w:val="NormalWeb"/>
        <w:spacing w:before="0" w:beforeAutospacing="0" w:after="0" w:afterAutospacing="0"/>
      </w:pPr>
      <w:r>
        <w:t>But because of performance metric values of linear regression on test data, it is hard to rely on forecasting. As we can see from Table </w:t>
      </w:r>
      <w:hyperlink r:id="rId107" w:anchor="Tab2" w:history="1">
        <w:r>
          <w:rPr>
            <w:rStyle w:val="Hyperlink"/>
            <w:rFonts w:eastAsiaTheme="majorEastAsia"/>
            <w:color w:val="004B83"/>
          </w:rPr>
          <w:t>2</w:t>
        </w:r>
      </w:hyperlink>
      <w:r>
        <w:t>, the </w:t>
      </w:r>
      <w:r>
        <w:rPr>
          <w:i/>
          <w:iCs/>
        </w:rPr>
        <w:t>MAPE</w:t>
      </w:r>
      <w:r>
        <w:t> value is the fourth smallest value with 12.023%, which clearly makes the Linear model a good model, but not the best.</w:t>
      </w:r>
    </w:p>
    <w:p w14:paraId="0C7E2403"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Random forest forecasting (RF)</w:t>
      </w:r>
    </w:p>
    <w:p w14:paraId="5E384D12" w14:textId="77777777" w:rsidR="003F0A22" w:rsidRDefault="003F0A22" w:rsidP="003F0A22">
      <w:pPr>
        <w:pStyle w:val="NormalWeb"/>
        <w:spacing w:before="0" w:beforeAutospacing="0" w:after="360" w:afterAutospacing="0"/>
      </w:pPr>
      <w:r>
        <w:t>A random forest is an ensemble machine learning technique that constructs multiple trees while training data and gives class labels for classification problems or mean/average prediction for regression. It can also be used in both univariate and multivariate time series forecasts by manually creating lag and seasonal component variables. According to the nature of data, different algorithms react differently, so we have to try it over our dataset. We tried our dataset into a random forest model in our work, which did not perform well.</w:t>
      </w:r>
    </w:p>
    <w:p w14:paraId="30F19E68" w14:textId="77777777" w:rsidR="003F0A22" w:rsidRDefault="003F0A22" w:rsidP="003F0A22">
      <w:pPr>
        <w:pStyle w:val="NormalWeb"/>
        <w:spacing w:before="0" w:beforeAutospacing="0" w:after="0" w:afterAutospacing="0"/>
      </w:pPr>
      <w:r>
        <w:t>Figure </w:t>
      </w:r>
      <w:hyperlink r:id="rId108" w:anchor="Fig7" w:history="1">
        <w:r>
          <w:rPr>
            <w:rStyle w:val="Hyperlink"/>
            <w:rFonts w:eastAsiaTheme="majorEastAsia"/>
            <w:color w:val="004B83"/>
          </w:rPr>
          <w:t>7</w:t>
        </w:r>
      </w:hyperlink>
      <w:r>
        <w:t> shows the </w:t>
      </w:r>
      <w:r>
        <w:rPr>
          <w:i/>
          <w:iCs/>
        </w:rPr>
        <w:t>CO</w:t>
      </w:r>
      <w:r>
        <w:rPr>
          <w:sz w:val="20"/>
          <w:szCs w:val="20"/>
          <w:vertAlign w:val="subscript"/>
        </w:rPr>
        <w:t>2</w:t>
      </w:r>
      <w:r>
        <w:t> predicted values, which is quite different from actual emissions. Also, the </w:t>
      </w:r>
      <w:r>
        <w:rPr>
          <w:i/>
          <w:iCs/>
        </w:rPr>
        <w:t>MAPE</w:t>
      </w:r>
      <w:r>
        <w:t> value is also maximum with 137.239%, which gives the worst prediction. Therefore, we can conclude that the random forest model is not appropriate for </w:t>
      </w:r>
      <w:r>
        <w:rPr>
          <w:i/>
          <w:iCs/>
        </w:rPr>
        <w:t>CO</w:t>
      </w:r>
      <w:r>
        <w:rPr>
          <w:sz w:val="20"/>
          <w:szCs w:val="20"/>
          <w:vertAlign w:val="subscript"/>
        </w:rPr>
        <w:t>2</w:t>
      </w:r>
      <w:r>
        <w:t> emission forecasting.</w:t>
      </w:r>
    </w:p>
    <w:p w14:paraId="4056C0B7" w14:textId="77777777" w:rsidR="003F0A22" w:rsidRDefault="003F0A22" w:rsidP="003F0A22">
      <w:r>
        <w:rPr>
          <w:b/>
          <w:bCs/>
        </w:rPr>
        <w:t>Fig. 7</w:t>
      </w:r>
    </w:p>
    <w:p w14:paraId="5B2C0A84" w14:textId="5DCC9185" w:rsidR="003F0A22" w:rsidRDefault="003F0A22" w:rsidP="003F0A22">
      <w:r>
        <w:rPr>
          <w:noProof/>
          <w:color w:val="004B83"/>
        </w:rPr>
        <w:lastRenderedPageBreak/>
        <w:drawing>
          <wp:inline distT="0" distB="0" distL="0" distR="0" wp14:anchorId="3C0DC4DA" wp14:editId="778C5602">
            <wp:extent cx="6524625" cy="4152900"/>
            <wp:effectExtent l="0" t="0" r="9525" b="0"/>
            <wp:docPr id="6" name="Picture 6" descr="figure 7">
              <a:hlinkClick xmlns:a="http://schemas.openxmlformats.org/drawingml/2006/main" r:id="rId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gure 7">
                      <a:hlinkClick r:id="rId109"/>
                    </pic:cNvPr>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524625" cy="4152900"/>
                    </a:xfrm>
                    <a:prstGeom prst="rect">
                      <a:avLst/>
                    </a:prstGeom>
                    <a:noFill/>
                    <a:ln>
                      <a:noFill/>
                    </a:ln>
                  </pic:spPr>
                </pic:pic>
              </a:graphicData>
            </a:graphic>
          </wp:inline>
        </w:drawing>
      </w:r>
    </w:p>
    <w:p w14:paraId="439C4238" w14:textId="77777777" w:rsidR="003F0A22" w:rsidRDefault="003F0A22" w:rsidP="003F0A22">
      <w:pPr>
        <w:pStyle w:val="NormalWeb"/>
        <w:spacing w:before="0" w:beforeAutospacing="0" w:after="0" w:afterAutospacing="0"/>
        <w:rPr>
          <w:rFonts w:ascii="Georgia" w:hAnsi="Georgia"/>
        </w:rPr>
      </w:pPr>
      <w:r>
        <w:rPr>
          <w:rFonts w:ascii="Georgia" w:hAnsi="Georgia"/>
        </w:rPr>
        <w:t>Random forest forecasting vs actual </w:t>
      </w:r>
      <w:r>
        <w:rPr>
          <w:rFonts w:ascii="Georgia" w:hAnsi="Georgia"/>
          <w:i/>
          <w:iCs/>
        </w:rPr>
        <w:t>CO</w:t>
      </w:r>
      <w:r>
        <w:rPr>
          <w:rFonts w:ascii="Georgia" w:hAnsi="Georgia"/>
          <w:sz w:val="18"/>
          <w:szCs w:val="18"/>
          <w:vertAlign w:val="subscript"/>
        </w:rPr>
        <w:t>2</w:t>
      </w:r>
      <w:r>
        <w:rPr>
          <w:rFonts w:ascii="Georgia" w:hAnsi="Georgia"/>
        </w:rPr>
        <w:t> emission</w:t>
      </w:r>
    </w:p>
    <w:p w14:paraId="5CA53722" w14:textId="77777777" w:rsidR="003F0A22" w:rsidRDefault="003F0A22" w:rsidP="003F0A22">
      <w:pPr>
        <w:jc w:val="right"/>
        <w:rPr>
          <w:rFonts w:ascii="Times New Roman" w:hAnsi="Times New Roman"/>
        </w:rPr>
      </w:pPr>
      <w:hyperlink r:id="rId111" w:history="1">
        <w:r>
          <w:rPr>
            <w:rStyle w:val="Hyperlink"/>
            <w:rFonts w:ascii="Segoe UI" w:hAnsi="Segoe UI" w:cs="Segoe UI"/>
            <w:b/>
            <w:bCs/>
            <w:color w:val="004B83"/>
            <w:bdr w:val="single" w:sz="24" w:space="6" w:color="BCD2DC" w:frame="1"/>
            <w:shd w:val="clear" w:color="auto" w:fill="FFFFFF"/>
          </w:rPr>
          <w:t>Full size image</w:t>
        </w:r>
      </w:hyperlink>
    </w:p>
    <w:p w14:paraId="4940F68E"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Holt-Winters model forecasting</w:t>
      </w:r>
    </w:p>
    <w:p w14:paraId="5C3F924E" w14:textId="77777777" w:rsidR="003F0A22" w:rsidRDefault="003F0A22" w:rsidP="003F0A22">
      <w:pPr>
        <w:pStyle w:val="NormalWeb"/>
        <w:spacing w:before="0" w:beforeAutospacing="0" w:after="0" w:afterAutospacing="0"/>
      </w:pPr>
      <w:r>
        <w:t>We can see from Fig. </w:t>
      </w:r>
      <w:hyperlink r:id="rId112" w:anchor="Fig8" w:history="1">
        <w:r>
          <w:rPr>
            <w:rStyle w:val="Hyperlink"/>
            <w:rFonts w:eastAsiaTheme="majorEastAsia"/>
            <w:color w:val="004B83"/>
          </w:rPr>
          <w:t>8</w:t>
        </w:r>
      </w:hyperlink>
      <w:r>
        <w:t> that Holt-Winters-predicted values are quite similar to actual </w:t>
      </w:r>
      <w:r>
        <w:rPr>
          <w:i/>
          <w:iCs/>
        </w:rPr>
        <w:t>CO</w:t>
      </w:r>
      <w:r>
        <w:rPr>
          <w:sz w:val="20"/>
          <w:szCs w:val="20"/>
          <w:vertAlign w:val="subscript"/>
        </w:rPr>
        <w:t>2</w:t>
      </w:r>
      <w:r>
        <w:t xml:space="preserve"> emissions. This model can also be considered one of the effective forecasting models if we compromise a few performances metric values. The Holt-Winters model is used for exponential smoothing using “additive” or “multiplicative” models with increasing or decreasing trends and seasonality to make short-term forecasts. In our work, we have a multiplicative variant of the model, which took care of all three aspects of time series data </w:t>
      </w:r>
      <w:proofErr w:type="spellStart"/>
      <w:r>
        <w:t>i.e</w:t>
      </w:r>
      <w:proofErr w:type="spellEnd"/>
      <w:r>
        <w:t xml:space="preserve"> average, trend, and seasonality, and gave satisfying results. Also, from Table </w:t>
      </w:r>
      <w:hyperlink r:id="rId113" w:anchor="Tab2" w:history="1">
        <w:r>
          <w:rPr>
            <w:rStyle w:val="Hyperlink"/>
            <w:rFonts w:eastAsiaTheme="majorEastAsia"/>
            <w:color w:val="004B83"/>
          </w:rPr>
          <w:t>2</w:t>
        </w:r>
      </w:hyperlink>
      <w:r>
        <w:t>, the </w:t>
      </w:r>
      <w:r>
        <w:rPr>
          <w:i/>
          <w:iCs/>
        </w:rPr>
        <w:t>MAPE</w:t>
      </w:r>
      <w:r>
        <w:t> value is the second smallest value at 5.043%, which clearly makes Holt-Winters a suitable prediction model.</w:t>
      </w:r>
    </w:p>
    <w:p w14:paraId="0DDCA9AF" w14:textId="77777777" w:rsidR="003F0A22" w:rsidRDefault="003F0A22" w:rsidP="003F0A22">
      <w:r>
        <w:rPr>
          <w:b/>
          <w:bCs/>
        </w:rPr>
        <w:t>Fig. 8</w:t>
      </w:r>
    </w:p>
    <w:p w14:paraId="65664EE7" w14:textId="0703FB1B" w:rsidR="003F0A22" w:rsidRDefault="003F0A22" w:rsidP="003F0A22">
      <w:r>
        <w:rPr>
          <w:noProof/>
          <w:color w:val="004B83"/>
        </w:rPr>
        <w:lastRenderedPageBreak/>
        <w:drawing>
          <wp:inline distT="0" distB="0" distL="0" distR="0" wp14:anchorId="7745A374" wp14:editId="715FE5E8">
            <wp:extent cx="6524625" cy="4324350"/>
            <wp:effectExtent l="0" t="0" r="9525" b="0"/>
            <wp:docPr id="5" name="Picture 5" descr="figure 8">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igure 8">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524625" cy="4324350"/>
                    </a:xfrm>
                    <a:prstGeom prst="rect">
                      <a:avLst/>
                    </a:prstGeom>
                    <a:noFill/>
                    <a:ln>
                      <a:noFill/>
                    </a:ln>
                  </pic:spPr>
                </pic:pic>
              </a:graphicData>
            </a:graphic>
          </wp:inline>
        </w:drawing>
      </w:r>
    </w:p>
    <w:p w14:paraId="20EDD3D4" w14:textId="77777777" w:rsidR="003F0A22" w:rsidRDefault="003F0A22" w:rsidP="003F0A22">
      <w:pPr>
        <w:pStyle w:val="NormalWeb"/>
        <w:spacing w:before="0" w:beforeAutospacing="0" w:after="0" w:afterAutospacing="0"/>
        <w:rPr>
          <w:rFonts w:ascii="Georgia" w:hAnsi="Georgia"/>
        </w:rPr>
      </w:pPr>
      <w:r>
        <w:rPr>
          <w:rFonts w:ascii="Georgia" w:hAnsi="Georgia"/>
        </w:rPr>
        <w:t>Holt-Winters forecasting vs. actual </w:t>
      </w:r>
      <w:r>
        <w:rPr>
          <w:rFonts w:ascii="Georgia" w:hAnsi="Georgia"/>
          <w:i/>
          <w:iCs/>
        </w:rPr>
        <w:t>CO</w:t>
      </w:r>
      <w:r>
        <w:rPr>
          <w:rFonts w:ascii="Georgia" w:hAnsi="Georgia"/>
          <w:sz w:val="18"/>
          <w:szCs w:val="18"/>
          <w:vertAlign w:val="subscript"/>
        </w:rPr>
        <w:t>2</w:t>
      </w:r>
      <w:r>
        <w:rPr>
          <w:rFonts w:ascii="Georgia" w:hAnsi="Georgia"/>
        </w:rPr>
        <w:t> emissions</w:t>
      </w:r>
    </w:p>
    <w:p w14:paraId="5EE432AC" w14:textId="77777777" w:rsidR="003F0A22" w:rsidRDefault="003F0A22" w:rsidP="003F0A22">
      <w:pPr>
        <w:jc w:val="right"/>
        <w:rPr>
          <w:rFonts w:ascii="Times New Roman" w:hAnsi="Times New Roman"/>
        </w:rPr>
      </w:pPr>
      <w:hyperlink r:id="rId116" w:history="1">
        <w:r>
          <w:rPr>
            <w:rStyle w:val="Hyperlink"/>
            <w:rFonts w:ascii="Segoe UI" w:hAnsi="Segoe UI" w:cs="Segoe UI"/>
            <w:b/>
            <w:bCs/>
            <w:color w:val="004B83"/>
            <w:bdr w:val="single" w:sz="24" w:space="6" w:color="BCD2DC" w:frame="1"/>
            <w:shd w:val="clear" w:color="auto" w:fill="FFFFFF"/>
          </w:rPr>
          <w:t>Full size image</w:t>
        </w:r>
      </w:hyperlink>
    </w:p>
    <w:p w14:paraId="7378D556" w14:textId="77777777" w:rsidR="003F0A22" w:rsidRDefault="003F0A22" w:rsidP="003F0A22">
      <w:pPr>
        <w:pStyle w:val="Heading4"/>
        <w:spacing w:before="360" w:after="120"/>
        <w:rPr>
          <w:rFonts w:ascii="Segoe UI" w:hAnsi="Segoe UI" w:cs="Segoe UI"/>
          <w:color w:val="222222"/>
        </w:rPr>
      </w:pPr>
      <w:r>
        <w:rPr>
          <w:rFonts w:ascii="Segoe UI" w:hAnsi="Segoe UI" w:cs="Segoe UI"/>
          <w:color w:val="222222"/>
        </w:rPr>
        <w:t>LSTM model forecasting</w:t>
      </w:r>
    </w:p>
    <w:p w14:paraId="7D9D30CF" w14:textId="77777777" w:rsidR="003F0A22" w:rsidRDefault="003F0A22" w:rsidP="003F0A22">
      <w:pPr>
        <w:pStyle w:val="NormalWeb"/>
        <w:spacing w:before="0" w:beforeAutospacing="0" w:after="0" w:afterAutospacing="0"/>
      </w:pPr>
      <w:r>
        <w:t>Figure </w:t>
      </w:r>
      <w:hyperlink r:id="rId117" w:anchor="Fig9" w:history="1">
        <w:r>
          <w:rPr>
            <w:rStyle w:val="Hyperlink"/>
            <w:rFonts w:eastAsiaTheme="majorEastAsia"/>
            <w:color w:val="004B83"/>
          </w:rPr>
          <w:t>9</w:t>
        </w:r>
      </w:hyperlink>
      <w:r>
        <w:t> shows the LSTM behavior for prediction and forecasting of the </w:t>
      </w:r>
      <w:r>
        <w:rPr>
          <w:i/>
          <w:iCs/>
        </w:rPr>
        <w:t>CO</w:t>
      </w:r>
      <w:r>
        <w:rPr>
          <w:sz w:val="20"/>
          <w:szCs w:val="20"/>
          <w:vertAlign w:val="subscript"/>
        </w:rPr>
        <w:t>2</w:t>
      </w:r>
      <w:r>
        <w:t> emissions. The LSTM is a model that uses the recurrent neural network concept but has a short memory element in the form of a series of logic gates to train the model and make the predictions. This model also destroys the problem of exploding and vanishing gradient. This is the reason this model is performing well.</w:t>
      </w:r>
    </w:p>
    <w:p w14:paraId="12667D0C" w14:textId="77777777" w:rsidR="003F0A22" w:rsidRDefault="003F0A22" w:rsidP="003F0A22">
      <w:r>
        <w:rPr>
          <w:b/>
          <w:bCs/>
        </w:rPr>
        <w:t>Fig. 9</w:t>
      </w:r>
    </w:p>
    <w:p w14:paraId="00D7F4FA" w14:textId="5C35B690" w:rsidR="003F0A22" w:rsidRDefault="003F0A22" w:rsidP="003F0A22">
      <w:r>
        <w:rPr>
          <w:noProof/>
          <w:color w:val="004B83"/>
        </w:rPr>
        <w:lastRenderedPageBreak/>
        <w:drawing>
          <wp:inline distT="0" distB="0" distL="0" distR="0" wp14:anchorId="459C8530" wp14:editId="324D5800">
            <wp:extent cx="6524625" cy="3924300"/>
            <wp:effectExtent l="0" t="0" r="9525" b="0"/>
            <wp:docPr id="4" name="Picture 4" descr="figure 9">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gure 9">
                      <a:hlinkClick r:id="rId118"/>
                    </pic:cNvPr>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6524625" cy="3924300"/>
                    </a:xfrm>
                    <a:prstGeom prst="rect">
                      <a:avLst/>
                    </a:prstGeom>
                    <a:noFill/>
                    <a:ln>
                      <a:noFill/>
                    </a:ln>
                  </pic:spPr>
                </pic:pic>
              </a:graphicData>
            </a:graphic>
          </wp:inline>
        </w:drawing>
      </w:r>
    </w:p>
    <w:p w14:paraId="77DDD676" w14:textId="77777777" w:rsidR="003F0A22" w:rsidRDefault="003F0A22" w:rsidP="003F0A22">
      <w:pPr>
        <w:pStyle w:val="NormalWeb"/>
        <w:spacing w:before="0" w:beforeAutospacing="0" w:after="0" w:afterAutospacing="0"/>
        <w:rPr>
          <w:rFonts w:ascii="Georgia" w:hAnsi="Georgia"/>
        </w:rPr>
      </w:pPr>
      <w:r>
        <w:rPr>
          <w:rFonts w:ascii="Georgia" w:hAnsi="Georgia"/>
        </w:rPr>
        <w:t>LSTM forecasting vs. actual </w:t>
      </w:r>
      <w:r>
        <w:rPr>
          <w:rFonts w:ascii="Georgia" w:hAnsi="Georgia"/>
          <w:i/>
          <w:iCs/>
        </w:rPr>
        <w:t>CO</w:t>
      </w:r>
      <w:r>
        <w:rPr>
          <w:rFonts w:ascii="Georgia" w:hAnsi="Georgia"/>
          <w:sz w:val="18"/>
          <w:szCs w:val="18"/>
          <w:vertAlign w:val="subscript"/>
        </w:rPr>
        <w:t>2</w:t>
      </w:r>
      <w:r>
        <w:rPr>
          <w:rFonts w:ascii="Georgia" w:hAnsi="Georgia"/>
        </w:rPr>
        <w:t> emissions</w:t>
      </w:r>
    </w:p>
    <w:p w14:paraId="14795D30" w14:textId="77777777" w:rsidR="003F0A22" w:rsidRDefault="003F0A22" w:rsidP="003F0A22">
      <w:pPr>
        <w:jc w:val="right"/>
        <w:rPr>
          <w:rFonts w:ascii="Times New Roman" w:hAnsi="Times New Roman"/>
        </w:rPr>
      </w:pPr>
      <w:hyperlink r:id="rId120" w:history="1">
        <w:r>
          <w:rPr>
            <w:rStyle w:val="Hyperlink"/>
            <w:rFonts w:ascii="Segoe UI" w:hAnsi="Segoe UI" w:cs="Segoe UI"/>
            <w:b/>
            <w:bCs/>
            <w:color w:val="004B83"/>
            <w:bdr w:val="single" w:sz="24" w:space="6" w:color="BCD2DC" w:frame="1"/>
            <w:shd w:val="clear" w:color="auto" w:fill="FFFFFF"/>
          </w:rPr>
          <w:t>Full size image</w:t>
        </w:r>
      </w:hyperlink>
    </w:p>
    <w:p w14:paraId="0EF8C43F" w14:textId="77777777" w:rsidR="003F0A22" w:rsidRDefault="003F0A22" w:rsidP="003F0A22">
      <w:pPr>
        <w:pStyle w:val="NormalWeb"/>
        <w:spacing w:before="0" w:beforeAutospacing="0" w:after="0" w:afterAutospacing="0"/>
      </w:pPr>
      <w:r>
        <w:t>Observations from Fig. </w:t>
      </w:r>
      <w:hyperlink r:id="rId121" w:anchor="Fig9" w:history="1">
        <w:r>
          <w:rPr>
            <w:rStyle w:val="Hyperlink"/>
            <w:rFonts w:eastAsiaTheme="majorEastAsia"/>
            <w:color w:val="004B83"/>
          </w:rPr>
          <w:t>9</w:t>
        </w:r>
      </w:hyperlink>
      <w:r>
        <w:t> show that when we compare the actual </w:t>
      </w:r>
      <w:r>
        <w:rPr>
          <w:i/>
          <w:iCs/>
        </w:rPr>
        <w:t>CO</w:t>
      </w:r>
      <w:r>
        <w:rPr>
          <w:sz w:val="20"/>
          <w:szCs w:val="20"/>
          <w:vertAlign w:val="subscript"/>
        </w:rPr>
        <w:t>2</w:t>
      </w:r>
      <w:r>
        <w:t xml:space="preserve"> emissions and predicted value (as indicated from 2010 to 2020) are almost identical. We have already </w:t>
      </w:r>
      <w:proofErr w:type="spellStart"/>
      <w:r>
        <w:t>analysed</w:t>
      </w:r>
      <w:proofErr w:type="spellEnd"/>
      <w:r>
        <w:t xml:space="preserve"> from Fig. </w:t>
      </w:r>
      <w:hyperlink r:id="rId122" w:anchor="Fig3" w:history="1">
        <w:r>
          <w:rPr>
            <w:rStyle w:val="Hyperlink"/>
            <w:rFonts w:eastAsiaTheme="majorEastAsia"/>
            <w:color w:val="004B83"/>
          </w:rPr>
          <w:t>3</w:t>
        </w:r>
      </w:hyperlink>
      <w:r>
        <w:t> that LSTM is the best performing model in terms of performance metric values. As we can see from Table </w:t>
      </w:r>
      <w:hyperlink r:id="rId123" w:anchor="Tab2" w:history="1">
        <w:r>
          <w:rPr>
            <w:rStyle w:val="Hyperlink"/>
            <w:rFonts w:eastAsiaTheme="majorEastAsia"/>
            <w:color w:val="004B83"/>
          </w:rPr>
          <w:t>2</w:t>
        </w:r>
      </w:hyperlink>
      <w:r>
        <w:t>, the LSTM model has the lowest value of 3676.646 and 60.635 for </w:t>
      </w:r>
      <w:r>
        <w:rPr>
          <w:i/>
          <w:iCs/>
        </w:rPr>
        <w:t>MSE</w:t>
      </w:r>
      <w:r>
        <w:t> and </w:t>
      </w:r>
      <w:r>
        <w:rPr>
          <w:i/>
          <w:iCs/>
        </w:rPr>
        <w:t>RMSE</w:t>
      </w:r>
      <w:r>
        <w:t>, respectively, and for these metrics, smaller values are desirable. Hence, this is the best forecasting model. </w:t>
      </w:r>
      <w:r>
        <w:rPr>
          <w:i/>
          <w:iCs/>
        </w:rPr>
        <w:t>MSLE</w:t>
      </w:r>
      <w:r>
        <w:t> metric values for the LSTM model are also lowest with 0.001 than in other models.</w:t>
      </w:r>
    </w:p>
    <w:p w14:paraId="788D5523" w14:textId="77777777" w:rsidR="003F0A22" w:rsidRDefault="003F0A22" w:rsidP="003F0A22">
      <w:pPr>
        <w:pStyle w:val="NormalWeb"/>
        <w:spacing w:before="0" w:beforeAutospacing="0" w:after="0" w:afterAutospacing="0"/>
      </w:pPr>
      <w:r>
        <w:t>The </w:t>
      </w:r>
      <w:r>
        <w:rPr>
          <w:i/>
          <w:iCs/>
        </w:rPr>
        <w:t>MAE</w:t>
      </w:r>
      <w:r>
        <w:t> value for the LSTM model is 45.524, the second smallest among all models, which seems very appropriate for forecasting. </w:t>
      </w:r>
      <w:r>
        <w:rPr>
          <w:i/>
          <w:iCs/>
        </w:rPr>
        <w:t>MAPE</w:t>
      </w:r>
      <w:r>
        <w:t> is again the smallest value with 3.101%, which makes LSTM an excellent model. </w:t>
      </w:r>
      <w:proofErr w:type="spellStart"/>
      <w:r>
        <w:rPr>
          <w:i/>
          <w:iCs/>
        </w:rPr>
        <w:t>MedAE</w:t>
      </w:r>
      <w:proofErr w:type="spellEnd"/>
      <w:r>
        <w:t xml:space="preserve"> and </w:t>
      </w:r>
      <w:proofErr w:type="spellStart"/>
      <w:r>
        <w:t>MaxError</w:t>
      </w:r>
      <w:proofErr w:type="spellEnd"/>
      <w:r>
        <w:t xml:space="preserve"> have the lowest value with 28.898 and 135.933, respectively, and obviously, the LSTM outperformed here. The last </w:t>
      </w:r>
      <w:r>
        <w:rPr>
          <w:i/>
          <w:iCs/>
        </w:rPr>
        <w:t>R</w:t>
      </w:r>
      <w:r>
        <w:rPr>
          <w:sz w:val="20"/>
          <w:szCs w:val="20"/>
          <w:vertAlign w:val="superscript"/>
        </w:rPr>
        <w:t>2</w:t>
      </w:r>
      <w:r>
        <w:t> score error is 0.990, most desirable, and EVS error is also 0.990, tied up with the SARIMAX model. Therefore, we can conclude that LSTM is the best-performing model to forecast the </w:t>
      </w:r>
      <w:r>
        <w:rPr>
          <w:i/>
          <w:iCs/>
        </w:rPr>
        <w:t>CO</w:t>
      </w:r>
      <w:r>
        <w:rPr>
          <w:sz w:val="20"/>
          <w:szCs w:val="20"/>
          <w:vertAlign w:val="subscript"/>
        </w:rPr>
        <w:t>2</w:t>
      </w:r>
      <w:r>
        <w:t> emission.</w:t>
      </w:r>
    </w:p>
    <w:p w14:paraId="61081F04"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Statistical analysis</w:t>
      </w:r>
    </w:p>
    <w:p w14:paraId="0F9ACDAC" w14:textId="77777777" w:rsidR="003F0A22" w:rsidRDefault="003F0A22" w:rsidP="003F0A22">
      <w:pPr>
        <w:pStyle w:val="NormalWeb"/>
        <w:spacing w:before="0" w:beforeAutospacing="0" w:after="0" w:afterAutospacing="0"/>
      </w:pPr>
      <w:r>
        <w:t>In this section, we have applied the Friedman test (</w:t>
      </w:r>
      <w:proofErr w:type="spellStart"/>
      <w:r>
        <w:t>García</w:t>
      </w:r>
      <w:proofErr w:type="spellEnd"/>
      <w:r>
        <w:t xml:space="preserve"> et al. </w:t>
      </w:r>
      <w:hyperlink r:id="rId124" w:anchor="ref-CR18" w:tooltip="García S, Fernández A, Luengo J, Herrera F (2010) Advanced nonparametric tests for multiple comparisons in the design of experiments in computational intelligence and data mining: experimental analysis of power. Inf Sci 180(10):2044–2064" w:history="1">
        <w:r>
          <w:rPr>
            <w:rStyle w:val="Hyperlink"/>
            <w:rFonts w:eastAsiaTheme="majorEastAsia"/>
            <w:color w:val="004B83"/>
          </w:rPr>
          <w:t>2010</w:t>
        </w:r>
      </w:hyperlink>
      <w:r>
        <w:t>) to verify the best-performing model statistically.</w:t>
      </w:r>
    </w:p>
    <w:p w14:paraId="40D10492" w14:textId="77777777" w:rsidR="003F0A22" w:rsidRDefault="003F0A22" w:rsidP="003F0A22">
      <w:pPr>
        <w:pStyle w:val="NormalWeb"/>
        <w:spacing w:before="0" w:beforeAutospacing="0" w:after="0" w:afterAutospacing="0"/>
      </w:pPr>
      <w:r>
        <w:lastRenderedPageBreak/>
        <w:t>Observations from Fig. </w:t>
      </w:r>
      <w:hyperlink r:id="rId125" w:anchor="Fig10" w:history="1">
        <w:r>
          <w:rPr>
            <w:rStyle w:val="Hyperlink"/>
            <w:rFonts w:eastAsiaTheme="majorEastAsia"/>
            <w:color w:val="004B83"/>
          </w:rPr>
          <w:t>10</w:t>
        </w:r>
      </w:hyperlink>
      <w:r>
        <w:t> show that LSTM is the best performing model with the highest rank value of 4.72. Therefore, the LSTM model can be used to forecast the </w:t>
      </w:r>
      <w:r>
        <w:rPr>
          <w:i/>
          <w:iCs/>
        </w:rPr>
        <w:t>CO</w:t>
      </w:r>
      <w:r>
        <w:rPr>
          <w:sz w:val="20"/>
          <w:szCs w:val="20"/>
          <w:vertAlign w:val="subscript"/>
        </w:rPr>
        <w:t>2</w:t>
      </w:r>
      <w:r>
        <w:t> emission effectively.</w:t>
      </w:r>
    </w:p>
    <w:p w14:paraId="2DA91AA6" w14:textId="77777777" w:rsidR="003F0A22" w:rsidRDefault="003F0A22" w:rsidP="003F0A22">
      <w:r>
        <w:rPr>
          <w:b/>
          <w:bCs/>
        </w:rPr>
        <w:t>Fig. 10</w:t>
      </w:r>
    </w:p>
    <w:p w14:paraId="4B702254" w14:textId="5B27FA31" w:rsidR="003F0A22" w:rsidRDefault="003F0A22" w:rsidP="003F0A22">
      <w:r>
        <w:rPr>
          <w:noProof/>
          <w:color w:val="004B83"/>
        </w:rPr>
        <w:drawing>
          <wp:inline distT="0" distB="0" distL="0" distR="0" wp14:anchorId="20AE5995" wp14:editId="46DE59CD">
            <wp:extent cx="6524625" cy="2724150"/>
            <wp:effectExtent l="0" t="0" r="9525" b="0"/>
            <wp:docPr id="3" name="Picture 3" descr="figure 10">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igure 10">
                      <a:hlinkClick r:id="rId126"/>
                    </pic:cNvPr>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524625" cy="2724150"/>
                    </a:xfrm>
                    <a:prstGeom prst="rect">
                      <a:avLst/>
                    </a:prstGeom>
                    <a:noFill/>
                    <a:ln>
                      <a:noFill/>
                    </a:ln>
                  </pic:spPr>
                </pic:pic>
              </a:graphicData>
            </a:graphic>
          </wp:inline>
        </w:drawing>
      </w:r>
    </w:p>
    <w:p w14:paraId="27E1CA0F" w14:textId="77777777" w:rsidR="003F0A22" w:rsidRDefault="003F0A22" w:rsidP="003F0A22">
      <w:pPr>
        <w:pStyle w:val="NormalWeb"/>
        <w:spacing w:before="0" w:beforeAutospacing="0" w:after="360" w:afterAutospacing="0"/>
        <w:rPr>
          <w:rFonts w:ascii="Georgia" w:hAnsi="Georgia"/>
        </w:rPr>
      </w:pPr>
      <w:r>
        <w:rPr>
          <w:rFonts w:ascii="Georgia" w:hAnsi="Georgia"/>
        </w:rPr>
        <w:t>Comparative rank of the models</w:t>
      </w:r>
    </w:p>
    <w:p w14:paraId="1C115740" w14:textId="77777777" w:rsidR="003F0A22" w:rsidRDefault="003F0A22" w:rsidP="003F0A22">
      <w:pPr>
        <w:jc w:val="right"/>
        <w:rPr>
          <w:rFonts w:ascii="Times New Roman" w:hAnsi="Times New Roman"/>
        </w:rPr>
      </w:pPr>
      <w:hyperlink r:id="rId128" w:history="1">
        <w:r>
          <w:rPr>
            <w:rStyle w:val="Hyperlink"/>
            <w:rFonts w:ascii="Segoe UI" w:hAnsi="Segoe UI" w:cs="Segoe UI"/>
            <w:b/>
            <w:bCs/>
            <w:color w:val="004B83"/>
            <w:bdr w:val="single" w:sz="24" w:space="6" w:color="BCD2DC" w:frame="1"/>
            <w:shd w:val="clear" w:color="auto" w:fill="FFFFFF"/>
          </w:rPr>
          <w:t>Full size image</w:t>
        </w:r>
      </w:hyperlink>
    </w:p>
    <w:p w14:paraId="604CF5C2"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Comparative forecasting</w:t>
      </w:r>
    </w:p>
    <w:p w14:paraId="037D0692" w14:textId="77777777" w:rsidR="003F0A22" w:rsidRDefault="003F0A22" w:rsidP="003F0A22">
      <w:pPr>
        <w:pStyle w:val="NormalWeb"/>
        <w:spacing w:before="0" w:beforeAutospacing="0" w:after="0" w:afterAutospacing="0"/>
      </w:pPr>
      <w:r>
        <w:t>In this section, we have shown the comparative forecasting values for </w:t>
      </w:r>
      <w:r>
        <w:rPr>
          <w:i/>
          <w:iCs/>
        </w:rPr>
        <w:t>CO</w:t>
      </w:r>
      <w:r>
        <w:rPr>
          <w:sz w:val="20"/>
          <w:szCs w:val="20"/>
          <w:vertAlign w:val="subscript"/>
        </w:rPr>
        <w:t>2</w:t>
      </w:r>
      <w:r>
        <w:t> emissions from 2020 to 2030.</w:t>
      </w:r>
    </w:p>
    <w:p w14:paraId="6E71C283" w14:textId="77777777" w:rsidR="003F0A22" w:rsidRDefault="003F0A22" w:rsidP="003F0A22">
      <w:pPr>
        <w:pStyle w:val="NormalWeb"/>
        <w:spacing w:before="0" w:beforeAutospacing="0" w:after="0" w:afterAutospacing="0"/>
      </w:pPr>
      <w:r>
        <w:t>Observations from Fig. </w:t>
      </w:r>
      <w:hyperlink r:id="rId129" w:anchor="Fig11" w:history="1">
        <w:r>
          <w:rPr>
            <w:rStyle w:val="Hyperlink"/>
            <w:rFonts w:eastAsiaTheme="majorEastAsia"/>
            <w:color w:val="004B83"/>
          </w:rPr>
          <w:t>11</w:t>
        </w:r>
      </w:hyperlink>
      <w:r>
        <w:t> show that LSTM, SARIMAX, and Holt-Winters are appropriate forecasting models. Furthermore, when we look at the performance metric values, then the LSTM is the best performing model for forecasting the </w:t>
      </w:r>
      <w:r>
        <w:rPr>
          <w:i/>
          <w:iCs/>
        </w:rPr>
        <w:t>CO</w:t>
      </w:r>
      <w:r>
        <w:rPr>
          <w:sz w:val="20"/>
          <w:szCs w:val="20"/>
          <w:vertAlign w:val="subscript"/>
        </w:rPr>
        <w:t>2</w:t>
      </w:r>
      <w:r>
        <w:t> emissions.</w:t>
      </w:r>
    </w:p>
    <w:p w14:paraId="1D4013A1" w14:textId="77777777" w:rsidR="003F0A22" w:rsidRDefault="003F0A22" w:rsidP="003F0A22">
      <w:r>
        <w:rPr>
          <w:b/>
          <w:bCs/>
        </w:rPr>
        <w:t>Fig. 11</w:t>
      </w:r>
    </w:p>
    <w:p w14:paraId="3E3DBAAA" w14:textId="70F03C2E" w:rsidR="003F0A22" w:rsidRDefault="003F0A22" w:rsidP="003F0A22">
      <w:r>
        <w:rPr>
          <w:noProof/>
          <w:color w:val="004B83"/>
        </w:rPr>
        <w:lastRenderedPageBreak/>
        <w:drawing>
          <wp:inline distT="0" distB="0" distL="0" distR="0" wp14:anchorId="5BAF661F" wp14:editId="3DB8ADCC">
            <wp:extent cx="6524625" cy="3952875"/>
            <wp:effectExtent l="0" t="0" r="9525" b="9525"/>
            <wp:docPr id="2" name="Picture 2" descr="figure 11">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igure 11">
                      <a:hlinkClick r:id="rId130"/>
                    </pic:cNvPr>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6524625" cy="3952875"/>
                    </a:xfrm>
                    <a:prstGeom prst="rect">
                      <a:avLst/>
                    </a:prstGeom>
                    <a:noFill/>
                    <a:ln>
                      <a:noFill/>
                    </a:ln>
                  </pic:spPr>
                </pic:pic>
              </a:graphicData>
            </a:graphic>
          </wp:inline>
        </w:drawing>
      </w:r>
    </w:p>
    <w:p w14:paraId="612EE7EB" w14:textId="77777777" w:rsidR="003F0A22" w:rsidRDefault="003F0A22" w:rsidP="003F0A22">
      <w:pPr>
        <w:pStyle w:val="NormalWeb"/>
        <w:spacing w:before="0" w:beforeAutospacing="0" w:after="0" w:afterAutospacing="0"/>
        <w:rPr>
          <w:rFonts w:ascii="Georgia" w:hAnsi="Georgia"/>
        </w:rPr>
      </w:pPr>
      <w:r>
        <w:rPr>
          <w:rFonts w:ascii="Georgia" w:hAnsi="Georgia"/>
        </w:rPr>
        <w:t>Comparative forecasting of </w:t>
      </w:r>
      <w:r>
        <w:rPr>
          <w:rFonts w:ascii="Georgia" w:hAnsi="Georgia"/>
          <w:i/>
          <w:iCs/>
        </w:rPr>
        <w:t>CO</w:t>
      </w:r>
      <w:r>
        <w:rPr>
          <w:rFonts w:ascii="Georgia" w:hAnsi="Georgia"/>
          <w:sz w:val="18"/>
          <w:szCs w:val="18"/>
          <w:vertAlign w:val="subscript"/>
        </w:rPr>
        <w:t>2</w:t>
      </w:r>
      <w:r>
        <w:rPr>
          <w:rFonts w:ascii="Georgia" w:hAnsi="Georgia"/>
        </w:rPr>
        <w:t> emissions from the year 2020 to 2030</w:t>
      </w:r>
    </w:p>
    <w:p w14:paraId="5F840C3E" w14:textId="77777777" w:rsidR="003F0A22" w:rsidRDefault="003F0A22" w:rsidP="003F0A22">
      <w:pPr>
        <w:jc w:val="right"/>
        <w:rPr>
          <w:rFonts w:ascii="Times New Roman" w:hAnsi="Times New Roman"/>
        </w:rPr>
      </w:pPr>
      <w:hyperlink r:id="rId132" w:history="1">
        <w:r>
          <w:rPr>
            <w:rStyle w:val="Hyperlink"/>
            <w:rFonts w:ascii="Segoe UI" w:hAnsi="Segoe UI" w:cs="Segoe UI"/>
            <w:b/>
            <w:bCs/>
            <w:color w:val="004B83"/>
            <w:bdr w:val="single" w:sz="24" w:space="6" w:color="BCD2DC" w:frame="1"/>
            <w:shd w:val="clear" w:color="auto" w:fill="FFFFFF"/>
          </w:rPr>
          <w:t>Full size image</w:t>
        </w:r>
      </w:hyperlink>
    </w:p>
    <w:p w14:paraId="67D6999C" w14:textId="77777777" w:rsidR="003F0A22" w:rsidRDefault="003F0A22" w:rsidP="003F0A22">
      <w:pPr>
        <w:pStyle w:val="Heading3"/>
        <w:spacing w:before="360" w:after="120"/>
        <w:rPr>
          <w:rFonts w:ascii="Segoe UI" w:hAnsi="Segoe UI" w:cs="Segoe UI"/>
          <w:color w:val="222222"/>
        </w:rPr>
      </w:pPr>
      <w:r>
        <w:rPr>
          <w:rFonts w:ascii="Segoe UI" w:hAnsi="Segoe UI" w:cs="Segoe UI"/>
          <w:b/>
          <w:bCs/>
          <w:color w:val="222222"/>
        </w:rPr>
        <w:t>A comparative study with recent work</w:t>
      </w:r>
    </w:p>
    <w:p w14:paraId="2ECFF5E0" w14:textId="77777777" w:rsidR="003F0A22" w:rsidRDefault="003F0A22" w:rsidP="003F0A22">
      <w:pPr>
        <w:pStyle w:val="NormalWeb"/>
        <w:spacing w:before="0" w:beforeAutospacing="0" w:after="0" w:afterAutospacing="0"/>
      </w:pPr>
      <w:r>
        <w:t>In this section, we have analyzed the comparative performance of the proposed model with the recent works (MK </w:t>
      </w:r>
      <w:hyperlink r:id="rId133" w:anchor="ref-CR34" w:tooltip="MK AN (2020) Role of energy use in the prediction of CO2 emissions and economic growth in India: evidence from artificial neural networks (ANN). Environ Sci Pollut Res 27(19):23631–23642" w:history="1">
        <w:r>
          <w:rPr>
            <w:rStyle w:val="Hyperlink"/>
            <w:rFonts w:eastAsiaTheme="majorEastAsia"/>
            <w:color w:val="004B83"/>
          </w:rPr>
          <w:t>2020</w:t>
        </w:r>
      </w:hyperlink>
      <w:r>
        <w:t>) and (</w:t>
      </w:r>
      <w:proofErr w:type="spellStart"/>
      <w:r>
        <w:t>Hewamalage</w:t>
      </w:r>
      <w:proofErr w:type="spellEnd"/>
      <w:r>
        <w:t xml:space="preserve"> et al. </w:t>
      </w:r>
      <w:hyperlink r:id="rId134" w:anchor="ref-CR21" w:tooltip="Hewamalage H, Bergmeir C, Bandara K (2021) Recurrent neural networks for time series forecasting: current status and future directions. Int J Forecast 37(1):388–427" w:history="1">
        <w:r>
          <w:rPr>
            <w:rStyle w:val="Hyperlink"/>
            <w:rFonts w:eastAsiaTheme="majorEastAsia"/>
            <w:color w:val="004B83"/>
          </w:rPr>
          <w:t>2021</w:t>
        </w:r>
      </w:hyperlink>
      <w:r>
        <w:t>). The work by (MK </w:t>
      </w:r>
      <w:hyperlink r:id="rId135" w:anchor="ref-CR34" w:tooltip="MK AN (2020) Role of energy use in the prediction of CO2 emissions and economic growth in India: evidence from artificial neural networks (ANN). Environ Sci Pollut Res 27(19):23631–23642" w:history="1">
        <w:r>
          <w:rPr>
            <w:rStyle w:val="Hyperlink"/>
            <w:rFonts w:eastAsiaTheme="majorEastAsia"/>
            <w:color w:val="004B83"/>
          </w:rPr>
          <w:t>2020</w:t>
        </w:r>
      </w:hyperlink>
      <w:r>
        <w:t>) proposed the ANN model as a best forecasting model for </w:t>
      </w:r>
      <w:r>
        <w:rPr>
          <w:i/>
          <w:iCs/>
        </w:rPr>
        <w:t>CO</w:t>
      </w:r>
      <w:r>
        <w:rPr>
          <w:sz w:val="20"/>
          <w:szCs w:val="20"/>
          <w:vertAlign w:val="subscript"/>
        </w:rPr>
        <w:t>2</w:t>
      </w:r>
      <w:r>
        <w:t> emission along with economic growth. Similarly, (</w:t>
      </w:r>
      <w:proofErr w:type="spellStart"/>
      <w:r>
        <w:t>Hewamalage</w:t>
      </w:r>
      <w:proofErr w:type="spellEnd"/>
      <w:r>
        <w:t xml:space="preserve"> et al. </w:t>
      </w:r>
      <w:hyperlink r:id="rId136" w:anchor="ref-CR21" w:tooltip="Hewamalage H, Bergmeir C, Bandara K (2021) Recurrent neural networks for time series forecasting: current status and future directions. Int J Forecast 37(1):388–427" w:history="1">
        <w:r>
          <w:rPr>
            <w:rStyle w:val="Hyperlink"/>
            <w:rFonts w:eastAsiaTheme="majorEastAsia"/>
            <w:color w:val="004B83"/>
          </w:rPr>
          <w:t>2021</w:t>
        </w:r>
      </w:hyperlink>
      <w:r>
        <w:t>) proposed that RNN (Recurrent Neural Network) as the best forecasting model over the competitive M4 dataset.</w:t>
      </w:r>
    </w:p>
    <w:p w14:paraId="7B18640B" w14:textId="77777777" w:rsidR="003F0A22" w:rsidRDefault="003F0A22" w:rsidP="003F0A22">
      <w:pPr>
        <w:pStyle w:val="NormalWeb"/>
        <w:spacing w:before="0" w:beforeAutospacing="0" w:after="0" w:afterAutospacing="0"/>
      </w:pPr>
      <w:r>
        <w:t>Now we have applied both the ANN and RNN model to our univariate </w:t>
      </w:r>
      <w:r>
        <w:rPr>
          <w:i/>
          <w:iCs/>
        </w:rPr>
        <w:t>CO</w:t>
      </w:r>
      <w:r>
        <w:rPr>
          <w:sz w:val="20"/>
          <w:szCs w:val="20"/>
          <w:vertAlign w:val="subscript"/>
        </w:rPr>
        <w:t>2</w:t>
      </w:r>
      <w:r>
        <w:t> emission dataset, it is observed that ANN is performing better than RNN but both are not better than our proposed model LSTM.</w:t>
      </w:r>
    </w:p>
    <w:p w14:paraId="71C2F9BF" w14:textId="77777777" w:rsidR="003F0A22" w:rsidRDefault="003F0A22" w:rsidP="003F0A22">
      <w:pPr>
        <w:pStyle w:val="NormalWeb"/>
        <w:spacing w:before="0" w:beforeAutospacing="0" w:after="0" w:afterAutospacing="0"/>
      </w:pPr>
      <w:r>
        <w:t>From Fig. </w:t>
      </w:r>
      <w:hyperlink r:id="rId137" w:anchor="Fig12" w:history="1">
        <w:r>
          <w:rPr>
            <w:rStyle w:val="Hyperlink"/>
            <w:rFonts w:eastAsiaTheme="majorEastAsia"/>
            <w:color w:val="004B83"/>
          </w:rPr>
          <w:t>12</w:t>
        </w:r>
      </w:hyperlink>
      <w:r>
        <w:t>, it can be observed that the proposed LSTM model is the best-performing model for univariate </w:t>
      </w:r>
      <w:r>
        <w:rPr>
          <w:i/>
          <w:iCs/>
        </w:rPr>
        <w:t>CO</w:t>
      </w:r>
      <w:r>
        <w:rPr>
          <w:sz w:val="20"/>
          <w:szCs w:val="20"/>
          <w:vertAlign w:val="subscript"/>
        </w:rPr>
        <w:t>2</w:t>
      </w:r>
      <w:r>
        <w:t> emission forecasting w.r.t. the performance metrics </w:t>
      </w:r>
      <w:r>
        <w:rPr>
          <w:i/>
          <w:iCs/>
        </w:rPr>
        <w:t>RMSE</w:t>
      </w:r>
      <w:r>
        <w:t>, </w:t>
      </w:r>
      <w:r>
        <w:rPr>
          <w:i/>
          <w:iCs/>
        </w:rPr>
        <w:t>MAE</w:t>
      </w:r>
      <w:r>
        <w:t>, </w:t>
      </w:r>
      <w:r>
        <w:rPr>
          <w:i/>
          <w:iCs/>
        </w:rPr>
        <w:t>MAPE</w:t>
      </w:r>
      <w:r>
        <w:t>, </w:t>
      </w:r>
      <w:proofErr w:type="spellStart"/>
      <w:r>
        <w:rPr>
          <w:i/>
          <w:iCs/>
        </w:rPr>
        <w:t>MedianAE</w:t>
      </w:r>
      <w:proofErr w:type="spellEnd"/>
      <w:r>
        <w:t>, </w:t>
      </w:r>
      <w:r>
        <w:rPr>
          <w:i/>
          <w:iCs/>
        </w:rPr>
        <w:t>EVS</w:t>
      </w:r>
      <w:r>
        <w:t>, and </w:t>
      </w:r>
      <w:r>
        <w:rPr>
          <w:i/>
          <w:iCs/>
        </w:rPr>
        <w:t>MSLE</w:t>
      </w:r>
      <w:r>
        <w:t>. Therefore, we can conclude that the proposed LSTM model is one the best model for </w:t>
      </w:r>
      <w:r>
        <w:rPr>
          <w:i/>
          <w:iCs/>
        </w:rPr>
        <w:t>CO</w:t>
      </w:r>
      <w:r>
        <w:rPr>
          <w:sz w:val="20"/>
          <w:szCs w:val="20"/>
          <w:vertAlign w:val="subscript"/>
        </w:rPr>
        <w:t>2</w:t>
      </w:r>
      <w:r>
        <w:t> emission forecasting.</w:t>
      </w:r>
    </w:p>
    <w:p w14:paraId="5FF4090C" w14:textId="77777777" w:rsidR="003F0A22" w:rsidRDefault="003F0A22" w:rsidP="003F0A22">
      <w:r>
        <w:rPr>
          <w:b/>
          <w:bCs/>
        </w:rPr>
        <w:t>Fig. 12</w:t>
      </w:r>
    </w:p>
    <w:p w14:paraId="300C0A85" w14:textId="6ABA8D91" w:rsidR="003F0A22" w:rsidRDefault="003F0A22" w:rsidP="003F0A22">
      <w:r>
        <w:rPr>
          <w:noProof/>
          <w:color w:val="004B83"/>
        </w:rPr>
        <w:lastRenderedPageBreak/>
        <w:drawing>
          <wp:inline distT="0" distB="0" distL="0" distR="0" wp14:anchorId="72ED878E" wp14:editId="307745B9">
            <wp:extent cx="6524625" cy="3829050"/>
            <wp:effectExtent l="0" t="0" r="9525" b="0"/>
            <wp:docPr id="1" name="Picture 1" descr="figure 12">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igure 12">
                      <a:hlinkClick r:id="rId138"/>
                    </pic:cNvPr>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6524625" cy="3829050"/>
                    </a:xfrm>
                    <a:prstGeom prst="rect">
                      <a:avLst/>
                    </a:prstGeom>
                    <a:noFill/>
                    <a:ln>
                      <a:noFill/>
                    </a:ln>
                  </pic:spPr>
                </pic:pic>
              </a:graphicData>
            </a:graphic>
          </wp:inline>
        </w:drawing>
      </w:r>
    </w:p>
    <w:p w14:paraId="58FC5F24" w14:textId="77777777" w:rsidR="003F0A22" w:rsidRDefault="003F0A22" w:rsidP="003F0A22">
      <w:pPr>
        <w:pStyle w:val="NormalWeb"/>
        <w:spacing w:before="0" w:beforeAutospacing="0" w:after="360" w:afterAutospacing="0"/>
        <w:rPr>
          <w:rFonts w:ascii="Georgia" w:hAnsi="Georgia"/>
        </w:rPr>
      </w:pPr>
      <w:r>
        <w:rPr>
          <w:rFonts w:ascii="Georgia" w:hAnsi="Georgia"/>
        </w:rPr>
        <w:t>Comparative analysis of the proposed model</w:t>
      </w:r>
    </w:p>
    <w:p w14:paraId="64DAC536" w14:textId="77777777" w:rsidR="003F0A22" w:rsidRDefault="003F0A22" w:rsidP="003F0A22">
      <w:pPr>
        <w:jc w:val="right"/>
        <w:rPr>
          <w:rFonts w:ascii="Times New Roman" w:hAnsi="Times New Roman"/>
        </w:rPr>
      </w:pPr>
      <w:hyperlink r:id="rId140" w:history="1">
        <w:r>
          <w:rPr>
            <w:rStyle w:val="Hyperlink"/>
            <w:rFonts w:ascii="Segoe UI" w:hAnsi="Segoe UI" w:cs="Segoe UI"/>
            <w:b/>
            <w:bCs/>
            <w:color w:val="004B83"/>
            <w:bdr w:val="single" w:sz="24" w:space="6" w:color="BCD2DC" w:frame="1"/>
            <w:shd w:val="clear" w:color="auto" w:fill="FFFFFF"/>
          </w:rPr>
          <w:t>Full size image</w:t>
        </w:r>
      </w:hyperlink>
    </w:p>
    <w:p w14:paraId="37CCA05A" w14:textId="77777777" w:rsidR="003F0A22" w:rsidRDefault="003F0A22" w:rsidP="003F0A22">
      <w:pPr>
        <w:pStyle w:val="Heading2"/>
        <w:pBdr>
          <w:bottom w:val="single" w:sz="12" w:space="6" w:color="D5D5D5"/>
        </w:pBdr>
        <w:spacing w:before="0"/>
        <w:rPr>
          <w:rFonts w:ascii="Georgia" w:hAnsi="Georgia"/>
        </w:rPr>
      </w:pPr>
      <w:r>
        <w:rPr>
          <w:rFonts w:ascii="Georgia" w:hAnsi="Georgia"/>
          <w:b/>
          <w:bCs/>
        </w:rPr>
        <w:t>Conclusion and future research directions</w:t>
      </w:r>
    </w:p>
    <w:p w14:paraId="40308093" w14:textId="77777777" w:rsidR="003F0A22" w:rsidRDefault="003F0A22" w:rsidP="003F0A22">
      <w:pPr>
        <w:pStyle w:val="NormalWeb"/>
        <w:spacing w:before="0" w:beforeAutospacing="0" w:after="0" w:afterAutospacing="0"/>
      </w:pPr>
      <w:r>
        <w:t>The accurate prediction of </w:t>
      </w:r>
      <w:r>
        <w:rPr>
          <w:i/>
          <w:iCs/>
        </w:rPr>
        <w:t>CO</w:t>
      </w:r>
      <w:r>
        <w:rPr>
          <w:sz w:val="20"/>
          <w:szCs w:val="20"/>
          <w:vertAlign w:val="subscript"/>
        </w:rPr>
        <w:t>2</w:t>
      </w:r>
      <w:r>
        <w:t> emission in India in the coming decades is crucial for people’s lives and the government. As per the available data, India is in the second position in the largest </w:t>
      </w:r>
      <w:r>
        <w:rPr>
          <w:i/>
          <w:iCs/>
        </w:rPr>
        <w:t>CO</w:t>
      </w:r>
      <w:r>
        <w:rPr>
          <w:sz w:val="20"/>
          <w:szCs w:val="20"/>
          <w:vertAlign w:val="subscript"/>
        </w:rPr>
        <w:t>2</w:t>
      </w:r>
      <w:r>
        <w:t> emitting countries. The contribution of our work is to control the </w:t>
      </w:r>
      <w:r>
        <w:rPr>
          <w:i/>
          <w:iCs/>
        </w:rPr>
        <w:t>CO</w:t>
      </w:r>
      <w:r>
        <w:rPr>
          <w:sz w:val="20"/>
          <w:szCs w:val="20"/>
          <w:vertAlign w:val="subscript"/>
        </w:rPr>
        <w:t>2</w:t>
      </w:r>
      <w:r>
        <w:t> emission to save human lives. In this work, we have applied the statistical, machine learning, and deep learning-based time series model to observe the </w:t>
      </w:r>
      <w:r>
        <w:rPr>
          <w:i/>
          <w:iCs/>
        </w:rPr>
        <w:t>CO</w:t>
      </w:r>
      <w:r>
        <w:rPr>
          <w:sz w:val="20"/>
          <w:szCs w:val="20"/>
          <w:vertAlign w:val="subscript"/>
        </w:rPr>
        <w:t>2</w:t>
      </w:r>
      <w:r>
        <w:t> emission pattern. The performance of these models is evaluated based on nine appropriate performance metrics to choose a suitable one for future forecasting.</w:t>
      </w:r>
    </w:p>
    <w:p w14:paraId="1FC1661D" w14:textId="77777777" w:rsidR="003F0A22" w:rsidRDefault="003F0A22" w:rsidP="003F0A22">
      <w:pPr>
        <w:pStyle w:val="NormalWeb"/>
        <w:spacing w:before="0" w:beforeAutospacing="0" w:after="0" w:afterAutospacing="0"/>
      </w:pPr>
      <w:r>
        <w:t>Findings indicate that out of applied models LSTM, SARIMAX, and Holt-Winters are better performing models for effective </w:t>
      </w:r>
      <w:r>
        <w:rPr>
          <w:i/>
          <w:iCs/>
        </w:rPr>
        <w:t>CO</w:t>
      </w:r>
      <w:r>
        <w:rPr>
          <w:sz w:val="20"/>
          <w:szCs w:val="20"/>
          <w:vertAlign w:val="subscript"/>
        </w:rPr>
        <w:t>2</w:t>
      </w:r>
      <w:r>
        <w:t> emission prediction. To analyze the performance of the applied models, we have used the 40 years of </w:t>
      </w:r>
      <w:r>
        <w:rPr>
          <w:i/>
          <w:iCs/>
        </w:rPr>
        <w:t>CO</w:t>
      </w:r>
      <w:r>
        <w:rPr>
          <w:sz w:val="20"/>
          <w:szCs w:val="20"/>
          <w:vertAlign w:val="subscript"/>
        </w:rPr>
        <w:t>2</w:t>
      </w:r>
      <w:r>
        <w:t> emission data. The result performance metrics-based observations conclude that LSTM is the best performing model with a 3.101% </w:t>
      </w:r>
      <w:r>
        <w:rPr>
          <w:i/>
          <w:iCs/>
        </w:rPr>
        <w:t>MAPE</w:t>
      </w:r>
      <w:r>
        <w:t> value, 60.635 </w:t>
      </w:r>
      <w:r>
        <w:rPr>
          <w:i/>
          <w:iCs/>
        </w:rPr>
        <w:t>RMSE</w:t>
      </w:r>
      <w:r>
        <w:t> value, and 28.898 </w:t>
      </w:r>
      <w:proofErr w:type="spellStart"/>
      <w:r>
        <w:rPr>
          <w:i/>
          <w:iCs/>
        </w:rPr>
        <w:t>MedAE</w:t>
      </w:r>
      <w:proofErr w:type="spellEnd"/>
      <w:r>
        <w:t> values. Only the </w:t>
      </w:r>
      <w:r>
        <w:rPr>
          <w:i/>
          <w:iCs/>
        </w:rPr>
        <w:t>MAE</w:t>
      </w:r>
      <w:r>
        <w:t> value predicts SARIMAX as best. And EVS error value is tied between both LSTM and SARIMAX. We have also performed the Friedman test to show the statistical significance of the proposed model. In which, we have observed that LSTM has the highest Friedman ranking value 0f 4.72, indicates that it is one of the most suitable models for </w:t>
      </w:r>
      <w:r>
        <w:rPr>
          <w:i/>
          <w:iCs/>
        </w:rPr>
        <w:t>CO</w:t>
      </w:r>
      <w:r>
        <w:rPr>
          <w:sz w:val="20"/>
          <w:szCs w:val="20"/>
          <w:vertAlign w:val="subscript"/>
        </w:rPr>
        <w:t>2</w:t>
      </w:r>
      <w:r>
        <w:t> emission forecasting.</w:t>
      </w:r>
    </w:p>
    <w:p w14:paraId="597730CA" w14:textId="77777777" w:rsidR="003F0A22" w:rsidRDefault="003F0A22" w:rsidP="003F0A22">
      <w:pPr>
        <w:pStyle w:val="NormalWeb"/>
        <w:spacing w:before="0" w:beforeAutospacing="0" w:after="0" w:afterAutospacing="0"/>
      </w:pPr>
      <w:r>
        <w:lastRenderedPageBreak/>
        <w:t>Furthermore, a comparative study done with the recent works using the performance metrics </w:t>
      </w:r>
      <w:r>
        <w:rPr>
          <w:i/>
          <w:iCs/>
        </w:rPr>
        <w:t>RMSE</w:t>
      </w:r>
      <w:r>
        <w:t>, </w:t>
      </w:r>
      <w:r>
        <w:rPr>
          <w:i/>
          <w:iCs/>
        </w:rPr>
        <w:t>MAE</w:t>
      </w:r>
      <w:r>
        <w:t>, </w:t>
      </w:r>
      <w:r>
        <w:rPr>
          <w:i/>
          <w:iCs/>
        </w:rPr>
        <w:t>MAPE Median AE</w:t>
      </w:r>
      <w:r>
        <w:t>, </w:t>
      </w:r>
      <w:r>
        <w:rPr>
          <w:i/>
          <w:iCs/>
        </w:rPr>
        <w:t>EVS</w:t>
      </w:r>
      <w:r>
        <w:t>, and </w:t>
      </w:r>
      <w:r>
        <w:rPr>
          <w:i/>
          <w:iCs/>
        </w:rPr>
        <w:t>MSLE</w:t>
      </w:r>
      <w:r>
        <w:t> to conclude the suitability of the proposed model. The comparative results conclude that LSTM is the most suitable model along with the lowest errors in </w:t>
      </w:r>
      <w:r>
        <w:rPr>
          <w:i/>
          <w:iCs/>
        </w:rPr>
        <w:t>RMSE</w:t>
      </w:r>
      <w:r>
        <w:t>, </w:t>
      </w:r>
      <w:r>
        <w:rPr>
          <w:i/>
          <w:iCs/>
        </w:rPr>
        <w:t>MAE</w:t>
      </w:r>
      <w:r>
        <w:t>, </w:t>
      </w:r>
      <w:r>
        <w:rPr>
          <w:i/>
          <w:iCs/>
        </w:rPr>
        <w:t>MAPE</w:t>
      </w:r>
      <w:r>
        <w:t>, </w:t>
      </w:r>
      <w:r>
        <w:rPr>
          <w:i/>
          <w:iCs/>
        </w:rPr>
        <w:t>Media AE</w:t>
      </w:r>
      <w:r>
        <w:t>, and </w:t>
      </w:r>
      <w:r>
        <w:rPr>
          <w:i/>
          <w:iCs/>
        </w:rPr>
        <w:t>MSLE</w:t>
      </w:r>
      <w:r>
        <w:t>. Therefore, the LSTM model is proposed to be the best model and is used to forecast the next 10 years (2020 to 2030) years </w:t>
      </w:r>
      <w:r>
        <w:rPr>
          <w:i/>
          <w:iCs/>
        </w:rPr>
        <w:t>CO</w:t>
      </w:r>
      <w:r>
        <w:rPr>
          <w:sz w:val="20"/>
          <w:szCs w:val="20"/>
          <w:vertAlign w:val="subscript"/>
        </w:rPr>
        <w:t>2</w:t>
      </w:r>
      <w:r>
        <w:t> emissions.</w:t>
      </w:r>
    </w:p>
    <w:p w14:paraId="4C978F72" w14:textId="77777777" w:rsidR="003F0A22" w:rsidRDefault="003F0A22" w:rsidP="003F0A22">
      <w:pPr>
        <w:pStyle w:val="NormalWeb"/>
        <w:spacing w:before="0" w:beforeAutospacing="0" w:after="0" w:afterAutospacing="0"/>
      </w:pPr>
      <w:r>
        <w:t>According to the LSTM model, </w:t>
      </w:r>
      <w:r>
        <w:rPr>
          <w:i/>
          <w:iCs/>
        </w:rPr>
        <w:t>CO</w:t>
      </w:r>
      <w:r>
        <w:rPr>
          <w:sz w:val="20"/>
          <w:szCs w:val="20"/>
          <w:vertAlign w:val="subscript"/>
        </w:rPr>
        <w:t>2</w:t>
      </w:r>
      <w:r>
        <w:t> emission will be approximately five thousand metric tons which is two times of current </w:t>
      </w:r>
      <w:r>
        <w:rPr>
          <w:i/>
          <w:iCs/>
        </w:rPr>
        <w:t>CO</w:t>
      </w:r>
      <w:r>
        <w:rPr>
          <w:sz w:val="20"/>
          <w:szCs w:val="20"/>
          <w:vertAlign w:val="subscript"/>
        </w:rPr>
        <w:t>2</w:t>
      </w:r>
      <w:r>
        <w:t> emission if it will keep going at the same pace, so appropriate </w:t>
      </w:r>
      <w:r>
        <w:rPr>
          <w:i/>
          <w:iCs/>
        </w:rPr>
        <w:t>CO</w:t>
      </w:r>
      <w:r>
        <w:rPr>
          <w:sz w:val="20"/>
          <w:szCs w:val="20"/>
          <w:vertAlign w:val="subscript"/>
        </w:rPr>
        <w:t>2</w:t>
      </w:r>
      <w:r>
        <w:t> emission forecasting would be fruitful for the upcoming governments to frame their policies to abide by the UN-specific reduction measures, i.e. reducing </w:t>
      </w:r>
      <w:r>
        <w:rPr>
          <w:i/>
          <w:iCs/>
        </w:rPr>
        <w:t>CO</w:t>
      </w:r>
      <w:r>
        <w:rPr>
          <w:sz w:val="20"/>
          <w:szCs w:val="20"/>
          <w:vertAlign w:val="subscript"/>
        </w:rPr>
        <w:t>2</w:t>
      </w:r>
      <w:r>
        <w:t xml:space="preserve"> emission by 58% by 2030. As a result, it is strongly advised that governments implement various policies, rules, norms, limits, and legislations to </w:t>
      </w:r>
      <w:proofErr w:type="spellStart"/>
      <w:r>
        <w:t>minimise</w:t>
      </w:r>
      <w:proofErr w:type="spellEnd"/>
      <w:r>
        <w:t> </w:t>
      </w:r>
      <w:r>
        <w:rPr>
          <w:i/>
          <w:iCs/>
        </w:rPr>
        <w:t>CO</w:t>
      </w:r>
      <w:r>
        <w:rPr>
          <w:sz w:val="20"/>
          <w:szCs w:val="20"/>
          <w:vertAlign w:val="subscript"/>
        </w:rPr>
        <w:t>2</w:t>
      </w:r>
      <w:r>
        <w:t> emissions and fossil-fuel usage in the various sectors.</w:t>
      </w:r>
    </w:p>
    <w:p w14:paraId="6D66EEFD" w14:textId="77777777" w:rsidR="003F0A22" w:rsidRDefault="003F0A22" w:rsidP="003F0A22">
      <w:pPr>
        <w:pStyle w:val="NormalWeb"/>
        <w:numPr>
          <w:ilvl w:val="0"/>
          <w:numId w:val="2"/>
        </w:numPr>
        <w:spacing w:before="0" w:beforeAutospacing="0" w:after="360" w:afterAutospacing="0"/>
        <w:ind w:left="0"/>
      </w:pPr>
      <w:r>
        <w:t>A few suggestions for policy-making could be increasing taxes on ecologically damaging uses.</w:t>
      </w:r>
    </w:p>
    <w:p w14:paraId="20EB534D" w14:textId="77777777" w:rsidR="003F0A22" w:rsidRDefault="003F0A22" w:rsidP="003F0A22">
      <w:pPr>
        <w:pStyle w:val="NormalWeb"/>
        <w:numPr>
          <w:ilvl w:val="0"/>
          <w:numId w:val="2"/>
        </w:numPr>
        <w:spacing w:before="0" w:beforeAutospacing="0" w:after="360" w:afterAutospacing="0"/>
        <w:ind w:left="0"/>
      </w:pPr>
      <w:r>
        <w:t>Imposing carbon taxes, cap-and-trade systems, carbon offsets, carbon caps, and eco-friendly technology standards.</w:t>
      </w:r>
    </w:p>
    <w:p w14:paraId="7EE78051" w14:textId="77777777" w:rsidR="003F0A22" w:rsidRDefault="003F0A22" w:rsidP="003F0A22">
      <w:pPr>
        <w:pStyle w:val="NormalWeb"/>
        <w:numPr>
          <w:ilvl w:val="0"/>
          <w:numId w:val="2"/>
        </w:numPr>
        <w:spacing w:before="0" w:beforeAutospacing="0" w:after="360" w:afterAutospacing="0"/>
        <w:ind w:left="0"/>
      </w:pPr>
      <w:r>
        <w:t>To educate people about the issues that create pollution and to raise community consciousness in society.</w:t>
      </w:r>
    </w:p>
    <w:p w14:paraId="1232B158" w14:textId="77777777" w:rsidR="003F0A22" w:rsidRDefault="003F0A22" w:rsidP="003F0A22">
      <w:pPr>
        <w:pStyle w:val="NormalWeb"/>
        <w:numPr>
          <w:ilvl w:val="0"/>
          <w:numId w:val="2"/>
        </w:numPr>
        <w:spacing w:before="0" w:beforeAutospacing="0" w:after="360" w:afterAutospacing="0"/>
        <w:ind w:left="0"/>
      </w:pPr>
      <w:r>
        <w:t>Introducing free bus policies and promoting the electric vehicles would reduce the national fuel usage and the country’s carbon impact.</w:t>
      </w:r>
    </w:p>
    <w:p w14:paraId="3DCA31A5" w14:textId="77777777" w:rsidR="003F0A22" w:rsidRDefault="003F0A22" w:rsidP="003F0A22">
      <w:pPr>
        <w:pStyle w:val="NormalWeb"/>
        <w:numPr>
          <w:ilvl w:val="0"/>
          <w:numId w:val="2"/>
        </w:numPr>
        <w:spacing w:before="0" w:beforeAutospacing="0" w:after="360" w:afterAutospacing="0"/>
        <w:ind w:left="0"/>
      </w:pPr>
      <w:r>
        <w:t>India should use low carbon-emitting sources like carbon-free hydrogen and sustainable biofuels for its power supply and reduce its dependence on coal, as it is an emerging renewable energy leader.</w:t>
      </w:r>
    </w:p>
    <w:p w14:paraId="10DF5505" w14:textId="77777777" w:rsidR="003F0A22" w:rsidRDefault="003F0A22" w:rsidP="003F0A22">
      <w:pPr>
        <w:pStyle w:val="NormalWeb"/>
        <w:numPr>
          <w:ilvl w:val="0"/>
          <w:numId w:val="2"/>
        </w:numPr>
        <w:spacing w:before="0" w:beforeAutospacing="0" w:after="360" w:afterAutospacing="0"/>
        <w:ind w:left="0"/>
      </w:pPr>
      <w:r>
        <w:t>Voluntary approaches should be adopted as a tool to reduce industrial emissions.</w:t>
      </w:r>
    </w:p>
    <w:p w14:paraId="62CD5EA1" w14:textId="77777777" w:rsidR="003F0A22" w:rsidRDefault="003F0A22" w:rsidP="003F0A22">
      <w:pPr>
        <w:pStyle w:val="NormalWeb"/>
        <w:spacing w:before="0" w:beforeAutospacing="0" w:after="0" w:afterAutospacing="0"/>
      </w:pPr>
      <w:r>
        <w:t>This work is limited only to univariate data prediction for </w:t>
      </w:r>
      <w:r>
        <w:rPr>
          <w:i/>
          <w:iCs/>
        </w:rPr>
        <w:t>CO</w:t>
      </w:r>
      <w:r>
        <w:rPr>
          <w:sz w:val="20"/>
          <w:szCs w:val="20"/>
          <w:vertAlign w:val="subscript"/>
        </w:rPr>
        <w:t>2</w:t>
      </w:r>
      <w:r>
        <w:t> emission. We have not inculcated many factors such as population growth, economic growth, advancing technology, switching to renewable energy sources, and future government actions. These are a few exogenous factors that future researchers can explore. They may find a way to deal with such deviations due to these factors so that the new models could forecast data with more accurate </w:t>
      </w:r>
      <w:r>
        <w:rPr>
          <w:i/>
          <w:iCs/>
        </w:rPr>
        <w:t>CO</w:t>
      </w:r>
      <w:r>
        <w:rPr>
          <w:sz w:val="20"/>
          <w:szCs w:val="20"/>
          <w:vertAlign w:val="subscript"/>
        </w:rPr>
        <w:t>2</w:t>
      </w:r>
      <w:r>
        <w:t> emissions. After including the factors above, we can find the correlation among them, and multivariate analysis can be done for effective </w:t>
      </w:r>
      <w:r>
        <w:rPr>
          <w:i/>
          <w:iCs/>
        </w:rPr>
        <w:t>CO</w:t>
      </w:r>
      <w:r>
        <w:rPr>
          <w:sz w:val="20"/>
          <w:szCs w:val="20"/>
          <w:vertAlign w:val="subscript"/>
        </w:rPr>
        <w:t>2</w:t>
      </w:r>
      <w:r>
        <w:t> emission prediction.</w:t>
      </w:r>
    </w:p>
    <w:p w14:paraId="089C9B78" w14:textId="77777777" w:rsidR="003F0A22" w:rsidRDefault="003F0A22" w:rsidP="5C5906FE">
      <w:pPr>
        <w:rPr>
          <w:rFonts w:ascii="Times New Roman" w:eastAsia="Times New Roman" w:hAnsi="Times New Roman" w:cs="Times New Roman"/>
        </w:rPr>
      </w:pPr>
    </w:p>
    <w:p w14:paraId="04FC3C5B" w14:textId="44E1B9FB" w:rsidR="5C5906FE" w:rsidRDefault="5C5906FE" w:rsidP="5C5906FE"/>
    <w:p w14:paraId="7352A93C" w14:textId="3506D6F6" w:rsidR="5C5906FE" w:rsidRDefault="5C5906FE" w:rsidP="5C5906FE">
      <w:pPr>
        <w:rPr>
          <w:rFonts w:ascii="Times New Roman" w:eastAsia="Times New Roman" w:hAnsi="Times New Roman" w:cs="Times New Roman"/>
          <w:b/>
          <w:bCs/>
          <w:sz w:val="36"/>
          <w:szCs w:val="36"/>
        </w:rPr>
      </w:pPr>
    </w:p>
    <w:sectPr w:rsidR="5C590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athJax_Main">
    <w:altName w:val="Times New Roman"/>
    <w:panose1 w:val="00000000000000000000"/>
    <w:charset w:val="00"/>
    <w:family w:val="roman"/>
    <w:notTrueType/>
    <w:pitch w:val="default"/>
  </w:font>
  <w:font w:name="MathJax_Math-italic">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athJax_Size2">
    <w:altName w:val="Times New Roman"/>
    <w:panose1 w:val="00000000000000000000"/>
    <w:charset w:val="00"/>
    <w:family w:val="roman"/>
    <w:notTrueType/>
    <w:pitch w:val="default"/>
  </w:font>
  <w:font w:name="MathJax_Size1">
    <w:altName w:val="Times New Roman"/>
    <w:panose1 w:val="00000000000000000000"/>
    <w:charset w:val="00"/>
    <w:family w:val="roman"/>
    <w:notTrueType/>
    <w:pitch w:val="default"/>
  </w:font>
  <w:font w:name="MathJax_Size4">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93DAA"/>
    <w:multiLevelType w:val="hybridMultilevel"/>
    <w:tmpl w:val="15F4A2AA"/>
    <w:lvl w:ilvl="0" w:tplc="F27E828C">
      <w:start w:val="1"/>
      <w:numFmt w:val="decimal"/>
      <w:lvlText w:val="%1."/>
      <w:lvlJc w:val="left"/>
      <w:pPr>
        <w:ind w:left="720" w:hanging="360"/>
      </w:pPr>
    </w:lvl>
    <w:lvl w:ilvl="1" w:tplc="DB306F0E">
      <w:start w:val="1"/>
      <w:numFmt w:val="lowerLetter"/>
      <w:lvlText w:val="%2."/>
      <w:lvlJc w:val="left"/>
      <w:pPr>
        <w:ind w:left="1440" w:hanging="360"/>
      </w:pPr>
    </w:lvl>
    <w:lvl w:ilvl="2" w:tplc="C6EE5198">
      <w:start w:val="1"/>
      <w:numFmt w:val="lowerRoman"/>
      <w:lvlText w:val="%3."/>
      <w:lvlJc w:val="right"/>
      <w:pPr>
        <w:ind w:left="2160" w:hanging="180"/>
      </w:pPr>
    </w:lvl>
    <w:lvl w:ilvl="3" w:tplc="CEC04B74">
      <w:start w:val="1"/>
      <w:numFmt w:val="decimal"/>
      <w:lvlText w:val="%4."/>
      <w:lvlJc w:val="left"/>
      <w:pPr>
        <w:ind w:left="2880" w:hanging="360"/>
      </w:pPr>
    </w:lvl>
    <w:lvl w:ilvl="4" w:tplc="20B4E03A">
      <w:start w:val="1"/>
      <w:numFmt w:val="lowerLetter"/>
      <w:lvlText w:val="%5."/>
      <w:lvlJc w:val="left"/>
      <w:pPr>
        <w:ind w:left="3600" w:hanging="360"/>
      </w:pPr>
    </w:lvl>
    <w:lvl w:ilvl="5" w:tplc="A3687C2A">
      <w:start w:val="1"/>
      <w:numFmt w:val="lowerRoman"/>
      <w:lvlText w:val="%6."/>
      <w:lvlJc w:val="right"/>
      <w:pPr>
        <w:ind w:left="4320" w:hanging="180"/>
      </w:pPr>
    </w:lvl>
    <w:lvl w:ilvl="6" w:tplc="DCB0E02A">
      <w:start w:val="1"/>
      <w:numFmt w:val="decimal"/>
      <w:lvlText w:val="%7."/>
      <w:lvlJc w:val="left"/>
      <w:pPr>
        <w:ind w:left="5040" w:hanging="360"/>
      </w:pPr>
    </w:lvl>
    <w:lvl w:ilvl="7" w:tplc="36D26B00">
      <w:start w:val="1"/>
      <w:numFmt w:val="lowerLetter"/>
      <w:lvlText w:val="%8."/>
      <w:lvlJc w:val="left"/>
      <w:pPr>
        <w:ind w:left="5760" w:hanging="360"/>
      </w:pPr>
    </w:lvl>
    <w:lvl w:ilvl="8" w:tplc="75E653EA">
      <w:start w:val="1"/>
      <w:numFmt w:val="lowerRoman"/>
      <w:lvlText w:val="%9."/>
      <w:lvlJc w:val="right"/>
      <w:pPr>
        <w:ind w:left="6480" w:hanging="180"/>
      </w:pPr>
    </w:lvl>
  </w:abstractNum>
  <w:abstractNum w:abstractNumId="1" w15:restartNumberingAfterBreak="0">
    <w:nsid w:val="349C07EF"/>
    <w:multiLevelType w:val="multilevel"/>
    <w:tmpl w:val="3652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4090B39"/>
    <w:rsid w:val="000C240C"/>
    <w:rsid w:val="002B4420"/>
    <w:rsid w:val="003F0A22"/>
    <w:rsid w:val="006B0F30"/>
    <w:rsid w:val="00956FC0"/>
    <w:rsid w:val="00C52A78"/>
    <w:rsid w:val="02174925"/>
    <w:rsid w:val="0312612B"/>
    <w:rsid w:val="04D4940F"/>
    <w:rsid w:val="068F5D83"/>
    <w:rsid w:val="074EF8EF"/>
    <w:rsid w:val="078AC9AC"/>
    <w:rsid w:val="082CCD31"/>
    <w:rsid w:val="0B46E847"/>
    <w:rsid w:val="0FA661C7"/>
    <w:rsid w:val="11C697CA"/>
    <w:rsid w:val="125C9764"/>
    <w:rsid w:val="12D8FB9A"/>
    <w:rsid w:val="13174A1E"/>
    <w:rsid w:val="14031F8B"/>
    <w:rsid w:val="14815063"/>
    <w:rsid w:val="14A1155F"/>
    <w:rsid w:val="168959FB"/>
    <w:rsid w:val="18252A5C"/>
    <w:rsid w:val="1A0E1BA0"/>
    <w:rsid w:val="1A176C63"/>
    <w:rsid w:val="1AE7E6C7"/>
    <w:rsid w:val="1B1056E3"/>
    <w:rsid w:val="1BD3B135"/>
    <w:rsid w:val="1CF89B7F"/>
    <w:rsid w:val="1E5E119D"/>
    <w:rsid w:val="1F54E2F5"/>
    <w:rsid w:val="23C3741B"/>
    <w:rsid w:val="24B573BC"/>
    <w:rsid w:val="2530E965"/>
    <w:rsid w:val="2566763E"/>
    <w:rsid w:val="258DDF4A"/>
    <w:rsid w:val="278A947C"/>
    <w:rsid w:val="2B2E6833"/>
    <w:rsid w:val="2E2771A4"/>
    <w:rsid w:val="2EF7B08D"/>
    <w:rsid w:val="30181E71"/>
    <w:rsid w:val="35B9FCA9"/>
    <w:rsid w:val="35FD33BF"/>
    <w:rsid w:val="362BA919"/>
    <w:rsid w:val="3695241F"/>
    <w:rsid w:val="36F1879B"/>
    <w:rsid w:val="379EF2D9"/>
    <w:rsid w:val="39E6B437"/>
    <w:rsid w:val="3AC7DCE7"/>
    <w:rsid w:val="3B5224D4"/>
    <w:rsid w:val="3CEDF535"/>
    <w:rsid w:val="3D03D8C3"/>
    <w:rsid w:val="3DCCFC14"/>
    <w:rsid w:val="3F19FFC0"/>
    <w:rsid w:val="4156E66C"/>
    <w:rsid w:val="454D3425"/>
    <w:rsid w:val="456BDB04"/>
    <w:rsid w:val="459DB06B"/>
    <w:rsid w:val="46F5A645"/>
    <w:rsid w:val="473CA097"/>
    <w:rsid w:val="48468B6A"/>
    <w:rsid w:val="48D57176"/>
    <w:rsid w:val="4934BEB7"/>
    <w:rsid w:val="4B7E2C2C"/>
    <w:rsid w:val="4F1450E1"/>
    <w:rsid w:val="50519D4F"/>
    <w:rsid w:val="508C0C6A"/>
    <w:rsid w:val="52276F4E"/>
    <w:rsid w:val="52846757"/>
    <w:rsid w:val="537E9281"/>
    <w:rsid w:val="53D263E0"/>
    <w:rsid w:val="547FB6A8"/>
    <w:rsid w:val="552CFBF8"/>
    <w:rsid w:val="555F7D8D"/>
    <w:rsid w:val="567AFEE1"/>
    <w:rsid w:val="56FB4DEE"/>
    <w:rsid w:val="593E9FD8"/>
    <w:rsid w:val="59449425"/>
    <w:rsid w:val="59BC258B"/>
    <w:rsid w:val="5C5906FE"/>
    <w:rsid w:val="64090B39"/>
    <w:rsid w:val="64D88064"/>
    <w:rsid w:val="6532BA7F"/>
    <w:rsid w:val="65A9F169"/>
    <w:rsid w:val="65D5C69E"/>
    <w:rsid w:val="66AD2C49"/>
    <w:rsid w:val="66C5C7C6"/>
    <w:rsid w:val="6ABFC1DD"/>
    <w:rsid w:val="6AF13305"/>
    <w:rsid w:val="6CE9EC38"/>
    <w:rsid w:val="6E3B5AEA"/>
    <w:rsid w:val="6E7DF848"/>
    <w:rsid w:val="6E7EA46C"/>
    <w:rsid w:val="709E9FBC"/>
    <w:rsid w:val="710E3397"/>
    <w:rsid w:val="71AF09FC"/>
    <w:rsid w:val="721D3681"/>
    <w:rsid w:val="74B2C602"/>
    <w:rsid w:val="758DE35E"/>
    <w:rsid w:val="7851AEDB"/>
    <w:rsid w:val="7894E91E"/>
    <w:rsid w:val="79FFC1C5"/>
    <w:rsid w:val="7BFC22CF"/>
    <w:rsid w:val="7EDCE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90B39"/>
  <w15:chartTrackingRefBased/>
  <w15:docId w15:val="{87360040-6E7B-4101-B107-C1B9B186B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pPr>
      <w:ind w:left="720"/>
      <w:contextualSpacing/>
    </w:pPr>
  </w:style>
  <w:style w:type="paragraph" w:styleId="NormalWeb">
    <w:name w:val="Normal (Web)"/>
    <w:basedOn w:val="Normal"/>
    <w:uiPriority w:val="99"/>
    <w:semiHidden/>
    <w:unhideWhenUsed/>
    <w:rsid w:val="003F0A2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F0A22"/>
    <w:rPr>
      <w:color w:val="0000FF"/>
      <w:u w:val="single"/>
    </w:rPr>
  </w:style>
  <w:style w:type="character" w:customStyle="1" w:styleId="u-visually-hidden">
    <w:name w:val="u-visually-hidden"/>
    <w:basedOn w:val="DefaultParagraphFont"/>
    <w:rsid w:val="003F0A22"/>
  </w:style>
  <w:style w:type="character" w:customStyle="1" w:styleId="mathjax">
    <w:name w:val="mathjax"/>
    <w:basedOn w:val="DefaultParagraphFont"/>
    <w:rsid w:val="003F0A22"/>
  </w:style>
  <w:style w:type="character" w:customStyle="1" w:styleId="math">
    <w:name w:val="math"/>
    <w:basedOn w:val="DefaultParagraphFont"/>
    <w:rsid w:val="003F0A22"/>
  </w:style>
  <w:style w:type="character" w:customStyle="1" w:styleId="mrow">
    <w:name w:val="mrow"/>
    <w:basedOn w:val="DefaultParagraphFont"/>
    <w:rsid w:val="003F0A22"/>
  </w:style>
  <w:style w:type="character" w:customStyle="1" w:styleId="mi">
    <w:name w:val="mi"/>
    <w:basedOn w:val="DefaultParagraphFont"/>
    <w:rsid w:val="003F0A22"/>
  </w:style>
  <w:style w:type="character" w:customStyle="1" w:styleId="mtext">
    <w:name w:val="mtext"/>
    <w:basedOn w:val="DefaultParagraphFont"/>
    <w:rsid w:val="003F0A22"/>
  </w:style>
  <w:style w:type="character" w:customStyle="1" w:styleId="mo">
    <w:name w:val="mo"/>
    <w:basedOn w:val="DefaultParagraphFont"/>
    <w:rsid w:val="003F0A22"/>
  </w:style>
  <w:style w:type="character" w:customStyle="1" w:styleId="mn">
    <w:name w:val="mn"/>
    <w:basedOn w:val="DefaultParagraphFont"/>
    <w:rsid w:val="003F0A22"/>
  </w:style>
  <w:style w:type="character" w:customStyle="1" w:styleId="mjxassistivemathml">
    <w:name w:val="mjx_assistive_mathml"/>
    <w:basedOn w:val="DefaultParagraphFont"/>
    <w:rsid w:val="003F0A22"/>
  </w:style>
  <w:style w:type="character" w:customStyle="1" w:styleId="msqrt">
    <w:name w:val="msqrt"/>
    <w:basedOn w:val="DefaultParagraphFont"/>
    <w:rsid w:val="003F0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9753966">
      <w:bodyDiv w:val="1"/>
      <w:marLeft w:val="0"/>
      <w:marRight w:val="0"/>
      <w:marTop w:val="0"/>
      <w:marBottom w:val="0"/>
      <w:divBdr>
        <w:top w:val="none" w:sz="0" w:space="0" w:color="auto"/>
        <w:left w:val="none" w:sz="0" w:space="0" w:color="auto"/>
        <w:bottom w:val="none" w:sz="0" w:space="0" w:color="auto"/>
        <w:right w:val="none" w:sz="0" w:space="0" w:color="auto"/>
      </w:divBdr>
      <w:divsChild>
        <w:div w:id="17202905">
          <w:marLeft w:val="0"/>
          <w:marRight w:val="0"/>
          <w:marTop w:val="0"/>
          <w:marBottom w:val="0"/>
          <w:divBdr>
            <w:top w:val="none" w:sz="0" w:space="0" w:color="auto"/>
            <w:left w:val="none" w:sz="0" w:space="0" w:color="auto"/>
            <w:bottom w:val="none" w:sz="0" w:space="0" w:color="auto"/>
            <w:right w:val="none" w:sz="0" w:space="0" w:color="auto"/>
          </w:divBdr>
          <w:divsChild>
            <w:div w:id="2112316219">
              <w:marLeft w:val="0"/>
              <w:marRight w:val="0"/>
              <w:marTop w:val="0"/>
              <w:marBottom w:val="600"/>
              <w:divBdr>
                <w:top w:val="none" w:sz="0" w:space="0" w:color="auto"/>
                <w:left w:val="none" w:sz="0" w:space="0" w:color="auto"/>
                <w:bottom w:val="none" w:sz="0" w:space="0" w:color="auto"/>
                <w:right w:val="none" w:sz="0" w:space="0" w:color="auto"/>
              </w:divBdr>
              <w:divsChild>
                <w:div w:id="1687248592">
                  <w:marLeft w:val="0"/>
                  <w:marRight w:val="0"/>
                  <w:marTop w:val="0"/>
                  <w:marBottom w:val="360"/>
                  <w:divBdr>
                    <w:top w:val="single" w:sz="12" w:space="15" w:color="D5D5D5"/>
                    <w:left w:val="single" w:sz="12" w:space="8" w:color="D5D5D5"/>
                    <w:bottom w:val="single" w:sz="12" w:space="15" w:color="D5D5D5"/>
                    <w:right w:val="single" w:sz="12" w:space="8" w:color="D5D5D5"/>
                  </w:divBdr>
                </w:div>
                <w:div w:id="1432967851">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250314226">
                      <w:marLeft w:val="0"/>
                      <w:marRight w:val="0"/>
                      <w:marTop w:val="0"/>
                      <w:marBottom w:val="240"/>
                      <w:divBdr>
                        <w:top w:val="none" w:sz="0" w:space="0" w:color="auto"/>
                        <w:left w:val="none" w:sz="0" w:space="0" w:color="auto"/>
                        <w:bottom w:val="none" w:sz="0" w:space="0" w:color="auto"/>
                        <w:right w:val="none" w:sz="0" w:space="0" w:color="auto"/>
                      </w:divBdr>
                      <w:divsChild>
                        <w:div w:id="1786923618">
                          <w:marLeft w:val="0"/>
                          <w:marRight w:val="0"/>
                          <w:marTop w:val="0"/>
                          <w:marBottom w:val="0"/>
                          <w:divBdr>
                            <w:top w:val="none" w:sz="0" w:space="0" w:color="auto"/>
                            <w:left w:val="none" w:sz="0" w:space="0" w:color="auto"/>
                            <w:bottom w:val="none" w:sz="0" w:space="0" w:color="auto"/>
                            <w:right w:val="none" w:sz="0" w:space="0" w:color="auto"/>
                          </w:divBdr>
                        </w:div>
                        <w:div w:id="53681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945322">
          <w:marLeft w:val="0"/>
          <w:marRight w:val="0"/>
          <w:marTop w:val="0"/>
          <w:marBottom w:val="0"/>
          <w:divBdr>
            <w:top w:val="none" w:sz="0" w:space="0" w:color="auto"/>
            <w:left w:val="none" w:sz="0" w:space="0" w:color="auto"/>
            <w:bottom w:val="none" w:sz="0" w:space="0" w:color="auto"/>
            <w:right w:val="none" w:sz="0" w:space="0" w:color="auto"/>
          </w:divBdr>
          <w:divsChild>
            <w:div w:id="1654522759">
              <w:marLeft w:val="0"/>
              <w:marRight w:val="0"/>
              <w:marTop w:val="0"/>
              <w:marBottom w:val="600"/>
              <w:divBdr>
                <w:top w:val="none" w:sz="0" w:space="0" w:color="auto"/>
                <w:left w:val="none" w:sz="0" w:space="0" w:color="auto"/>
                <w:bottom w:val="none" w:sz="0" w:space="0" w:color="auto"/>
                <w:right w:val="none" w:sz="0" w:space="0" w:color="auto"/>
              </w:divBdr>
              <w:divsChild>
                <w:div w:id="982734760">
                  <w:marLeft w:val="0"/>
                  <w:marRight w:val="0"/>
                  <w:marTop w:val="0"/>
                  <w:marBottom w:val="360"/>
                  <w:divBdr>
                    <w:top w:val="none" w:sz="0" w:space="0" w:color="auto"/>
                    <w:left w:val="none" w:sz="0" w:space="0" w:color="auto"/>
                    <w:bottom w:val="none" w:sz="0" w:space="0" w:color="auto"/>
                    <w:right w:val="none" w:sz="0" w:space="0" w:color="auto"/>
                  </w:divBdr>
                  <w:divsChild>
                    <w:div w:id="1900750108">
                      <w:marLeft w:val="0"/>
                      <w:marRight w:val="0"/>
                      <w:marTop w:val="180"/>
                      <w:marBottom w:val="240"/>
                      <w:divBdr>
                        <w:top w:val="none" w:sz="0" w:space="0" w:color="auto"/>
                        <w:left w:val="none" w:sz="0" w:space="0" w:color="auto"/>
                        <w:bottom w:val="none" w:sz="0" w:space="0" w:color="auto"/>
                        <w:right w:val="none" w:sz="0" w:space="0" w:color="auto"/>
                      </w:divBdr>
                    </w:div>
                  </w:divsChild>
                </w:div>
                <w:div w:id="776410179">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190872747">
                      <w:marLeft w:val="0"/>
                      <w:marRight w:val="0"/>
                      <w:marTop w:val="0"/>
                      <w:marBottom w:val="240"/>
                      <w:divBdr>
                        <w:top w:val="none" w:sz="0" w:space="0" w:color="auto"/>
                        <w:left w:val="none" w:sz="0" w:space="0" w:color="auto"/>
                        <w:bottom w:val="none" w:sz="0" w:space="0" w:color="auto"/>
                        <w:right w:val="none" w:sz="0" w:space="0" w:color="auto"/>
                      </w:divBdr>
                      <w:divsChild>
                        <w:div w:id="2053990832">
                          <w:marLeft w:val="0"/>
                          <w:marRight w:val="0"/>
                          <w:marTop w:val="0"/>
                          <w:marBottom w:val="0"/>
                          <w:divBdr>
                            <w:top w:val="none" w:sz="0" w:space="0" w:color="auto"/>
                            <w:left w:val="none" w:sz="0" w:space="0" w:color="auto"/>
                            <w:bottom w:val="none" w:sz="0" w:space="0" w:color="auto"/>
                            <w:right w:val="none" w:sz="0" w:space="0" w:color="auto"/>
                          </w:divBdr>
                        </w:div>
                        <w:div w:id="8960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5494080">
          <w:marLeft w:val="0"/>
          <w:marRight w:val="0"/>
          <w:marTop w:val="0"/>
          <w:marBottom w:val="0"/>
          <w:divBdr>
            <w:top w:val="none" w:sz="0" w:space="0" w:color="auto"/>
            <w:left w:val="none" w:sz="0" w:space="0" w:color="auto"/>
            <w:bottom w:val="none" w:sz="0" w:space="0" w:color="auto"/>
            <w:right w:val="none" w:sz="0" w:space="0" w:color="auto"/>
          </w:divBdr>
          <w:divsChild>
            <w:div w:id="360975296">
              <w:marLeft w:val="0"/>
              <w:marRight w:val="0"/>
              <w:marTop w:val="0"/>
              <w:marBottom w:val="600"/>
              <w:divBdr>
                <w:top w:val="none" w:sz="0" w:space="0" w:color="auto"/>
                <w:left w:val="none" w:sz="0" w:space="0" w:color="auto"/>
                <w:bottom w:val="none" w:sz="0" w:space="0" w:color="auto"/>
                <w:right w:val="none" w:sz="0" w:space="0" w:color="auto"/>
              </w:divBdr>
              <w:divsChild>
                <w:div w:id="86997865">
                  <w:marLeft w:val="0"/>
                  <w:marRight w:val="0"/>
                  <w:marTop w:val="0"/>
                  <w:marBottom w:val="360"/>
                  <w:divBdr>
                    <w:top w:val="none" w:sz="0" w:space="0" w:color="auto"/>
                    <w:left w:val="none" w:sz="0" w:space="0" w:color="auto"/>
                    <w:bottom w:val="none" w:sz="0" w:space="0" w:color="auto"/>
                    <w:right w:val="none" w:sz="0" w:space="0" w:color="auto"/>
                  </w:divBdr>
                  <w:divsChild>
                    <w:div w:id="1926720670">
                      <w:marLeft w:val="0"/>
                      <w:marRight w:val="0"/>
                      <w:marTop w:val="180"/>
                      <w:marBottom w:val="240"/>
                      <w:divBdr>
                        <w:top w:val="none" w:sz="0" w:space="0" w:color="auto"/>
                        <w:left w:val="none" w:sz="0" w:space="0" w:color="auto"/>
                        <w:bottom w:val="none" w:sz="0" w:space="0" w:color="auto"/>
                        <w:right w:val="none" w:sz="0" w:space="0" w:color="auto"/>
                      </w:divBdr>
                    </w:div>
                  </w:divsChild>
                </w:div>
                <w:div w:id="716465770">
                  <w:marLeft w:val="0"/>
                  <w:marRight w:val="0"/>
                  <w:marTop w:val="0"/>
                  <w:marBottom w:val="360"/>
                  <w:divBdr>
                    <w:top w:val="none" w:sz="0" w:space="0" w:color="auto"/>
                    <w:left w:val="none" w:sz="0" w:space="0" w:color="auto"/>
                    <w:bottom w:val="none" w:sz="0" w:space="0" w:color="auto"/>
                    <w:right w:val="none" w:sz="0" w:space="0" w:color="auto"/>
                  </w:divBdr>
                  <w:divsChild>
                    <w:div w:id="382752208">
                      <w:marLeft w:val="0"/>
                      <w:marRight w:val="0"/>
                      <w:marTop w:val="180"/>
                      <w:marBottom w:val="240"/>
                      <w:divBdr>
                        <w:top w:val="none" w:sz="0" w:space="0" w:color="auto"/>
                        <w:left w:val="none" w:sz="0" w:space="0" w:color="auto"/>
                        <w:bottom w:val="none" w:sz="0" w:space="0" w:color="auto"/>
                        <w:right w:val="none" w:sz="0" w:space="0" w:color="auto"/>
                      </w:divBdr>
                    </w:div>
                  </w:divsChild>
                </w:div>
                <w:div w:id="610212140">
                  <w:marLeft w:val="0"/>
                  <w:marRight w:val="0"/>
                  <w:marTop w:val="0"/>
                  <w:marBottom w:val="360"/>
                  <w:divBdr>
                    <w:top w:val="none" w:sz="0" w:space="0" w:color="auto"/>
                    <w:left w:val="none" w:sz="0" w:space="0" w:color="auto"/>
                    <w:bottom w:val="none" w:sz="0" w:space="0" w:color="auto"/>
                    <w:right w:val="none" w:sz="0" w:space="0" w:color="auto"/>
                  </w:divBdr>
                  <w:divsChild>
                    <w:div w:id="681011405">
                      <w:marLeft w:val="0"/>
                      <w:marRight w:val="0"/>
                      <w:marTop w:val="180"/>
                      <w:marBottom w:val="240"/>
                      <w:divBdr>
                        <w:top w:val="none" w:sz="0" w:space="0" w:color="auto"/>
                        <w:left w:val="none" w:sz="0" w:space="0" w:color="auto"/>
                        <w:bottom w:val="none" w:sz="0" w:space="0" w:color="auto"/>
                        <w:right w:val="none" w:sz="0" w:space="0" w:color="auto"/>
                      </w:divBdr>
                    </w:div>
                  </w:divsChild>
                </w:div>
                <w:div w:id="1940289067">
                  <w:marLeft w:val="0"/>
                  <w:marRight w:val="0"/>
                  <w:marTop w:val="0"/>
                  <w:marBottom w:val="360"/>
                  <w:divBdr>
                    <w:top w:val="none" w:sz="0" w:space="0" w:color="auto"/>
                    <w:left w:val="none" w:sz="0" w:space="0" w:color="auto"/>
                    <w:bottom w:val="none" w:sz="0" w:space="0" w:color="auto"/>
                    <w:right w:val="none" w:sz="0" w:space="0" w:color="auto"/>
                  </w:divBdr>
                  <w:divsChild>
                    <w:div w:id="1083990309">
                      <w:marLeft w:val="0"/>
                      <w:marRight w:val="0"/>
                      <w:marTop w:val="180"/>
                      <w:marBottom w:val="240"/>
                      <w:divBdr>
                        <w:top w:val="none" w:sz="0" w:space="0" w:color="auto"/>
                        <w:left w:val="none" w:sz="0" w:space="0" w:color="auto"/>
                        <w:bottom w:val="none" w:sz="0" w:space="0" w:color="auto"/>
                        <w:right w:val="none" w:sz="0" w:space="0" w:color="auto"/>
                      </w:divBdr>
                    </w:div>
                  </w:divsChild>
                </w:div>
                <w:div w:id="621958849">
                  <w:marLeft w:val="0"/>
                  <w:marRight w:val="0"/>
                  <w:marTop w:val="0"/>
                  <w:marBottom w:val="360"/>
                  <w:divBdr>
                    <w:top w:val="none" w:sz="0" w:space="0" w:color="auto"/>
                    <w:left w:val="none" w:sz="0" w:space="0" w:color="auto"/>
                    <w:bottom w:val="none" w:sz="0" w:space="0" w:color="auto"/>
                    <w:right w:val="none" w:sz="0" w:space="0" w:color="auto"/>
                  </w:divBdr>
                  <w:divsChild>
                    <w:div w:id="86342192">
                      <w:marLeft w:val="0"/>
                      <w:marRight w:val="0"/>
                      <w:marTop w:val="180"/>
                      <w:marBottom w:val="240"/>
                      <w:divBdr>
                        <w:top w:val="none" w:sz="0" w:space="0" w:color="auto"/>
                        <w:left w:val="none" w:sz="0" w:space="0" w:color="auto"/>
                        <w:bottom w:val="none" w:sz="0" w:space="0" w:color="auto"/>
                        <w:right w:val="none" w:sz="0" w:space="0" w:color="auto"/>
                      </w:divBdr>
                    </w:div>
                  </w:divsChild>
                </w:div>
                <w:div w:id="2124182502">
                  <w:marLeft w:val="0"/>
                  <w:marRight w:val="0"/>
                  <w:marTop w:val="0"/>
                  <w:marBottom w:val="360"/>
                  <w:divBdr>
                    <w:top w:val="none" w:sz="0" w:space="0" w:color="auto"/>
                    <w:left w:val="none" w:sz="0" w:space="0" w:color="auto"/>
                    <w:bottom w:val="none" w:sz="0" w:space="0" w:color="auto"/>
                    <w:right w:val="none" w:sz="0" w:space="0" w:color="auto"/>
                  </w:divBdr>
                  <w:divsChild>
                    <w:div w:id="1223759790">
                      <w:marLeft w:val="0"/>
                      <w:marRight w:val="0"/>
                      <w:marTop w:val="180"/>
                      <w:marBottom w:val="240"/>
                      <w:divBdr>
                        <w:top w:val="none" w:sz="0" w:space="0" w:color="auto"/>
                        <w:left w:val="none" w:sz="0" w:space="0" w:color="auto"/>
                        <w:bottom w:val="none" w:sz="0" w:space="0" w:color="auto"/>
                        <w:right w:val="none" w:sz="0" w:space="0" w:color="auto"/>
                      </w:divBdr>
                    </w:div>
                  </w:divsChild>
                </w:div>
                <w:div w:id="223025118">
                  <w:marLeft w:val="0"/>
                  <w:marRight w:val="0"/>
                  <w:marTop w:val="0"/>
                  <w:marBottom w:val="360"/>
                  <w:divBdr>
                    <w:top w:val="none" w:sz="0" w:space="0" w:color="auto"/>
                    <w:left w:val="none" w:sz="0" w:space="0" w:color="auto"/>
                    <w:bottom w:val="none" w:sz="0" w:space="0" w:color="auto"/>
                    <w:right w:val="none" w:sz="0" w:space="0" w:color="auto"/>
                  </w:divBdr>
                  <w:divsChild>
                    <w:div w:id="1837652675">
                      <w:marLeft w:val="0"/>
                      <w:marRight w:val="0"/>
                      <w:marTop w:val="180"/>
                      <w:marBottom w:val="240"/>
                      <w:divBdr>
                        <w:top w:val="none" w:sz="0" w:space="0" w:color="auto"/>
                        <w:left w:val="none" w:sz="0" w:space="0" w:color="auto"/>
                        <w:bottom w:val="none" w:sz="0" w:space="0" w:color="auto"/>
                        <w:right w:val="none" w:sz="0" w:space="0" w:color="auto"/>
                      </w:divBdr>
                    </w:div>
                  </w:divsChild>
                </w:div>
                <w:div w:id="1053238816">
                  <w:marLeft w:val="0"/>
                  <w:marRight w:val="0"/>
                  <w:marTop w:val="0"/>
                  <w:marBottom w:val="360"/>
                  <w:divBdr>
                    <w:top w:val="none" w:sz="0" w:space="0" w:color="auto"/>
                    <w:left w:val="none" w:sz="0" w:space="0" w:color="auto"/>
                    <w:bottom w:val="none" w:sz="0" w:space="0" w:color="auto"/>
                    <w:right w:val="none" w:sz="0" w:space="0" w:color="auto"/>
                  </w:divBdr>
                  <w:divsChild>
                    <w:div w:id="699164744">
                      <w:marLeft w:val="0"/>
                      <w:marRight w:val="0"/>
                      <w:marTop w:val="180"/>
                      <w:marBottom w:val="240"/>
                      <w:divBdr>
                        <w:top w:val="none" w:sz="0" w:space="0" w:color="auto"/>
                        <w:left w:val="none" w:sz="0" w:space="0" w:color="auto"/>
                        <w:bottom w:val="none" w:sz="0" w:space="0" w:color="auto"/>
                        <w:right w:val="none" w:sz="0" w:space="0" w:color="auto"/>
                      </w:divBdr>
                    </w:div>
                  </w:divsChild>
                </w:div>
                <w:div w:id="1216311451">
                  <w:marLeft w:val="0"/>
                  <w:marRight w:val="0"/>
                  <w:marTop w:val="0"/>
                  <w:marBottom w:val="360"/>
                  <w:divBdr>
                    <w:top w:val="none" w:sz="0" w:space="0" w:color="auto"/>
                    <w:left w:val="none" w:sz="0" w:space="0" w:color="auto"/>
                    <w:bottom w:val="none" w:sz="0" w:space="0" w:color="auto"/>
                    <w:right w:val="none" w:sz="0" w:space="0" w:color="auto"/>
                  </w:divBdr>
                  <w:divsChild>
                    <w:div w:id="43406172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 w:id="1844471730">
          <w:marLeft w:val="0"/>
          <w:marRight w:val="0"/>
          <w:marTop w:val="0"/>
          <w:marBottom w:val="0"/>
          <w:divBdr>
            <w:top w:val="none" w:sz="0" w:space="0" w:color="auto"/>
            <w:left w:val="none" w:sz="0" w:space="0" w:color="auto"/>
            <w:bottom w:val="none" w:sz="0" w:space="0" w:color="auto"/>
            <w:right w:val="none" w:sz="0" w:space="0" w:color="auto"/>
          </w:divBdr>
          <w:divsChild>
            <w:div w:id="117457237">
              <w:marLeft w:val="0"/>
              <w:marRight w:val="0"/>
              <w:marTop w:val="0"/>
              <w:marBottom w:val="600"/>
              <w:divBdr>
                <w:top w:val="none" w:sz="0" w:space="0" w:color="auto"/>
                <w:left w:val="none" w:sz="0" w:space="0" w:color="auto"/>
                <w:bottom w:val="none" w:sz="0" w:space="0" w:color="auto"/>
                <w:right w:val="none" w:sz="0" w:space="0" w:color="auto"/>
              </w:divBdr>
              <w:divsChild>
                <w:div w:id="307054197">
                  <w:marLeft w:val="0"/>
                  <w:marRight w:val="0"/>
                  <w:marTop w:val="0"/>
                  <w:marBottom w:val="360"/>
                  <w:divBdr>
                    <w:top w:val="single" w:sz="12" w:space="15" w:color="D5D5D5"/>
                    <w:left w:val="single" w:sz="12" w:space="8" w:color="D5D5D5"/>
                    <w:bottom w:val="single" w:sz="12" w:space="15" w:color="D5D5D5"/>
                    <w:right w:val="single" w:sz="12" w:space="8" w:color="D5D5D5"/>
                  </w:divBdr>
                </w:div>
                <w:div w:id="586429858">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452239333">
                      <w:marLeft w:val="0"/>
                      <w:marRight w:val="0"/>
                      <w:marTop w:val="0"/>
                      <w:marBottom w:val="240"/>
                      <w:divBdr>
                        <w:top w:val="none" w:sz="0" w:space="0" w:color="auto"/>
                        <w:left w:val="none" w:sz="0" w:space="0" w:color="auto"/>
                        <w:bottom w:val="none" w:sz="0" w:space="0" w:color="auto"/>
                        <w:right w:val="none" w:sz="0" w:space="0" w:color="auto"/>
                      </w:divBdr>
                      <w:divsChild>
                        <w:div w:id="553128488">
                          <w:marLeft w:val="0"/>
                          <w:marRight w:val="0"/>
                          <w:marTop w:val="0"/>
                          <w:marBottom w:val="0"/>
                          <w:divBdr>
                            <w:top w:val="none" w:sz="0" w:space="0" w:color="auto"/>
                            <w:left w:val="none" w:sz="0" w:space="0" w:color="auto"/>
                            <w:bottom w:val="none" w:sz="0" w:space="0" w:color="auto"/>
                            <w:right w:val="none" w:sz="0" w:space="0" w:color="auto"/>
                          </w:divBdr>
                        </w:div>
                        <w:div w:id="55531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769962">
                  <w:marLeft w:val="0"/>
                  <w:marRight w:val="0"/>
                  <w:marTop w:val="0"/>
                  <w:marBottom w:val="360"/>
                  <w:divBdr>
                    <w:top w:val="single" w:sz="12" w:space="15" w:color="D5D5D5"/>
                    <w:left w:val="single" w:sz="12" w:space="8" w:color="D5D5D5"/>
                    <w:bottom w:val="single" w:sz="12" w:space="15" w:color="D5D5D5"/>
                    <w:right w:val="single" w:sz="12" w:space="8" w:color="D5D5D5"/>
                  </w:divBdr>
                </w:div>
                <w:div w:id="1015039938">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476604762">
                      <w:marLeft w:val="0"/>
                      <w:marRight w:val="0"/>
                      <w:marTop w:val="0"/>
                      <w:marBottom w:val="240"/>
                      <w:divBdr>
                        <w:top w:val="none" w:sz="0" w:space="0" w:color="auto"/>
                        <w:left w:val="none" w:sz="0" w:space="0" w:color="auto"/>
                        <w:bottom w:val="none" w:sz="0" w:space="0" w:color="auto"/>
                        <w:right w:val="none" w:sz="0" w:space="0" w:color="auto"/>
                      </w:divBdr>
                      <w:divsChild>
                        <w:div w:id="668481654">
                          <w:marLeft w:val="0"/>
                          <w:marRight w:val="0"/>
                          <w:marTop w:val="0"/>
                          <w:marBottom w:val="0"/>
                          <w:divBdr>
                            <w:top w:val="none" w:sz="0" w:space="0" w:color="auto"/>
                            <w:left w:val="none" w:sz="0" w:space="0" w:color="auto"/>
                            <w:bottom w:val="none" w:sz="0" w:space="0" w:color="auto"/>
                            <w:right w:val="none" w:sz="0" w:space="0" w:color="auto"/>
                          </w:divBdr>
                        </w:div>
                        <w:div w:id="71705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22903">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466507106">
                      <w:marLeft w:val="0"/>
                      <w:marRight w:val="0"/>
                      <w:marTop w:val="0"/>
                      <w:marBottom w:val="240"/>
                      <w:divBdr>
                        <w:top w:val="none" w:sz="0" w:space="0" w:color="auto"/>
                        <w:left w:val="none" w:sz="0" w:space="0" w:color="auto"/>
                        <w:bottom w:val="none" w:sz="0" w:space="0" w:color="auto"/>
                        <w:right w:val="none" w:sz="0" w:space="0" w:color="auto"/>
                      </w:divBdr>
                      <w:divsChild>
                        <w:div w:id="14114190">
                          <w:marLeft w:val="0"/>
                          <w:marRight w:val="0"/>
                          <w:marTop w:val="0"/>
                          <w:marBottom w:val="0"/>
                          <w:divBdr>
                            <w:top w:val="none" w:sz="0" w:space="0" w:color="auto"/>
                            <w:left w:val="none" w:sz="0" w:space="0" w:color="auto"/>
                            <w:bottom w:val="none" w:sz="0" w:space="0" w:color="auto"/>
                            <w:right w:val="none" w:sz="0" w:space="0" w:color="auto"/>
                          </w:divBdr>
                        </w:div>
                        <w:div w:id="79772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4083">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72648612">
                      <w:marLeft w:val="0"/>
                      <w:marRight w:val="0"/>
                      <w:marTop w:val="0"/>
                      <w:marBottom w:val="240"/>
                      <w:divBdr>
                        <w:top w:val="none" w:sz="0" w:space="0" w:color="auto"/>
                        <w:left w:val="none" w:sz="0" w:space="0" w:color="auto"/>
                        <w:bottom w:val="none" w:sz="0" w:space="0" w:color="auto"/>
                        <w:right w:val="none" w:sz="0" w:space="0" w:color="auto"/>
                      </w:divBdr>
                      <w:divsChild>
                        <w:div w:id="1881823346">
                          <w:marLeft w:val="0"/>
                          <w:marRight w:val="0"/>
                          <w:marTop w:val="0"/>
                          <w:marBottom w:val="0"/>
                          <w:divBdr>
                            <w:top w:val="none" w:sz="0" w:space="0" w:color="auto"/>
                            <w:left w:val="none" w:sz="0" w:space="0" w:color="auto"/>
                            <w:bottom w:val="none" w:sz="0" w:space="0" w:color="auto"/>
                            <w:right w:val="none" w:sz="0" w:space="0" w:color="auto"/>
                          </w:divBdr>
                        </w:div>
                        <w:div w:id="5270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3380">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440078491">
                      <w:marLeft w:val="0"/>
                      <w:marRight w:val="0"/>
                      <w:marTop w:val="0"/>
                      <w:marBottom w:val="240"/>
                      <w:divBdr>
                        <w:top w:val="none" w:sz="0" w:space="0" w:color="auto"/>
                        <w:left w:val="none" w:sz="0" w:space="0" w:color="auto"/>
                        <w:bottom w:val="none" w:sz="0" w:space="0" w:color="auto"/>
                        <w:right w:val="none" w:sz="0" w:space="0" w:color="auto"/>
                      </w:divBdr>
                      <w:divsChild>
                        <w:div w:id="1570386012">
                          <w:marLeft w:val="0"/>
                          <w:marRight w:val="0"/>
                          <w:marTop w:val="0"/>
                          <w:marBottom w:val="0"/>
                          <w:divBdr>
                            <w:top w:val="none" w:sz="0" w:space="0" w:color="auto"/>
                            <w:left w:val="none" w:sz="0" w:space="0" w:color="auto"/>
                            <w:bottom w:val="none" w:sz="0" w:space="0" w:color="auto"/>
                            <w:right w:val="none" w:sz="0" w:space="0" w:color="auto"/>
                          </w:divBdr>
                        </w:div>
                        <w:div w:id="116983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43027">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982611122">
                      <w:marLeft w:val="0"/>
                      <w:marRight w:val="0"/>
                      <w:marTop w:val="0"/>
                      <w:marBottom w:val="240"/>
                      <w:divBdr>
                        <w:top w:val="none" w:sz="0" w:space="0" w:color="auto"/>
                        <w:left w:val="none" w:sz="0" w:space="0" w:color="auto"/>
                        <w:bottom w:val="none" w:sz="0" w:space="0" w:color="auto"/>
                        <w:right w:val="none" w:sz="0" w:space="0" w:color="auto"/>
                      </w:divBdr>
                      <w:divsChild>
                        <w:div w:id="693925186">
                          <w:marLeft w:val="0"/>
                          <w:marRight w:val="0"/>
                          <w:marTop w:val="0"/>
                          <w:marBottom w:val="0"/>
                          <w:divBdr>
                            <w:top w:val="none" w:sz="0" w:space="0" w:color="auto"/>
                            <w:left w:val="none" w:sz="0" w:space="0" w:color="auto"/>
                            <w:bottom w:val="none" w:sz="0" w:space="0" w:color="auto"/>
                            <w:right w:val="none" w:sz="0" w:space="0" w:color="auto"/>
                          </w:divBdr>
                        </w:div>
                        <w:div w:id="9471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341">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2089425882">
                      <w:marLeft w:val="0"/>
                      <w:marRight w:val="0"/>
                      <w:marTop w:val="0"/>
                      <w:marBottom w:val="240"/>
                      <w:divBdr>
                        <w:top w:val="none" w:sz="0" w:space="0" w:color="auto"/>
                        <w:left w:val="none" w:sz="0" w:space="0" w:color="auto"/>
                        <w:bottom w:val="none" w:sz="0" w:space="0" w:color="auto"/>
                        <w:right w:val="none" w:sz="0" w:space="0" w:color="auto"/>
                      </w:divBdr>
                      <w:divsChild>
                        <w:div w:id="1866748979">
                          <w:marLeft w:val="0"/>
                          <w:marRight w:val="0"/>
                          <w:marTop w:val="0"/>
                          <w:marBottom w:val="0"/>
                          <w:divBdr>
                            <w:top w:val="none" w:sz="0" w:space="0" w:color="auto"/>
                            <w:left w:val="none" w:sz="0" w:space="0" w:color="auto"/>
                            <w:bottom w:val="none" w:sz="0" w:space="0" w:color="auto"/>
                            <w:right w:val="none" w:sz="0" w:space="0" w:color="auto"/>
                          </w:divBdr>
                        </w:div>
                        <w:div w:id="10775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8706">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775949503">
                      <w:marLeft w:val="0"/>
                      <w:marRight w:val="0"/>
                      <w:marTop w:val="0"/>
                      <w:marBottom w:val="240"/>
                      <w:divBdr>
                        <w:top w:val="none" w:sz="0" w:space="0" w:color="auto"/>
                        <w:left w:val="none" w:sz="0" w:space="0" w:color="auto"/>
                        <w:bottom w:val="none" w:sz="0" w:space="0" w:color="auto"/>
                        <w:right w:val="none" w:sz="0" w:space="0" w:color="auto"/>
                      </w:divBdr>
                      <w:divsChild>
                        <w:div w:id="942342970">
                          <w:marLeft w:val="0"/>
                          <w:marRight w:val="0"/>
                          <w:marTop w:val="0"/>
                          <w:marBottom w:val="0"/>
                          <w:divBdr>
                            <w:top w:val="none" w:sz="0" w:space="0" w:color="auto"/>
                            <w:left w:val="none" w:sz="0" w:space="0" w:color="auto"/>
                            <w:bottom w:val="none" w:sz="0" w:space="0" w:color="auto"/>
                            <w:right w:val="none" w:sz="0" w:space="0" w:color="auto"/>
                          </w:divBdr>
                        </w:div>
                        <w:div w:id="148728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5693">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1828983215">
                      <w:marLeft w:val="0"/>
                      <w:marRight w:val="0"/>
                      <w:marTop w:val="0"/>
                      <w:marBottom w:val="240"/>
                      <w:divBdr>
                        <w:top w:val="none" w:sz="0" w:space="0" w:color="auto"/>
                        <w:left w:val="none" w:sz="0" w:space="0" w:color="auto"/>
                        <w:bottom w:val="none" w:sz="0" w:space="0" w:color="auto"/>
                        <w:right w:val="none" w:sz="0" w:space="0" w:color="auto"/>
                      </w:divBdr>
                      <w:divsChild>
                        <w:div w:id="1604921975">
                          <w:marLeft w:val="0"/>
                          <w:marRight w:val="0"/>
                          <w:marTop w:val="0"/>
                          <w:marBottom w:val="0"/>
                          <w:divBdr>
                            <w:top w:val="none" w:sz="0" w:space="0" w:color="auto"/>
                            <w:left w:val="none" w:sz="0" w:space="0" w:color="auto"/>
                            <w:bottom w:val="none" w:sz="0" w:space="0" w:color="auto"/>
                            <w:right w:val="none" w:sz="0" w:space="0" w:color="auto"/>
                          </w:divBdr>
                        </w:div>
                        <w:div w:id="47626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45634">
                  <w:marLeft w:val="0"/>
                  <w:marRight w:val="0"/>
                  <w:marTop w:val="0"/>
                  <w:marBottom w:val="360"/>
                  <w:divBdr>
                    <w:top w:val="single" w:sz="12" w:space="15" w:color="D5D5D5"/>
                    <w:left w:val="single" w:sz="12" w:space="8" w:color="D5D5D5"/>
                    <w:bottom w:val="single" w:sz="12" w:space="15" w:color="D5D5D5"/>
                    <w:right w:val="single" w:sz="12" w:space="8" w:color="D5D5D5"/>
                  </w:divBdr>
                  <w:divsChild>
                    <w:div w:id="730889591">
                      <w:marLeft w:val="0"/>
                      <w:marRight w:val="0"/>
                      <w:marTop w:val="0"/>
                      <w:marBottom w:val="240"/>
                      <w:divBdr>
                        <w:top w:val="none" w:sz="0" w:space="0" w:color="auto"/>
                        <w:left w:val="none" w:sz="0" w:space="0" w:color="auto"/>
                        <w:bottom w:val="none" w:sz="0" w:space="0" w:color="auto"/>
                        <w:right w:val="none" w:sz="0" w:space="0" w:color="auto"/>
                      </w:divBdr>
                      <w:divsChild>
                        <w:div w:id="1426612223">
                          <w:marLeft w:val="0"/>
                          <w:marRight w:val="0"/>
                          <w:marTop w:val="0"/>
                          <w:marBottom w:val="0"/>
                          <w:divBdr>
                            <w:top w:val="none" w:sz="0" w:space="0" w:color="auto"/>
                            <w:left w:val="none" w:sz="0" w:space="0" w:color="auto"/>
                            <w:bottom w:val="none" w:sz="0" w:space="0" w:color="auto"/>
                            <w:right w:val="none" w:sz="0" w:space="0" w:color="auto"/>
                          </w:divBdr>
                        </w:div>
                        <w:div w:id="18489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92201">
          <w:marLeft w:val="0"/>
          <w:marRight w:val="0"/>
          <w:marTop w:val="0"/>
          <w:marBottom w:val="0"/>
          <w:divBdr>
            <w:top w:val="none" w:sz="0" w:space="0" w:color="auto"/>
            <w:left w:val="none" w:sz="0" w:space="0" w:color="auto"/>
            <w:bottom w:val="none" w:sz="0" w:space="0" w:color="auto"/>
            <w:right w:val="none" w:sz="0" w:space="0" w:color="auto"/>
          </w:divBdr>
          <w:divsChild>
            <w:div w:id="1146582244">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2070566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nk.springer.com/article/10.1007/s11356-022-21723-8" TargetMode="External"/><Relationship Id="rId21" Type="http://schemas.openxmlformats.org/officeDocument/2006/relationships/hyperlink" Target="https://link.springer.com/article/10.1007/s11356-022-21723-8" TargetMode="External"/><Relationship Id="rId42" Type="http://schemas.openxmlformats.org/officeDocument/2006/relationships/hyperlink" Target="https://link.springer.com/article/10.1007/s11356-022-21723-8" TargetMode="External"/><Relationship Id="rId63" Type="http://schemas.openxmlformats.org/officeDocument/2006/relationships/hyperlink" Target="https://link.springer.com/article/10.1007/s11356-022-21723-8" TargetMode="External"/><Relationship Id="rId84" Type="http://schemas.openxmlformats.org/officeDocument/2006/relationships/image" Target="media/image3.png"/><Relationship Id="rId138" Type="http://schemas.openxmlformats.org/officeDocument/2006/relationships/hyperlink" Target="https://link.springer.com/article/10.1007/s11356-022-21723-8/figures/12" TargetMode="External"/><Relationship Id="rId107" Type="http://schemas.openxmlformats.org/officeDocument/2006/relationships/hyperlink" Target="https://link.springer.com/article/10.1007/s11356-022-21723-8" TargetMode="External"/><Relationship Id="rId11" Type="http://schemas.openxmlformats.org/officeDocument/2006/relationships/hyperlink" Target="https://link.springer.com/article/10.1007/s11356-022-21723-8" TargetMode="External"/><Relationship Id="rId32" Type="http://schemas.openxmlformats.org/officeDocument/2006/relationships/hyperlink" Target="https://link.springer.com/article/10.1007/s11356-022-21723-8" TargetMode="External"/><Relationship Id="rId37" Type="http://schemas.openxmlformats.org/officeDocument/2006/relationships/hyperlink" Target="https://link.springer.com/article/10.1007/s11356-022-21723-8/figures/1" TargetMode="External"/><Relationship Id="rId53" Type="http://schemas.openxmlformats.org/officeDocument/2006/relationships/image" Target="media/image2.png"/><Relationship Id="rId58" Type="http://schemas.openxmlformats.org/officeDocument/2006/relationships/hyperlink" Target="https://link.springer.com/article/10.1007/s11356-022-21723-8" TargetMode="External"/><Relationship Id="rId74" Type="http://schemas.openxmlformats.org/officeDocument/2006/relationships/hyperlink" Target="https://link.springer.com/article/10.1007/s11356-022-21723-8" TargetMode="External"/><Relationship Id="rId79" Type="http://schemas.openxmlformats.org/officeDocument/2006/relationships/hyperlink" Target="https://link.springer.com/article/10.1007/s11356-022-21723-8" TargetMode="External"/><Relationship Id="rId102" Type="http://schemas.openxmlformats.org/officeDocument/2006/relationships/hyperlink" Target="https://link.springer.com/article/10.1007/s11356-022-21723-8" TargetMode="External"/><Relationship Id="rId123" Type="http://schemas.openxmlformats.org/officeDocument/2006/relationships/hyperlink" Target="https://link.springer.com/article/10.1007/s11356-022-21723-8" TargetMode="External"/><Relationship Id="rId128" Type="http://schemas.openxmlformats.org/officeDocument/2006/relationships/hyperlink" Target="https://link.springer.com/article/10.1007/s11356-022-21723-8/figures/10" TargetMode="External"/><Relationship Id="rId5" Type="http://schemas.openxmlformats.org/officeDocument/2006/relationships/hyperlink" Target="https://link.springer.com/article/10.1007/s11356-022-21723-8" TargetMode="External"/><Relationship Id="rId90" Type="http://schemas.openxmlformats.org/officeDocument/2006/relationships/hyperlink" Target="https://link.springer.com/article/10.1007/s11356-022-21723-8" TargetMode="External"/><Relationship Id="rId95" Type="http://schemas.openxmlformats.org/officeDocument/2006/relationships/hyperlink" Target="https://link.springer.com/article/10.1007/s11356-022-21723-8/figures/4" TargetMode="External"/><Relationship Id="rId22" Type="http://schemas.openxmlformats.org/officeDocument/2006/relationships/hyperlink" Target="https://link.springer.com/article/10.1007/s11356-022-21723-8" TargetMode="External"/><Relationship Id="rId27" Type="http://schemas.openxmlformats.org/officeDocument/2006/relationships/hyperlink" Target="https://link.springer.com/article/10.1007/s11356-022-21723-8" TargetMode="External"/><Relationship Id="rId43" Type="http://schemas.openxmlformats.org/officeDocument/2006/relationships/hyperlink" Target="https://link.springer.com/article/10.1007/s11356-022-21723-8" TargetMode="External"/><Relationship Id="rId48" Type="http://schemas.openxmlformats.org/officeDocument/2006/relationships/hyperlink" Target="https://link.springer.com/article/10.1007/s11356-022-21723-8" TargetMode="External"/><Relationship Id="rId64" Type="http://schemas.openxmlformats.org/officeDocument/2006/relationships/hyperlink" Target="https://link.springer.com/article/10.1007/s11356-022-21723-8" TargetMode="External"/><Relationship Id="rId69" Type="http://schemas.openxmlformats.org/officeDocument/2006/relationships/hyperlink" Target="https://link.springer.com/article/10.1007/s11356-022-21723-8" TargetMode="External"/><Relationship Id="rId113" Type="http://schemas.openxmlformats.org/officeDocument/2006/relationships/hyperlink" Target="https://link.springer.com/article/10.1007/s11356-022-21723-8" TargetMode="External"/><Relationship Id="rId118" Type="http://schemas.openxmlformats.org/officeDocument/2006/relationships/hyperlink" Target="https://link.springer.com/article/10.1007/s11356-022-21723-8/figures/9" TargetMode="External"/><Relationship Id="rId134" Type="http://schemas.openxmlformats.org/officeDocument/2006/relationships/hyperlink" Target="https://link.springer.com/article/10.1007/s11356-022-21723-8" TargetMode="External"/><Relationship Id="rId139" Type="http://schemas.openxmlformats.org/officeDocument/2006/relationships/image" Target="media/image12.png"/><Relationship Id="rId80" Type="http://schemas.openxmlformats.org/officeDocument/2006/relationships/hyperlink" Target="https://link.springer.com/article/10.1007/s11356-022-21723-8" TargetMode="External"/><Relationship Id="rId85" Type="http://schemas.openxmlformats.org/officeDocument/2006/relationships/hyperlink" Target="https://link.springer.com/article/10.1007/s11356-022-21723-8/figures/3" TargetMode="External"/><Relationship Id="rId12" Type="http://schemas.openxmlformats.org/officeDocument/2006/relationships/hyperlink" Target="https://link.springer.com/article/10.1007/s11356-022-21723-8" TargetMode="External"/><Relationship Id="rId17" Type="http://schemas.openxmlformats.org/officeDocument/2006/relationships/hyperlink" Target="https://link.springer.com/article/10.1007/s11356-022-21723-8" TargetMode="External"/><Relationship Id="rId33" Type="http://schemas.openxmlformats.org/officeDocument/2006/relationships/hyperlink" Target="https://link.springer.com/article/10.1007/s11356-022-21723-8" TargetMode="External"/><Relationship Id="rId38" Type="http://schemas.openxmlformats.org/officeDocument/2006/relationships/image" Target="media/image1.png"/><Relationship Id="rId59" Type="http://schemas.openxmlformats.org/officeDocument/2006/relationships/hyperlink" Target="https://link.springer.com/article/10.1007/s11356-022-21723-8" TargetMode="External"/><Relationship Id="rId103" Type="http://schemas.openxmlformats.org/officeDocument/2006/relationships/hyperlink" Target="https://link.springer.com/article/10.1007/s11356-022-21723-8" TargetMode="External"/><Relationship Id="rId108" Type="http://schemas.openxmlformats.org/officeDocument/2006/relationships/hyperlink" Target="https://link.springer.com/article/10.1007/s11356-022-21723-8" TargetMode="External"/><Relationship Id="rId124" Type="http://schemas.openxmlformats.org/officeDocument/2006/relationships/hyperlink" Target="https://link.springer.com/article/10.1007/s11356-022-21723-8" TargetMode="External"/><Relationship Id="rId129" Type="http://schemas.openxmlformats.org/officeDocument/2006/relationships/hyperlink" Target="https://link.springer.com/article/10.1007/s11356-022-21723-8" TargetMode="External"/><Relationship Id="rId54" Type="http://schemas.openxmlformats.org/officeDocument/2006/relationships/hyperlink" Target="https://link.springer.com/article/10.1007/s11356-022-21723-8/figures/2" TargetMode="External"/><Relationship Id="rId70" Type="http://schemas.openxmlformats.org/officeDocument/2006/relationships/hyperlink" Target="https://link.springer.com/article/10.1007/s11356-022-21723-8" TargetMode="External"/><Relationship Id="rId75" Type="http://schemas.openxmlformats.org/officeDocument/2006/relationships/hyperlink" Target="https://link.springer.com/article/10.1007/s11356-022-21723-8" TargetMode="External"/><Relationship Id="rId91" Type="http://schemas.openxmlformats.org/officeDocument/2006/relationships/hyperlink" Target="https://link.springer.com/article/10.1007/s11356-022-21723-8/tables/3" TargetMode="External"/><Relationship Id="rId96" Type="http://schemas.openxmlformats.org/officeDocument/2006/relationships/image" Target="media/image4.png"/><Relationship Id="rId140" Type="http://schemas.openxmlformats.org/officeDocument/2006/relationships/hyperlink" Target="https://link.springer.com/article/10.1007/s11356-022-21723-8/figures/12" TargetMode="External"/><Relationship Id="rId1" Type="http://schemas.openxmlformats.org/officeDocument/2006/relationships/numbering" Target="numbering.xml"/><Relationship Id="rId6" Type="http://schemas.openxmlformats.org/officeDocument/2006/relationships/hyperlink" Target="https://link.springer.com/article/10.1007/s11356-022-21723-8" TargetMode="External"/><Relationship Id="rId23" Type="http://schemas.openxmlformats.org/officeDocument/2006/relationships/hyperlink" Target="https://link.springer.com/article/10.1007/s11356-022-21723-8" TargetMode="External"/><Relationship Id="rId28" Type="http://schemas.openxmlformats.org/officeDocument/2006/relationships/hyperlink" Target="https://link.springer.com/article/10.1007/s11356-022-21723-8" TargetMode="External"/><Relationship Id="rId49" Type="http://schemas.openxmlformats.org/officeDocument/2006/relationships/hyperlink" Target="https://link.springer.com/article/10.1007/s11356-022-21723-8" TargetMode="External"/><Relationship Id="rId114" Type="http://schemas.openxmlformats.org/officeDocument/2006/relationships/hyperlink" Target="https://link.springer.com/article/10.1007/s11356-022-21723-8/figures/8" TargetMode="External"/><Relationship Id="rId119" Type="http://schemas.openxmlformats.org/officeDocument/2006/relationships/image" Target="media/image9.png"/><Relationship Id="rId44" Type="http://schemas.openxmlformats.org/officeDocument/2006/relationships/hyperlink" Target="https://link.springer.com/article/10.1007/s11356-022-21723-8" TargetMode="External"/><Relationship Id="rId60" Type="http://schemas.openxmlformats.org/officeDocument/2006/relationships/hyperlink" Target="https://link.springer.com/article/10.1007/s11356-022-21723-8" TargetMode="External"/><Relationship Id="rId65" Type="http://schemas.openxmlformats.org/officeDocument/2006/relationships/hyperlink" Target="https://link.springer.com/article/10.1007/s11356-022-21723-8" TargetMode="External"/><Relationship Id="rId81" Type="http://schemas.openxmlformats.org/officeDocument/2006/relationships/hyperlink" Target="https://link.springer.com/article/10.1007/s11356-022-21723-8" TargetMode="External"/><Relationship Id="rId86" Type="http://schemas.openxmlformats.org/officeDocument/2006/relationships/hyperlink" Target="https://link.springer.com/article/10.1007/s11356-022-21723-8" TargetMode="External"/><Relationship Id="rId130" Type="http://schemas.openxmlformats.org/officeDocument/2006/relationships/hyperlink" Target="https://link.springer.com/article/10.1007/s11356-022-21723-8/figures/11" TargetMode="External"/><Relationship Id="rId135" Type="http://schemas.openxmlformats.org/officeDocument/2006/relationships/hyperlink" Target="https://link.springer.com/article/10.1007/s11356-022-21723-8" TargetMode="External"/><Relationship Id="rId13" Type="http://schemas.openxmlformats.org/officeDocument/2006/relationships/hyperlink" Target="https://link.springer.com/article/10.1007/s11356-022-21723-8" TargetMode="External"/><Relationship Id="rId18" Type="http://schemas.openxmlformats.org/officeDocument/2006/relationships/hyperlink" Target="https://link.springer.com/article/10.1007/s11356-022-21723-8" TargetMode="External"/><Relationship Id="rId39" Type="http://schemas.openxmlformats.org/officeDocument/2006/relationships/hyperlink" Target="https://link.springer.com/article/10.1007/s11356-022-21723-8/figures/1" TargetMode="External"/><Relationship Id="rId109" Type="http://schemas.openxmlformats.org/officeDocument/2006/relationships/hyperlink" Target="https://link.springer.com/article/10.1007/s11356-022-21723-8/figures/7" TargetMode="External"/><Relationship Id="rId34" Type="http://schemas.openxmlformats.org/officeDocument/2006/relationships/hyperlink" Target="https://link.springer.com/article/10.1007/s11356-022-21723-8/tables/1" TargetMode="External"/><Relationship Id="rId50" Type="http://schemas.openxmlformats.org/officeDocument/2006/relationships/hyperlink" Target="https://link.springer.com/article/10.1007/s11356-022-21723-8" TargetMode="External"/><Relationship Id="rId55" Type="http://schemas.openxmlformats.org/officeDocument/2006/relationships/hyperlink" Target="https://link.springer.com/article/10.1007/s11356-022-21723-8" TargetMode="External"/><Relationship Id="rId76" Type="http://schemas.openxmlformats.org/officeDocument/2006/relationships/hyperlink" Target="https://link.springer.com/article/10.1007/s11356-022-21723-8" TargetMode="External"/><Relationship Id="rId97" Type="http://schemas.openxmlformats.org/officeDocument/2006/relationships/hyperlink" Target="https://link.springer.com/article/10.1007/s11356-022-21723-8/figures/4" TargetMode="External"/><Relationship Id="rId104" Type="http://schemas.openxmlformats.org/officeDocument/2006/relationships/hyperlink" Target="https://link.springer.com/article/10.1007/s11356-022-21723-8/figures/6" TargetMode="External"/><Relationship Id="rId120" Type="http://schemas.openxmlformats.org/officeDocument/2006/relationships/hyperlink" Target="https://link.springer.com/article/10.1007/s11356-022-21723-8/figures/9" TargetMode="External"/><Relationship Id="rId125" Type="http://schemas.openxmlformats.org/officeDocument/2006/relationships/hyperlink" Target="https://link.springer.com/article/10.1007/s11356-022-21723-8" TargetMode="External"/><Relationship Id="rId141" Type="http://schemas.openxmlformats.org/officeDocument/2006/relationships/fontTable" Target="fontTable.xml"/><Relationship Id="rId7" Type="http://schemas.openxmlformats.org/officeDocument/2006/relationships/hyperlink" Target="https://link.springer.com/article/10.1007/s11356-022-21723-8" TargetMode="External"/><Relationship Id="rId71" Type="http://schemas.openxmlformats.org/officeDocument/2006/relationships/hyperlink" Target="https://link.springer.com/article/10.1007/s11356-022-21723-8" TargetMode="External"/><Relationship Id="rId92" Type="http://schemas.openxmlformats.org/officeDocument/2006/relationships/hyperlink" Target="https://link.springer.com/article/10.1007/s11356-022-21723-8" TargetMode="External"/><Relationship Id="rId2" Type="http://schemas.openxmlformats.org/officeDocument/2006/relationships/styles" Target="styles.xml"/><Relationship Id="rId29" Type="http://schemas.openxmlformats.org/officeDocument/2006/relationships/hyperlink" Target="https://link.springer.com/article/10.1007/s11356-022-21723-8" TargetMode="External"/><Relationship Id="rId24" Type="http://schemas.openxmlformats.org/officeDocument/2006/relationships/hyperlink" Target="https://link.springer.com/article/10.1007/s11356-022-21723-8" TargetMode="External"/><Relationship Id="rId40" Type="http://schemas.openxmlformats.org/officeDocument/2006/relationships/hyperlink" Target="https://link.springer.com/article/10.1007/s11356-022-21723-8" TargetMode="External"/><Relationship Id="rId45" Type="http://schemas.openxmlformats.org/officeDocument/2006/relationships/hyperlink" Target="https://link.springer.com/article/10.1007/s11356-022-21723-8" TargetMode="External"/><Relationship Id="rId66" Type="http://schemas.openxmlformats.org/officeDocument/2006/relationships/hyperlink" Target="https://link.springer.com/article/10.1007/s11356-022-21723-8" TargetMode="External"/><Relationship Id="rId87" Type="http://schemas.openxmlformats.org/officeDocument/2006/relationships/hyperlink" Target="https://link.springer.com/article/10.1007/s11356-022-21723-8" TargetMode="External"/><Relationship Id="rId110" Type="http://schemas.openxmlformats.org/officeDocument/2006/relationships/image" Target="media/image7.png"/><Relationship Id="rId115" Type="http://schemas.openxmlformats.org/officeDocument/2006/relationships/image" Target="media/image8.png"/><Relationship Id="rId131" Type="http://schemas.openxmlformats.org/officeDocument/2006/relationships/image" Target="media/image11.png"/><Relationship Id="rId136" Type="http://schemas.openxmlformats.org/officeDocument/2006/relationships/hyperlink" Target="https://link.springer.com/article/10.1007/s11356-022-21723-8" TargetMode="External"/><Relationship Id="rId61" Type="http://schemas.openxmlformats.org/officeDocument/2006/relationships/hyperlink" Target="https://link.springer.com/article/10.1007/s11356-022-21723-8" TargetMode="External"/><Relationship Id="rId82" Type="http://schemas.openxmlformats.org/officeDocument/2006/relationships/hyperlink" Target="https://link.springer.com/article/10.1007/s11356-022-21723-8" TargetMode="External"/><Relationship Id="rId19" Type="http://schemas.openxmlformats.org/officeDocument/2006/relationships/hyperlink" Target="https://link.springer.com/article/10.1007/s11356-022-21723-8" TargetMode="External"/><Relationship Id="rId14" Type="http://schemas.openxmlformats.org/officeDocument/2006/relationships/hyperlink" Target="https://link.springer.com/article/10.1007/s11356-022-21723-8" TargetMode="External"/><Relationship Id="rId30" Type="http://schemas.openxmlformats.org/officeDocument/2006/relationships/hyperlink" Target="https://link.springer.com/article/10.1007/s11356-022-21723-8" TargetMode="External"/><Relationship Id="rId35" Type="http://schemas.openxmlformats.org/officeDocument/2006/relationships/hyperlink" Target="https://link.springer.com/article/10.1007/s11356-022-21723-8" TargetMode="External"/><Relationship Id="rId56" Type="http://schemas.openxmlformats.org/officeDocument/2006/relationships/hyperlink" Target="https://link.springer.com/article/10.1007/s11356-022-21723-8" TargetMode="External"/><Relationship Id="rId77" Type="http://schemas.openxmlformats.org/officeDocument/2006/relationships/hyperlink" Target="https://link.springer.com/article/10.1007/s11356-022-21723-8" TargetMode="External"/><Relationship Id="rId100" Type="http://schemas.openxmlformats.org/officeDocument/2006/relationships/image" Target="media/image5.png"/><Relationship Id="rId105" Type="http://schemas.openxmlformats.org/officeDocument/2006/relationships/image" Target="media/image6.png"/><Relationship Id="rId126" Type="http://schemas.openxmlformats.org/officeDocument/2006/relationships/hyperlink" Target="https://link.springer.com/article/10.1007/s11356-022-21723-8/figures/10" TargetMode="External"/><Relationship Id="rId8" Type="http://schemas.openxmlformats.org/officeDocument/2006/relationships/hyperlink" Target="https://link.springer.com/article/10.1007/s11356-022-21723-8" TargetMode="External"/><Relationship Id="rId51" Type="http://schemas.openxmlformats.org/officeDocument/2006/relationships/hyperlink" Target="https://link.springer.com/article/10.1007/s11356-022-21723-8" TargetMode="External"/><Relationship Id="rId72" Type="http://schemas.openxmlformats.org/officeDocument/2006/relationships/hyperlink" Target="https://link.springer.com/article/10.1007/s11356-022-21723-8" TargetMode="External"/><Relationship Id="rId93" Type="http://schemas.openxmlformats.org/officeDocument/2006/relationships/hyperlink" Target="https://link.springer.com/article/10.1007/s11356-022-21723-8" TargetMode="External"/><Relationship Id="rId98" Type="http://schemas.openxmlformats.org/officeDocument/2006/relationships/hyperlink" Target="https://link.springer.com/article/10.1007/s11356-022-21723-8" TargetMode="External"/><Relationship Id="rId121" Type="http://schemas.openxmlformats.org/officeDocument/2006/relationships/hyperlink" Target="https://link.springer.com/article/10.1007/s11356-022-21723-8" TargetMode="External"/><Relationship Id="rId142" Type="http://schemas.openxmlformats.org/officeDocument/2006/relationships/theme" Target="theme/theme1.xml"/><Relationship Id="rId3" Type="http://schemas.openxmlformats.org/officeDocument/2006/relationships/settings" Target="settings.xml"/><Relationship Id="rId25" Type="http://schemas.openxmlformats.org/officeDocument/2006/relationships/hyperlink" Target="https://link.springer.com/article/10.1007/s11356-022-21723-8" TargetMode="External"/><Relationship Id="rId46" Type="http://schemas.openxmlformats.org/officeDocument/2006/relationships/hyperlink" Target="https://link.springer.com/article/10.1007/s11356-022-21723-8" TargetMode="External"/><Relationship Id="rId67" Type="http://schemas.openxmlformats.org/officeDocument/2006/relationships/hyperlink" Target="https://link.springer.com/article/10.1007/s11356-022-21723-8" TargetMode="External"/><Relationship Id="rId116" Type="http://schemas.openxmlformats.org/officeDocument/2006/relationships/hyperlink" Target="https://link.springer.com/article/10.1007/s11356-022-21723-8/figures/8" TargetMode="External"/><Relationship Id="rId137" Type="http://schemas.openxmlformats.org/officeDocument/2006/relationships/hyperlink" Target="https://link.springer.com/article/10.1007/s11356-022-21723-8" TargetMode="External"/><Relationship Id="rId20" Type="http://schemas.openxmlformats.org/officeDocument/2006/relationships/hyperlink" Target="https://link.springer.com/article/10.1007/s11356-022-21723-8" TargetMode="External"/><Relationship Id="rId41" Type="http://schemas.openxmlformats.org/officeDocument/2006/relationships/hyperlink" Target="https://link.springer.com/article/10.1007/s11356-022-21723-8" TargetMode="External"/><Relationship Id="rId62" Type="http://schemas.openxmlformats.org/officeDocument/2006/relationships/hyperlink" Target="https://link.springer.com/article/10.1007/s11356-022-21723-8" TargetMode="External"/><Relationship Id="rId83" Type="http://schemas.openxmlformats.org/officeDocument/2006/relationships/hyperlink" Target="https://link.springer.com/article/10.1007/s11356-022-21723-8/figures/3" TargetMode="External"/><Relationship Id="rId88" Type="http://schemas.openxmlformats.org/officeDocument/2006/relationships/hyperlink" Target="https://link.springer.com/article/10.1007/s11356-022-21723-8" TargetMode="External"/><Relationship Id="rId111" Type="http://schemas.openxmlformats.org/officeDocument/2006/relationships/hyperlink" Target="https://link.springer.com/article/10.1007/s11356-022-21723-8/figures/7" TargetMode="External"/><Relationship Id="rId132" Type="http://schemas.openxmlformats.org/officeDocument/2006/relationships/hyperlink" Target="https://link.springer.com/article/10.1007/s11356-022-21723-8/figures/11" TargetMode="External"/><Relationship Id="rId15" Type="http://schemas.openxmlformats.org/officeDocument/2006/relationships/hyperlink" Target="https://link.springer.com/article/10.1007/s11356-022-21723-8" TargetMode="External"/><Relationship Id="rId36" Type="http://schemas.openxmlformats.org/officeDocument/2006/relationships/hyperlink" Target="https://link.springer.com/article/10.1007/s11356-022-21723-8" TargetMode="External"/><Relationship Id="rId57" Type="http://schemas.openxmlformats.org/officeDocument/2006/relationships/hyperlink" Target="https://link.springer.com/article/10.1007/s11356-022-21723-8" TargetMode="External"/><Relationship Id="rId106" Type="http://schemas.openxmlformats.org/officeDocument/2006/relationships/hyperlink" Target="https://link.springer.com/article/10.1007/s11356-022-21723-8/figures/6" TargetMode="External"/><Relationship Id="rId127" Type="http://schemas.openxmlformats.org/officeDocument/2006/relationships/image" Target="media/image10.png"/><Relationship Id="rId10" Type="http://schemas.openxmlformats.org/officeDocument/2006/relationships/hyperlink" Target="https://link.springer.com/article/10.1007/s11356-022-21723-8" TargetMode="External"/><Relationship Id="rId31" Type="http://schemas.openxmlformats.org/officeDocument/2006/relationships/hyperlink" Target="https://link.springer.com/article/10.1007/s11356-022-21723-8" TargetMode="External"/><Relationship Id="rId52" Type="http://schemas.openxmlformats.org/officeDocument/2006/relationships/hyperlink" Target="https://link.springer.com/article/10.1007/s11356-022-21723-8/figures/2" TargetMode="External"/><Relationship Id="rId73" Type="http://schemas.openxmlformats.org/officeDocument/2006/relationships/hyperlink" Target="https://link.springer.com/article/10.1007/s11356-022-21723-8" TargetMode="External"/><Relationship Id="rId78" Type="http://schemas.openxmlformats.org/officeDocument/2006/relationships/hyperlink" Target="https://link.springer.com/article/10.1007/s11356-022-21723-8/tables/2" TargetMode="External"/><Relationship Id="rId94" Type="http://schemas.openxmlformats.org/officeDocument/2006/relationships/hyperlink" Target="https://link.springer.com/article/10.1007/s11356-022-21723-8" TargetMode="External"/><Relationship Id="rId99" Type="http://schemas.openxmlformats.org/officeDocument/2006/relationships/hyperlink" Target="https://link.springer.com/article/10.1007/s11356-022-21723-8/figures/5" TargetMode="External"/><Relationship Id="rId101" Type="http://schemas.openxmlformats.org/officeDocument/2006/relationships/hyperlink" Target="https://link.springer.com/article/10.1007/s11356-022-21723-8/figures/5" TargetMode="External"/><Relationship Id="rId122" Type="http://schemas.openxmlformats.org/officeDocument/2006/relationships/hyperlink" Target="https://link.springer.com/article/10.1007/s11356-022-21723-8" TargetMode="External"/><Relationship Id="rId4" Type="http://schemas.openxmlformats.org/officeDocument/2006/relationships/webSettings" Target="webSettings.xml"/><Relationship Id="rId9" Type="http://schemas.openxmlformats.org/officeDocument/2006/relationships/hyperlink" Target="https://link.springer.com/article/10.1007/s11356-022-21723-8" TargetMode="External"/><Relationship Id="rId26" Type="http://schemas.openxmlformats.org/officeDocument/2006/relationships/hyperlink" Target="https://link.springer.com/article/10.1007/s11356-022-21723-8" TargetMode="External"/><Relationship Id="rId47" Type="http://schemas.openxmlformats.org/officeDocument/2006/relationships/hyperlink" Target="https://link.springer.com/article/10.1007/s11356-022-21723-8" TargetMode="External"/><Relationship Id="rId68" Type="http://schemas.openxmlformats.org/officeDocument/2006/relationships/hyperlink" Target="https://link.springer.com/article/10.1007/s11356-022-21723-8" TargetMode="External"/><Relationship Id="rId89" Type="http://schemas.openxmlformats.org/officeDocument/2006/relationships/hyperlink" Target="https://link.springer.com/article/10.1007/s11356-022-21723-8" TargetMode="External"/><Relationship Id="rId112" Type="http://schemas.openxmlformats.org/officeDocument/2006/relationships/hyperlink" Target="https://link.springer.com/article/10.1007/s11356-022-21723-8" TargetMode="External"/><Relationship Id="rId133" Type="http://schemas.openxmlformats.org/officeDocument/2006/relationships/hyperlink" Target="https://link.springer.com/article/10.1007/s11356-022-21723-8" TargetMode="External"/><Relationship Id="rId16" Type="http://schemas.openxmlformats.org/officeDocument/2006/relationships/hyperlink" Target="https://link.springer.com/article/10.1007/s11356-022-2172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26</Pages>
  <Words>9587</Words>
  <Characters>54647</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ABEL RONO</dc:creator>
  <cp:keywords/>
  <dc:description/>
  <cp:lastModifiedBy>Microsoft account</cp:lastModifiedBy>
  <cp:revision>2</cp:revision>
  <dcterms:created xsi:type="dcterms:W3CDTF">2023-09-06T11:01:00Z</dcterms:created>
  <dcterms:modified xsi:type="dcterms:W3CDTF">2023-09-07T09:24:00Z</dcterms:modified>
</cp:coreProperties>
</file>