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TweetToxic 2026 PUJ</w:t>
      </w:r>
    </w:p>
    <w:p>
      <w:pPr>
        <w:spacing w:after="60"/>
        <w:jc w:val="center"/>
      </w:pPr>
      <w:r>
        <w:rPr>
          <w:sz w:val="24"/>
          <w:szCs w:val="24"/>
        </w:rPr>
        <w:t xml:space="preserve">Detección de discurso de odio, odio dirigido y agresividad en tweets en español</w:t>
      </w:r>
    </w:p>
    <w:p>
      <w:pPr>
        <w:spacing w:after="60"/>
        <w:jc w:val="center"/>
      </w:pPr>
      <w:r>
        <w:rPr>
          <w:sz w:val="20"/>
          <w:szCs w:val="20"/>
        </w:rPr>
        <w:t xml:space="preserve">Equipo NLP_G1 · Juan Camilo Torres y Jesus David Romero</w:t>
      </w:r>
    </w:p>
    <w:p>
      <w:pPr>
        <w:spacing w:after="240"/>
        <w:jc w:val="center"/>
      </w:pPr>
      <w:r>
        <w:rPr>
          <w:color w:val="595959"/>
          <w:sz w:val="18"/>
          <w:szCs w:val="18"/>
        </w:rPr>
        <w:t xml:space="preserve">Procesamiento del Lenguaje Natural · Maestría en Inteligencia Artificial · Pontificia Universidad Javeriana · 19 de octubre de 2026</w:t>
      </w:r>
    </w:p>
    <w:p>
      <w:pPr>
        <w:pStyle w:val="Heading1"/>
      </w:pPr>
      <w:r>
        <w:t xml:space="preserve">1. Introducción: tarea y datos</w:t>
      </w:r>
    </w:p>
    <w:p>
      <w:pPr>
        <w:spacing w:after="120"/>
        <w:jc w:val="both"/>
      </w:pPr>
      <w:r>
        <w:t xml:space="preserve">La competencia privada de Kaggle </w:t>
      </w:r>
      <w:r>
        <w:rPr>
          <w:i/>
          <w:iCs/>
        </w:rPr>
        <w:t xml:space="preserve">TweetToxic 2026 PUJ</w:t>
      </w:r>
      <w:r>
        <w:t xml:space="preserve"> es una </w:t>
      </w:r>
      <w:r>
        <w:rPr>
          <w:b/>
          <w:bCs/>
        </w:rPr>
        <w:t xml:space="preserve">clasificación multietiqueta</w:t>
      </w:r>
      <w:r>
        <w:t xml:space="preserve"> de tweets en español tomados de HatEval 2019 (SemEval-2019, tarea 5). Cada tweet tiene tres etiquetas binarias: </w:t>
      </w:r>
      <w:r>
        <w:rPr>
          <w:b/>
          <w:bCs/>
        </w:rPr>
        <w:t xml:space="preserve">HS</w:t>
      </w:r>
      <w:r>
        <w:t xml:space="preserve"> (discurso de odio contra mujeres o inmigrantes), </w:t>
      </w:r>
      <w:r>
        <w:rPr>
          <w:b/>
          <w:bCs/>
        </w:rPr>
        <w:t xml:space="preserve">TR</w:t>
      </w:r>
      <w:r>
        <w:t xml:space="preserve"> (el odio va dirigido a una persona concreta) y </w:t>
      </w:r>
      <w:r>
        <w:rPr>
          <w:b/>
          <w:bCs/>
        </w:rPr>
        <w:t xml:space="preserve">AG</w:t>
      </w:r>
      <w:r>
        <w:t xml:space="preserve"> (el tweet es agresivo). TR = 1 implica siempre HS = 1.</w:t>
      </w:r>
    </w:p>
    <w:p>
      <w:pPr>
        <w:spacing w:after="120"/>
        <w:jc w:val="both"/>
      </w:pPr>
      <w:r>
        <w:t xml:space="preserve">El conjunto de entrenamiento tiene 1.731 tweets y el de prueba 1.154. La métrica de trabajo es el </w:t>
      </w:r>
      <w:r>
        <w:rPr>
          <w:b/>
          <w:bCs/>
        </w:rPr>
        <w:t xml:space="preserve">F1 medio</w:t>
      </w:r>
      <w:r>
        <w:t xml:space="preserve">: el F1 de la clase positiva de cada etiqueta, promediado sobre HS, TR y 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Aspecto</w:t>
            </w:r>
          </w:p>
        </w:tc>
        <w:tc>
          <w:tcPr>
            <w:tcW w:type="dxa" w:w="67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Valor</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Prevalencia en el train</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HS 0,437 · TR 0,300 · AG 0,382</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Combinaciones HS-TR-AG</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000: 949 · 111: 491 · 101: 145 · 100: 92 · 110: 28 · 001: 26</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Largo de los tweets</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Mediana de 15 palabras (percentil 95: 39)</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Artefacto 1: tildes y ñ</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Se borraron los caracteres no ASCII (</w:t>
            </w:r>
            <w:r>
              <w:rPr>
                <w:i/>
                <w:iCs/>
                <w:sz w:val="18"/>
                <w:szCs w:val="18"/>
              </w:rPr>
              <w:t xml:space="preserve">cállate</w:t>
            </w:r>
            <w:r>
              <w:rPr>
                <w:sz w:val="18"/>
                <w:szCs w:val="18"/>
              </w:rPr>
              <w:t xml:space="preserve"> → </w:t>
            </w:r>
            <w:r>
              <w:rPr>
                <w:rFonts w:ascii="Consolas" w:cs="Consolas" w:eastAsia="Consolas" w:hAnsi="Consolas"/>
                <w:sz w:val="18"/>
                <w:szCs w:val="18"/>
              </w:rPr>
              <w:t xml:space="preserve">cllate</w:t>
            </w:r>
            <w:r>
              <w:rPr>
                <w:sz w:val="18"/>
                <w:szCs w:val="18"/>
              </w:rPr>
              <w:t xml:space="preserve">, </w:t>
            </w:r>
            <w:r>
              <w:rPr>
                <w:i/>
                <w:iCs/>
                <w:sz w:val="18"/>
                <w:szCs w:val="18"/>
              </w:rPr>
              <w:t xml:space="preserve">imbécil</w:t>
            </w:r>
            <w:r>
              <w:rPr>
                <w:sz w:val="18"/>
                <w:szCs w:val="18"/>
              </w:rPr>
              <w:t xml:space="preserve"> → </w:t>
            </w:r>
            <w:r>
              <w:rPr>
                <w:rFonts w:ascii="Consolas" w:cs="Consolas" w:eastAsia="Consolas" w:hAnsi="Consolas"/>
                <w:sz w:val="18"/>
                <w:szCs w:val="18"/>
              </w:rPr>
              <w:t xml:space="preserve">imbcil</w:t>
            </w:r>
            <w:r>
              <w:rPr>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Artefacto 2: </w:t>
            </w:r>
            <w:r>
              <w:rPr>
                <w:rFonts w:ascii="Consolas" w:cs="Consolas" w:eastAsia="Consolas" w:hAnsi="Consolas"/>
                <w:sz w:val="18"/>
                <w:szCs w:val="18"/>
              </w:rPr>
              <w:t xml:space="preserve">#¿NOMBRE?</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Error de Excel que reemplazó el texto: 1 fila en el train y 6 en el test</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Artefacto 3: comillas</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Las 39 filas entrecomilladas del train tienen AG = 1</w:t>
            </w:r>
          </w:p>
        </w:tc>
      </w:tr>
    </w:tbl>
    <w:p>
      <w:pPr>
        <w:spacing w:after="160" w:before="60"/>
      </w:pPr>
      <w:r>
        <w:rPr>
          <w:i/>
          <w:iCs/>
          <w:sz w:val="18"/>
          <w:szCs w:val="18"/>
        </w:rPr>
        <w:t xml:space="preserve">Tabla 1. Características del conjunto de datos.</w:t>
      </w:r>
    </w:p>
    <w:p>
      <w:pPr>
        <w:pStyle w:val="Heading1"/>
      </w:pPr>
      <w:r>
        <w:t xml:space="preserve">2. Reglas de la competencia y cumplimiento</w:t>
      </w:r>
    </w:p>
    <w:p>
      <w:pPr>
        <w:spacing w:after="120"/>
        <w:jc w:val="both"/>
      </w:pPr>
      <w:r>
        <w:t xml:space="preserve">Las reglas de TweetToxic permiten bolsa de palabras, TF-IDF y Word2Vec </w:t>
      </w:r>
      <w:r>
        <w:rPr>
          <w:b/>
          <w:bCs/>
        </w:rPr>
        <w:t xml:space="preserve">siempre que los entrene el equipo</w:t>
      </w:r>
      <w:r>
        <w:t xml:space="preserve">, así como léxicos y corpus externos citados. Prohíben cualquier modelo de lenguaje, embedding, clasificador o transformer preentrenado, y exigen que el test no se use para entrenar.</w:t>
      </w:r>
    </w:p>
    <w:p>
      <w:pPr>
        <w:pStyle w:val="ListParagraph"/>
        <w:numPr>
          <w:ilvl w:val="0"/>
          <w:numId w:val="2"/>
        </w:numPr>
        <w:spacing w:after="60"/>
      </w:pPr>
      <w:r>
        <w:t xml:space="preserve">Todas las representaciones (TF-IDF, TruncatedSVD, escaladores) y todos los clasificadores se entrenan desde cero, </w:t>
      </w:r>
      <w:r>
        <w:rPr>
          <w:b/>
          <w:bCs/>
        </w:rPr>
        <w:t xml:space="preserve">solo con la partición de entrenamiento</w:t>
      </w:r>
      <w:r>
        <w:t xml:space="preserve"> de cada fold. En el modelo final se entrenan con el train completo, y el test solo se transforma.</w:t>
      </w:r>
    </w:p>
    <w:p>
      <w:pPr>
        <w:pStyle w:val="ListParagraph"/>
        <w:numPr>
          <w:ilvl w:val="0"/>
          <w:numId w:val="2"/>
        </w:numPr>
        <w:spacing w:after="60"/>
      </w:pPr>
      <w:r>
        <w:t xml:space="preserve">Las variables lingüísticas son expresiones regulares escritas por el equipo a partir del análisis del train.</w:t>
      </w:r>
    </w:p>
    <w:p>
      <w:pPr>
        <w:pStyle w:val="ListParagraph"/>
        <w:numPr>
          <w:ilvl w:val="0"/>
          <w:numId w:val="2"/>
        </w:numPr>
        <w:spacing w:after="60"/>
      </w:pPr>
      <w:r>
        <w:t xml:space="preserve">El léxico externo HurtLex (CC BY-NC-SA 4.0) solo se probó en un experimento y no se adoptó. </w:t>
      </w:r>
      <w:r>
        <w:rPr>
          <w:b/>
          <w:bCs/>
        </w:rPr>
        <w:t xml:space="preserve">No se usó el corpus etiquetado de HatEval 2019</w:t>
      </w:r>
      <w:r>
        <w:t xml:space="preserve">, porque el test de la competencia sale de él y sería una fuga de etiquetas.</w:t>
      </w:r>
    </w:p>
    <w:p>
      <w:pPr>
        <w:pStyle w:val="ListParagraph"/>
        <w:numPr>
          <w:ilvl w:val="0"/>
          <w:numId w:val="2"/>
        </w:numPr>
        <w:spacing w:after="60"/>
      </w:pPr>
      <w:r>
        <w:t xml:space="preserve">Nota de transparencia: en dos experimentos se contó cuántas veces aparecía cada patrón en el test (sin etiquetas), solo como diagnóstico de sobreajuste. No se cambió nada por ello.</w:t>
      </w:r>
    </w:p>
    <w:p>
      <w:pPr>
        <w:pStyle w:val="Heading1"/>
      </w:pPr>
      <w:r>
        <w:t xml:space="preserve">3. Preprocesamiento y control de fuga de información</w:t>
      </w:r>
    </w:p>
    <w:p>
      <w:pPr>
        <w:pStyle w:val="Heading2"/>
      </w:pPr>
      <w:r>
        <w:t xml:space="preserve">3.1 Preprocesamiento</w:t>
      </w:r>
    </w:p>
    <w:p>
      <w:pPr>
        <w:spacing w:after="120"/>
        <w:jc w:val="both"/>
      </w:pPr>
      <w:r>
        <w:t xml:space="preserve">La normalización pasa el texto a minúsculas, cambia enlaces y menciones por los tokens </w:t>
      </w:r>
      <w:r>
        <w:rPr>
          <w:rFonts w:ascii="Consolas" w:cs="Consolas" w:eastAsia="Consolas" w:hAnsi="Consolas"/>
        </w:rPr>
        <w:t xml:space="preserve">xurl</w:t>
      </w:r>
      <w:r>
        <w:t xml:space="preserve"> y </w:t>
      </w:r>
      <w:r>
        <w:rPr>
          <w:rFonts w:ascii="Consolas" w:cs="Consolas" w:eastAsia="Consolas" w:hAnsi="Consolas"/>
        </w:rPr>
        <w:t xml:space="preserve">xuser</w:t>
      </w:r>
      <w:r>
        <w:t xml:space="preserve">, borra los caracteres no ASCII también en el test (para que quede igual que el train) y reduce los alargamientos (</w:t>
      </w:r>
      <w:r>
        <w:rPr>
          <w:i/>
          <w:iCs/>
        </w:rPr>
        <w:t xml:space="preserve">jajajaja</w:t>
      </w:r>
      <w:r>
        <w:t xml:space="preserve"> → </w:t>
      </w:r>
      <w:r>
        <w:rPr>
          <w:i/>
          <w:iCs/>
        </w:rPr>
        <w:t xml:space="preserve">jaja</w:t>
      </w:r>
      <w:r>
        <w:t xml:space="preserve">). </w:t>
      </w:r>
      <w:r>
        <w:rPr>
          <w:b/>
          <w:bCs/>
        </w:rPr>
        <w:t xml:space="preserve">No se quitan stopwords ni se hace stemming</w:t>
      </w:r>
      <w:r>
        <w:t xml:space="preserve">: el género gramatical (</w:t>
      </w:r>
      <w:r>
        <w:rPr>
          <w:i/>
          <w:iCs/>
        </w:rPr>
        <w:t xml:space="preserve">hijo</w:t>
      </w:r>
      <w:r>
        <w:t xml:space="preserve">/</w:t>
      </w:r>
      <w:r>
        <w:rPr>
          <w:i/>
          <w:iCs/>
        </w:rPr>
        <w:t xml:space="preserve">hija</w:t>
      </w:r>
      <w:r>
        <w:t xml:space="preserve">) y los pronombres (</w:t>
      </w:r>
      <w:r>
        <w:rPr>
          <w:i/>
          <w:iCs/>
        </w:rPr>
        <w:t xml:space="preserve">tú eres</w:t>
      </w:r>
      <w:r>
        <w:t xml:space="preserve">) son informativos para distinguir el odio dirigido (TR).</w:t>
      </w:r>
    </w:p>
    <w:p>
      <w:pPr>
        <w:pStyle w:val="Heading2"/>
      </w:pPr>
      <w:r>
        <w:t xml:space="preserve">3.2 Separación entre entrenamiento y validación</w:t>
      </w:r>
    </w:p>
    <w:p>
      <w:pPr>
        <w:pStyle w:val="ListParagraph"/>
        <w:numPr>
          <w:ilvl w:val="0"/>
          <w:numId w:val="2"/>
        </w:numPr>
        <w:spacing w:after="60"/>
      </w:pPr>
      <w:r>
        <w:rPr>
          <w:b/>
          <w:bCs/>
        </w:rPr>
        <w:t xml:space="preserve">Validación cruzada estratificada</w:t>
      </w:r>
      <w:r>
        <w:t xml:space="preserve"> de 5 particiones por la combinación HS-TR-AG, </w:t>
      </w:r>
      <w:r>
        <w:rPr>
          <w:b/>
          <w:bCs/>
        </w:rPr>
        <w:t xml:space="preserve">repetida con 3 semillas</w:t>
      </w:r>
      <w:r>
        <w:t xml:space="preserve"> (42, 43 y 44). Se reporta la media y la desviación entre semillas.</w:t>
      </w:r>
    </w:p>
    <w:p>
      <w:pPr>
        <w:pStyle w:val="ListParagraph"/>
        <w:numPr>
          <w:ilvl w:val="0"/>
          <w:numId w:val="2"/>
        </w:numPr>
        <w:spacing w:after="60"/>
      </w:pPr>
      <w:r>
        <w:t xml:space="preserve">Cada vectorizador, escalador y modelo se ajusta dentro del fold. Las predicciones de validación son </w:t>
      </w:r>
      <w:r>
        <w:rPr>
          <w:b/>
          <w:bCs/>
        </w:rPr>
        <w:t xml:space="preserve">fuera de fold</w:t>
      </w:r>
      <w:r>
        <w:t xml:space="preserve"> (OOF): cada tweet se predice con un modelo que no lo vio.</w:t>
      </w:r>
    </w:p>
    <w:p>
      <w:pPr>
        <w:pStyle w:val="ListParagraph"/>
        <w:numPr>
          <w:ilvl w:val="0"/>
          <w:numId w:val="2"/>
        </w:numPr>
        <w:spacing w:after="60"/>
      </w:pPr>
      <w:r>
        <w:t xml:space="preserve">El metamodelo del stacking se evalúa con otra validación cruzada (semilla + 1) sobre esas predicciones OOF, así que tampoco ve las filas que predice.</w:t>
      </w:r>
    </w:p>
    <w:p>
      <w:pPr>
        <w:pStyle w:val="ListParagraph"/>
        <w:numPr>
          <w:ilvl w:val="0"/>
          <w:numId w:val="2"/>
        </w:numPr>
        <w:spacing w:after="60"/>
      </w:pPr>
      <w:r>
        <w:t xml:space="preserve">Para medir el </w:t>
      </w:r>
      <w:r>
        <w:rPr>
          <w:b/>
          <w:bCs/>
        </w:rPr>
        <w:t xml:space="preserve">sesgo de selección</w:t>
      </w:r>
      <w:r>
        <w:t xml:space="preserve"> de las variables escritas mirando errores, en la última ronda se reservó un 20 % del train como </w:t>
      </w:r>
      <w:r>
        <w:rPr>
          <w:b/>
          <w:bCs/>
        </w:rPr>
        <w:t xml:space="preserve">conjunto de control</w:t>
      </w:r>
      <w:r>
        <w:t xml:space="preserve"> (347 tweets) que no se miró al diseñarlas.</w:t>
      </w:r>
    </w:p>
    <w:p>
      <w:pPr>
        <w:pStyle w:val="Heading1"/>
      </w:pPr>
      <w:r>
        <w:t xml:space="preserve">4. El modelo final</w:t>
      </w:r>
    </w:p>
    <w:p>
      <w:pPr>
        <w:pStyle w:val="Heading2"/>
      </w:pPr>
      <w:r>
        <w:t xml:space="preserve">4.1 Nivel 1: siete modelos base</w:t>
      </w:r>
    </w:p>
    <w:p>
      <w:pPr>
        <w:spacing w:after="120"/>
        <w:jc w:val="both"/>
      </w:pPr>
      <w:r>
        <w:t xml:space="preserve">Los modelos lineales usan tres bloques concatenados: TF-IDF de palabras (1-2 gramas), TF-IDF de caracteres </w:t>
      </w:r>
      <w:r>
        <w:rPr>
          <w:rFonts w:ascii="Consolas" w:cs="Consolas" w:eastAsia="Consolas" w:hAnsi="Consolas"/>
        </w:rPr>
        <w:t xml:space="preserve">char_wb</w:t>
      </w:r>
      <w:r>
        <w:t xml:space="preserve"> (2-5) y el bloque de variables lingüísticas, estandarizado y con peso 0,3. Los modelos de árboles usan TruncatedSVD(300) de los TF-IDF más las variables sin escalar.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260"/>
        <w:gridCol w:w="16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Modelo</w:t>
            </w:r>
          </w:p>
        </w:tc>
        <w:tc>
          <w:tcPr>
            <w:tcW w:type="dxa" w:w="62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Descripción</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F1 medio solo</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CNB</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Complement Naive Bayes, una por etiqueta</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0,7463</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LR</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Regresión logística (C = 4), una por etiqueta</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0,8023</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SVM</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SVM lineal calibrado (Platt), una por etiqueta</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0,8017</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NB-LR</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Regresión logística sobre n-gramas reponderados por Naive Bayes (Wang y Manning, 2012)</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0,8010</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Powerset</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Una regresión logística multiclase sobre la combinación HS-TR-AG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0,8037</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LGBM</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LightGBM por etiqueta sobre SVD + variables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0,7928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LGBM-PS</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LightGBM multiclase sobre la combinación HS-TR-AG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0,7915</w:t>
            </w:r>
          </w:p>
        </w:tc>
      </w:tr>
    </w:tbl>
    <w:p>
      <w:pPr>
        <w:spacing w:after="160" w:before="60"/>
      </w:pPr>
      <w:r>
        <w:rPr>
          <w:i/>
          <w:iCs/>
          <w:sz w:val="18"/>
          <w:szCs w:val="18"/>
        </w:rPr>
        <w:t xml:space="preserve">Tabla 2. Modelos base. F1 medio de cada modelo por sí solo (CV repetida, sin variables nuevas).</w:t>
      </w:r>
    </w:p>
    <w:p>
      <w:pPr>
        <w:pStyle w:val="Heading2"/>
      </w:pPr>
      <w:r>
        <w:t xml:space="preserve">4.2 Variables lingüísticas</w:t>
      </w:r>
    </w:p>
    <w:p>
      <w:pPr>
        <w:spacing w:after="120"/>
        <w:jc w:val="both"/>
      </w:pPr>
      <w:r>
        <w:t xml:space="preserve">El bloque de variables es lo que más aporta. Se construyó en tres rondas, verificando cada hipótesis con P(etiqueta | patrón) frente a la prevalencia: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160"/>
        <w:gridCol w:w="19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Grupo</w:t>
            </w:r>
          </w:p>
        </w:tc>
        <w:tc>
          <w:tcPr>
            <w:tcW w:type="dxa" w:w="51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Ejemplos de hipótesis</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Origen</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H1-H11 (38 variables)</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Insultos femeninos; </w:t>
            </w:r>
            <w:r>
              <w:rPr>
                <w:i/>
                <w:iCs/>
                <w:sz w:val="18"/>
                <w:szCs w:val="18"/>
              </w:rPr>
              <w:t xml:space="preserve">puta</w:t>
            </w:r>
            <w:r>
              <w:rPr>
                <w:sz w:val="18"/>
                <w:szCs w:val="18"/>
              </w:rPr>
              <w:t xml:space="preserve"> como intensificador; </w:t>
            </w:r>
            <w:r>
              <w:rPr>
                <w:i/>
                <w:iCs/>
                <w:sz w:val="18"/>
                <w:szCs w:val="18"/>
              </w:rPr>
              <w:t xml:space="preserve">hijo</w:t>
            </w:r>
            <w:r>
              <w:rPr>
                <w:sz w:val="18"/>
                <w:szCs w:val="18"/>
              </w:rPr>
              <w:t xml:space="preserve"> frente a </w:t>
            </w:r>
            <w:r>
              <w:rPr>
                <w:i/>
                <w:iCs/>
                <w:sz w:val="18"/>
                <w:szCs w:val="18"/>
              </w:rPr>
              <w:t xml:space="preserve">hija de puta</w:t>
            </w:r>
            <w:r>
              <w:rPr>
                <w:sz w:val="18"/>
                <w:szCs w:val="18"/>
              </w:rPr>
              <w:t xml:space="preserve">; </w:t>
            </w:r>
            <w:r>
              <w:rPr>
                <w:i/>
                <w:iCs/>
                <w:sz w:val="18"/>
                <w:szCs w:val="18"/>
              </w:rPr>
              <w:t xml:space="preserve">cállate</w:t>
            </w:r>
            <w:r>
              <w:rPr>
                <w:sz w:val="18"/>
                <w:szCs w:val="18"/>
              </w:rPr>
              <w:t xml:space="preserve"> con o sin insulto; grupos migrantes; mención al inicio; comillas</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Notebook original</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H12-H17 (7 variables, versión genérica)</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Posesivo + insulto (</w:t>
            </w:r>
            <w:r>
              <w:rPr>
                <w:i/>
                <w:iCs/>
                <w:sz w:val="18"/>
                <w:szCs w:val="18"/>
              </w:rPr>
              <w:t xml:space="preserve">mi perra</w:t>
            </w:r>
            <w:r>
              <w:rPr>
                <w:sz w:val="18"/>
                <w:szCs w:val="18"/>
              </w:rPr>
              <w:t xml:space="preserve">); negación (</w:t>
            </w:r>
            <w:r>
              <w:rPr>
                <w:i/>
                <w:iCs/>
                <w:sz w:val="18"/>
                <w:szCs w:val="18"/>
              </w:rPr>
              <w:t xml:space="preserve">no es una zorra</w:t>
            </w:r>
            <w:r>
              <w:rPr>
                <w:sz w:val="18"/>
                <w:szCs w:val="18"/>
              </w:rPr>
              <w:t xml:space="preserve">); </w:t>
            </w:r>
            <w:r>
              <w:rPr>
                <w:i/>
                <w:iCs/>
                <w:sz w:val="18"/>
                <w:szCs w:val="18"/>
              </w:rPr>
              <w:t xml:space="preserve">árabe</w:t>
            </w:r>
            <w:r>
              <w:rPr>
                <w:sz w:val="18"/>
                <w:szCs w:val="18"/>
              </w:rPr>
              <w:t xml:space="preserve"> en estereotipo; grupo migrante + deshumanización o expulsión; demostrativo + grupo (</w:t>
            </w:r>
            <w:r>
              <w:rPr>
                <w:i/>
                <w:iCs/>
                <w:sz w:val="18"/>
                <w:szCs w:val="18"/>
              </w:rPr>
              <w:t xml:space="preserve">estos indocumentados</w:t>
            </w:r>
            <w:r>
              <w:rPr>
                <w:sz w:val="18"/>
                <w:szCs w:val="18"/>
              </w:rPr>
              <w:t xml:space="preserve">); demostrativo femenino (</w:t>
            </w:r>
            <w:r>
              <w:rPr>
                <w:i/>
                <w:iCs/>
                <w:sz w:val="18"/>
                <w:szCs w:val="18"/>
              </w:rPr>
              <w:t xml:space="preserve">esta puta</w:t>
            </w:r>
            <w:r>
              <w:rPr>
                <w:sz w:val="18"/>
                <w:szCs w:val="18"/>
              </w:rPr>
              <w:t xml:space="preserv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Errores OOF de todo el train</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H19-H23 (4 variables)</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i/>
                <w:iCs/>
                <w:sz w:val="18"/>
                <w:szCs w:val="18"/>
              </w:rPr>
              <w:t xml:space="preserve">perra</w:t>
            </w:r>
            <w:r>
              <w:rPr>
                <w:sz w:val="18"/>
                <w:szCs w:val="18"/>
              </w:rPr>
              <w:t xml:space="preserve"> como mascota (P(HS) = 0,20); estereotipo sexista sin insulto (</w:t>
            </w:r>
            <w:r>
              <w:rPr>
                <w:i/>
                <w:iCs/>
                <w:sz w:val="18"/>
                <w:szCs w:val="18"/>
              </w:rPr>
              <w:t xml:space="preserve">feminazi</w:t>
            </w:r>
            <w:r>
              <w:rPr>
                <w:sz w:val="18"/>
                <w:szCs w:val="18"/>
              </w:rPr>
              <w:t xml:space="preserve">, </w:t>
            </w:r>
            <w:r>
              <w:rPr>
                <w:i/>
                <w:iCs/>
                <w:sz w:val="18"/>
                <w:szCs w:val="18"/>
              </w:rPr>
              <w:t xml:space="preserve">a fregar</w:t>
            </w:r>
            <w:r>
              <w:rPr>
                <w:sz w:val="18"/>
                <w:szCs w:val="18"/>
              </w:rPr>
              <w:t xml:space="preserve">; P(HS) = 1,00); </w:t>
            </w:r>
            <w:r>
              <w:rPr>
                <w:i/>
                <w:iCs/>
                <w:sz w:val="18"/>
                <w:szCs w:val="18"/>
              </w:rPr>
              <w:t xml:space="preserve">racismo es que...</w:t>
            </w:r>
            <w:r>
              <w:rPr>
                <w:sz w:val="18"/>
                <w:szCs w:val="18"/>
              </w:rPr>
              <w:t xml:space="preserve"> (0,75); </w:t>
            </w:r>
            <w:r>
              <w:rPr>
                <w:i/>
                <w:iCs/>
                <w:sz w:val="18"/>
                <w:szCs w:val="18"/>
              </w:rPr>
              <w:t xml:space="preserve">puta</w:t>
            </w:r>
            <w:r>
              <w:rPr>
                <w:sz w:val="18"/>
                <w:szCs w:val="18"/>
              </w:rPr>
              <w:t xml:space="preserve"> aplicada a algo no humano (</w:t>
            </w:r>
            <w:r>
              <w:rPr>
                <w:i/>
                <w:iCs/>
                <w:sz w:val="18"/>
                <w:szCs w:val="18"/>
              </w:rPr>
              <w:t xml:space="preserve">puta serie</w:t>
            </w:r>
            <w:r>
              <w:rPr>
                <w:sz w:val="18"/>
                <w:szCs w:val="18"/>
              </w:rPr>
              <w:t xml:space="preserve">, </w:t>
            </w:r>
            <w:r>
              <w:rPr>
                <w:i/>
                <w:iCs/>
                <w:sz w:val="18"/>
                <w:szCs w:val="18"/>
              </w:rPr>
              <w:t xml:space="preserve">ni puta idea</w:t>
            </w:r>
            <w:r>
              <w:rPr>
                <w:sz w:val="18"/>
                <w:szCs w:val="18"/>
              </w:rPr>
              <w:t xml:space="preserve">; 0,14, n = 106)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Errores OOF solo del 80 % de desarrollo</w:t>
            </w:r>
          </w:p>
        </w:tc>
      </w:tr>
    </w:tbl>
    <w:p>
      <w:pPr>
        <w:spacing w:after="160" w:before="60"/>
      </w:pPr>
      <w:r>
        <w:rPr>
          <w:i/>
          <w:iCs/>
          <w:sz w:val="18"/>
          <w:szCs w:val="18"/>
        </w:rPr>
        <w:t xml:space="preserve">Tabla 3. Variables lingüísticas. La versión genérica de H12-H17 quita las palabras copiadas de tweets concretos, para reducir el sesgo de selección.</w:t>
      </w:r>
    </w:p>
    <w:p>
      <w:pPr>
        <w:pStyle w:val="Heading2"/>
      </w:pPr>
      <w:r>
        <w:t xml:space="preserve">4.3 Nivel 2: stacking con seed bagging</w:t>
      </w:r>
    </w:p>
    <w:p>
      <w:pPr>
        <w:spacing w:after="120"/>
        <w:jc w:val="both"/>
      </w:pPr>
      <w:r>
        <w:t xml:space="preserve">Cada modelo base se entrena con </w:t>
      </w:r>
      <w:r>
        <w:rPr>
          <w:b/>
          <w:bCs/>
        </w:rPr>
        <w:t xml:space="preserve">5 semillas de partición</w:t>
      </w:r>
      <w:r>
        <w:t xml:space="preserve"> (42-46) y se promedian sus probabilidades OOF (</w:t>
      </w:r>
      <w:r>
        <w:rPr>
          <w:i/>
          <w:iCs/>
        </w:rPr>
        <w:t xml:space="preserve">seed bagging</w:t>
      </w:r>
      <w:r>
        <w:t xml:space="preserve">). Un metamodelo de regresión logística por etiqueta (C = 1, </w:t>
      </w:r>
      <w:r>
        <w:rPr>
          <w:rFonts w:ascii="Consolas" w:cs="Consolas" w:eastAsia="Consolas" w:hAnsi="Consolas"/>
        </w:rPr>
        <w:t xml:space="preserve">class_weight='balanced'</w:t>
      </w:r>
      <w:r>
        <w:t xml:space="preserve">) combina las 21 probabilidades (7 modelos × 3 etiquetas). En el test, cada base aporta el promedio de sus 25 modelos de partición, entrenados con 4/5 del train, que es la misma cantidad de datos que vio en la validación.</w:t>
      </w:r>
    </w:p>
    <w:p>
      <w:pPr>
        <w:spacing w:after="120"/>
        <w:jc w:val="both"/>
      </w:pPr>
      <w:r>
        <w:t xml:space="preserve">Se binariza con umbral 0,5 y se aplican dos reglas deterministas: TR = 0 si HS = 0, y </w:t>
      </w:r>
      <w:r>
        <w:rPr>
          <w:rFonts w:ascii="Consolas" w:cs="Consolas" w:eastAsia="Consolas" w:hAnsi="Consolas"/>
        </w:rPr>
        <w:t xml:space="preserve">000</w:t>
      </w:r>
      <w:r>
        <w:t xml:space="preserve"> en las filas </w:t>
      </w:r>
      <w:r>
        <w:rPr>
          <w:rFonts w:ascii="Consolas" w:cs="Consolas" w:eastAsia="Consolas" w:hAnsi="Consolas"/>
        </w:rPr>
        <w:t xml:space="preserve">#¿NOMBRE?</w:t>
      </w:r>
      <w:r>
        <w:t xml:space="preserve">. Se entregan dos variantes: </w:t>
      </w:r>
      <w:r>
        <w:rPr>
          <w:b/>
          <w:bCs/>
        </w:rPr>
        <w:t xml:space="preserve">E11c</w:t>
      </w:r>
      <w:r>
        <w:t xml:space="preserve"> (sin H12-H23) y </w:t>
      </w:r>
      <w:r>
        <w:rPr>
          <w:b/>
          <w:bCs/>
        </w:rPr>
        <w:t xml:space="preserve">E13a</w:t>
      </w:r>
      <w:r>
        <w:t xml:space="preserve"> (con H12-H17 genérica y H19-H23).</w:t>
      </w:r>
    </w:p>
    <w:p>
      <w:pPr>
        <w:pStyle w:val="Heading1"/>
      </w:pPr>
      <w:r>
        <w:t xml:space="preserve">5. Experimentos y estrategia de selección</w:t>
      </w:r>
    </w:p>
    <w:p>
      <w:pPr>
        <w:spacing w:after="120"/>
        <w:jc w:val="both"/>
      </w:pPr>
      <w:r>
        <w:t xml:space="preserve">Se hicieron 14 rondas de experimentos (E0-E13), cada una en su propio notebook o script. </w:t>
      </w:r>
      <w:r>
        <w:rPr>
          <w:b/>
          <w:bCs/>
        </w:rPr>
        <w:t xml:space="preserve">Criterio de adopción</w:t>
      </w:r>
      <w:r>
        <w:t xml:space="preserve">: un cambio se adopta si sube el F1 medio de la CV repetida en al menos 0,003 y mejora en 2 de las 3 semillas. </w:t>
      </w:r>
      <w:r>
        <w:rPr>
          <w:b/>
          <w:bCs/>
        </w:rPr>
        <w:t xml:space="preserve">No se decide con el leaderboard público</w:t>
      </w:r>
      <w:r>
        <w:t xml:space="preserve">: con unas 577 filas, su ruido de muestreo ronda ±2,5 puntos, más que cualquier diferencia entre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2300"/>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Exp.</w:t>
            </w:r>
          </w:p>
        </w:tc>
        <w:tc>
          <w:tcPr>
            <w:tcW w:type="dxa" w:w="4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Qué se probó</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F1 medio (CV)</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Decisión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E0</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Reproducción del stacking original de 5 modelos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0,8126 ± 0,0021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Referencia</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Umbrales por etiqueta con CV anidada</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0,8106-0,8120</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Inestables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E2</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Reglas posteriores (comillas, duplicados, </w:t>
            </w:r>
            <w:r>
              <w:rPr>
                <w:rFonts w:ascii="Consolas" w:cs="Consolas" w:eastAsia="Consolas" w:hAnsi="Consolas"/>
                <w:sz w:val="18"/>
                <w:szCs w:val="18"/>
              </w:rPr>
              <w:t xml:space="preserve">#¿NOMBRE?</w:t>
            </w:r>
            <w:r>
              <w:rPr>
                <w:sz w:val="18"/>
                <w:szCs w:val="18"/>
              </w:rPr>
              <w:t xml:space="preserve">)</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0,8126</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Sin cambio</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E3</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Más bases lineales (</w:t>
            </w:r>
            <w:r>
              <w:rPr>
                <w:rFonts w:ascii="Consolas" w:cs="Consolas" w:eastAsia="Consolas" w:hAnsi="Consolas"/>
                <w:sz w:val="18"/>
                <w:szCs w:val="18"/>
              </w:rPr>
              <w:t xml:space="preserve">char</w:t>
            </w:r>
            <w:r>
              <w:rPr>
                <w:sz w:val="18"/>
                <w:szCs w:val="18"/>
              </w:rPr>
              <w:t xml:space="preserve"> 2-6, cadena de clasificadores)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0,8110-0,8130</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Saturado</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E4</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Word2Vec entrenado desde cero</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0,8114</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E5</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Léxico HurtLex</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0,8088</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Empeora</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E6</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i/>
                <w:iCs/>
                <w:sz w:val="18"/>
                <w:szCs w:val="18"/>
              </w:rPr>
              <w:t xml:space="preserve">Seed bagging</w:t>
            </w:r>
            <w:r>
              <w:rPr>
                <w:sz w:val="18"/>
                <w:szCs w:val="18"/>
              </w:rPr>
              <w:t xml:space="preserve"> de 5 semillas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0,8150 ± 0,0007</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E7</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Ajuste de </w:t>
            </w:r>
            <w:r>
              <w:rPr>
                <w:rFonts w:ascii="Consolas" w:cs="Consolas" w:eastAsia="Consolas" w:hAnsi="Consolas"/>
                <w:sz w:val="18"/>
                <w:szCs w:val="18"/>
              </w:rPr>
              <w:t xml:space="preserve">C</w:t>
            </w:r>
            <w:r>
              <w:rPr>
                <w:sz w:val="18"/>
                <w:szCs w:val="18"/>
              </w:rPr>
              <w:t xml:space="preserve"> por etiqueta y </w:t>
            </w:r>
            <w:r>
              <w:rPr>
                <w:rFonts w:ascii="Consolas" w:cs="Consolas" w:eastAsia="Consolas" w:hAnsi="Consolas"/>
                <w:sz w:val="18"/>
                <w:szCs w:val="18"/>
              </w:rPr>
              <w:t xml:space="preserve">min_df</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+0,0015</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Plano</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E8-E9</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LightGBM; variantes de bagging y del metamodelo</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0,8164-0,8184</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LightGBM</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E10a</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Redes neuronales desde cero (BiGRU, CNN de caracteres)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0,8175</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E10b</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Variables H12-H17 (análisis de errores)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0,8299 (genérica 0,8234)</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con sesgo</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E10c</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Otras formulaciones: LGBM-PS, ExtraTrees, kNN, jerárquica</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0,8204 con LGBM-PS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LGBM-PS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E10d</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Modelos de lenguaje Kneser-Ney por clase</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0,8162-0,8189</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E11</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Combinación: variables + LGBM-PS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0,8204-0,8300</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E11a/b/c</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E12</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Promedios de stacks y bases extra</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+0,0017</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Meseta</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E13</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Variables H19-H23 con conjunto de control</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0,8284 (control 0,8217)</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 E13a</w:t>
            </w:r>
          </w:p>
        </w:tc>
      </w:tr>
    </w:tbl>
    <w:p>
      <w:pPr>
        <w:spacing w:after="160" w:before="60"/>
      </w:pPr>
      <w:r>
        <w:rPr>
          <w:i/>
          <w:iCs/>
          <w:sz w:val="18"/>
          <w:szCs w:val="18"/>
        </w:rPr>
        <w:t xml:space="preserve">Tabla 4. Resumen de experimentos. El detalle de cada uno está en INFORME_EXPERIMENTOS.md y en su notebook.</w:t>
      </w:r>
    </w:p>
    <w:p>
      <w:pPr>
        <w:pStyle w:val="Heading1"/>
      </w:pPr>
      <w:r>
        <w:t xml:space="preserve">6. Resultados</w:t>
      </w:r>
    </w:p>
    <w:p>
      <w:pPr>
        <w:pStyle w:val="Heading2"/>
      </w:pPr>
      <w:r>
        <w:t xml:space="preserve">6.1 Validación cruzada por etiqueta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1200"/>
        <w:gridCol w:w="1200"/>
        <w:gridCol w:w="2200"/>
      </w:tblGrid>
      <w:tr>
        <w:trPr>
          <w:tblHeader/>
        </w:trPr>
        <w:tc>
          <w:tcPr>
            <w:tcW w:type="dxa" w:w="3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Configuración</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F1 HS</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F1 TR</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F1 AG</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F1 medio</w:t>
            </w:r>
          </w:p>
        </w:tc>
      </w:tr>
      <w:tr>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Ensamble LR + Powerset (original v1)</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0,7975</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0,8299</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0,7921</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0,8065 ± 0,0015</w:t>
            </w:r>
          </w:p>
        </w:tc>
      </w:tr>
      <w:tr>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E0 · stacking de 5 modelos (original)</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0,8038</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0,8345</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0,7994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0,8126 ± 0,0021</w:t>
            </w:r>
          </w:p>
        </w:tc>
      </w:tr>
      <w:tr>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E6 · + seed bagging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0,8092</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0,8368</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0,7988</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0,8150 ± 0,0007</w:t>
            </w:r>
          </w:p>
        </w:tc>
      </w:tr>
      <w:tr>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E8b · + LightGBM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0,8071</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0,8405</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0,8062</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0,8179 ± 0,0012</w:t>
            </w:r>
          </w:p>
        </w:tc>
      </w:tr>
      <w:tr>
        <w:tc>
          <w:tcPr>
            <w:tcW w:type="dxa" w:w="35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left"/>
            </w:pPr>
            <w:r>
              <w:rPr>
                <w:b/>
                <w:bCs/>
                <w:sz w:val="18"/>
                <w:szCs w:val="18"/>
              </w:rPr>
              <w:t xml:space="preserve">E11c</w:t>
            </w:r>
            <w:r>
              <w:rPr>
                <w:sz w:val="18"/>
                <w:szCs w:val="18"/>
              </w:rPr>
              <w:t xml:space="preserve"> · + LGBM-PS</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center"/>
            </w:pPr>
            <w:r>
              <w:rPr>
                <w:sz w:val="18"/>
                <w:szCs w:val="18"/>
              </w:rPr>
              <w:t xml:space="preserve">0,8123</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center"/>
            </w:pPr>
            <w:r>
              <w:rPr>
                <w:sz w:val="18"/>
                <w:szCs w:val="18"/>
              </w:rPr>
              <w:t xml:space="preserve">0,8400</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center"/>
            </w:pPr>
            <w:r>
              <w:rPr>
                <w:sz w:val="18"/>
                <w:szCs w:val="18"/>
              </w:rPr>
              <w:t xml:space="preserve">0,8088</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center"/>
            </w:pPr>
            <w:r>
              <w:rPr>
                <w:sz w:val="18"/>
                <w:szCs w:val="18"/>
              </w:rPr>
              <w:t xml:space="preserve">0,8204 ± 0,0004</w:t>
            </w:r>
          </w:p>
        </w:tc>
      </w:tr>
      <w:tr>
        <w:tc>
          <w:tcPr>
            <w:tcW w:type="dxa" w:w="3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E11b · + H12-H17 genérica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0,8174</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0,8453</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0,8105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0,8244 ± 0,0015</w:t>
            </w:r>
          </w:p>
        </w:tc>
      </w:tr>
      <w:tr>
        <w:tc>
          <w:tcPr>
            <w:tcW w:type="dxa" w:w="35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left"/>
            </w:pPr>
            <w:r>
              <w:rPr>
                <w:b/>
                <w:bCs/>
                <w:sz w:val="18"/>
                <w:szCs w:val="18"/>
              </w:rPr>
              <w:t xml:space="preserve">E13a</w:t>
            </w:r>
            <w:r>
              <w:rPr>
                <w:sz w:val="18"/>
                <w:szCs w:val="18"/>
              </w:rPr>
              <w:t xml:space="preserve"> · + H19-H23</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center"/>
            </w:pPr>
            <w:r>
              <w:rPr>
                <w:b/>
                <w:bCs/>
                <w:sz w:val="18"/>
                <w:szCs w:val="18"/>
              </w:rPr>
              <w:t xml:space="preserve">0,8249</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center"/>
            </w:pPr>
            <w:r>
              <w:rPr>
                <w:b/>
                <w:bCs/>
                <w:sz w:val="18"/>
                <w:szCs w:val="18"/>
              </w:rPr>
              <w:t xml:space="preserve">0,8486</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center"/>
            </w:pPr>
            <w:r>
              <w:rPr>
                <w:b/>
                <w:bCs/>
                <w:sz w:val="18"/>
                <w:szCs w:val="18"/>
              </w:rPr>
              <w:t xml:space="preserve">0,8117</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jc w:val="center"/>
            </w:pPr>
            <w:r>
              <w:rPr>
                <w:b/>
                <w:bCs/>
                <w:sz w:val="18"/>
                <w:szCs w:val="18"/>
              </w:rPr>
              <w:t xml:space="preserve">0,8284 ± 0,0022</w:t>
            </w:r>
          </w:p>
        </w:tc>
      </w:tr>
    </w:tbl>
    <w:p>
      <w:pPr>
        <w:spacing w:after="160" w:before="60"/>
      </w:pPr>
      <w:r>
        <w:rPr>
          <w:i/>
          <w:iCs/>
          <w:sz w:val="18"/>
          <w:szCs w:val="18"/>
        </w:rPr>
        <w:t xml:space="preserve">Tabla 5. F1 de la clase positiva por etiqueta, media de 3 semillas de CV. ± = desviación entre semillas.</w:t>
      </w:r>
    </w:p>
    <w:p>
      <w:pPr>
        <w:pStyle w:val="Heading2"/>
      </w:pPr>
      <w:r>
        <w:t xml:space="preserve">6.2 Validación en el conjunto de control</w:t>
      </w:r>
    </w:p>
    <w:p>
      <w:pPr>
        <w:spacing w:after="120"/>
        <w:jc w:val="both"/>
      </w:pPr>
      <w:r>
        <w:t xml:space="preserve">Las variables H19-H23 se diseñaron leyendo solo los errores del 80 % de desarrollo. En el 20 % de control, que nadie miró, E13a supera a E11b por </w:t>
      </w:r>
      <w:r>
        <w:rPr>
          <w:b/>
          <w:bCs/>
        </w:rPr>
        <w:t xml:space="preserve">+0,0051</w:t>
      </w:r>
      <w:r>
        <w:t xml:space="preserve"> y lo hace en las 3 semillas. La mejora en desarrollo (+0,0037) no es mayor que en el control, así que no hay señal de sesgo de selección en esas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Configuración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CV completa</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Desarrollo (80 %)</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Control (20 %)</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E11c</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0,8204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0,8213</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0,8170</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E11b</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0,8244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0,8264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0,8166</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E13a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bCs/>
                <w:sz w:val="18"/>
                <w:szCs w:val="18"/>
              </w:rPr>
              <w:t xml:space="preserve">0,8284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bCs/>
                <w:sz w:val="18"/>
                <w:szCs w:val="18"/>
              </w:rPr>
              <w:t xml:space="preserve">0,8301</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bCs/>
                <w:sz w:val="18"/>
                <w:szCs w:val="18"/>
              </w:rPr>
              <w:t xml:space="preserve">0,8217</w:t>
            </w:r>
          </w:p>
        </w:tc>
      </w:tr>
    </w:tbl>
    <w:p>
      <w:pPr>
        <w:spacing w:after="160" w:before="60"/>
      </w:pPr>
      <w:r>
        <w:rPr>
          <w:i/>
          <w:iCs/>
          <w:sz w:val="18"/>
          <w:szCs w:val="18"/>
        </w:rPr>
        <w:t xml:space="preserve">Tabla 6. F1 medio en la CV completa, en desarrollo y en el control. El control tiene 347 tweets, con un ruido aproximado de ±0,5 puntos.</w:t>
      </w:r>
    </w:p>
    <w:p>
      <w:pPr>
        <w:pStyle w:val="Heading2"/>
      </w:pPr>
      <w:r>
        <w:t xml:space="preserve">6.3 Leaderboard público de Kaggle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Submission</w:t>
            </w:r>
          </w:p>
        </w:tc>
        <w:tc>
          <w:tcPr>
            <w:tcW w:type="dxa" w:w="2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CV</w:t>
            </w:r>
          </w:p>
        </w:tc>
        <w:tc>
          <w:tcPr>
            <w:tcW w:type="dxa" w:w="2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Público</w:t>
            </w:r>
          </w:p>
        </w:tc>
      </w:tr>
      <w:tr>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Stacking original</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0,8126</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0,79160</w:t>
            </w:r>
          </w:p>
        </w:tc>
      </w:tr>
      <w:tr>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E8b · bagging + LightGBM</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0,8179</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0,80168</w:t>
            </w:r>
          </w:p>
        </w:tc>
      </w:tr>
      <w:tr>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b/>
                <w:bCs/>
                <w:sz w:val="18"/>
                <w:szCs w:val="18"/>
              </w:rPr>
              <w:t xml:space="preserve">E11c</w:t>
            </w:r>
            <w:r>
              <w:rPr>
                <w:sz w:val="18"/>
                <w:szCs w:val="18"/>
              </w:rPr>
              <w:t xml:space="preserve"> · + LGBM-PS</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0,8204</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bCs/>
                <w:sz w:val="18"/>
                <w:szCs w:val="18"/>
              </w:rPr>
              <w:t xml:space="preserve">0,80206</w:t>
            </w:r>
          </w:p>
        </w:tc>
      </w:tr>
      <w:tr>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E11b · + H12-H17 genérica</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0,8244</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0,79895</w:t>
            </w:r>
          </w:p>
        </w:tc>
      </w:tr>
      <w:tr>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E11a · + H12-H17 completa</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0,8300</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0,79644</w:t>
            </w:r>
          </w:p>
        </w:tc>
      </w:tr>
      <w:tr>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b/>
                <w:bCs/>
                <w:sz w:val="18"/>
                <w:szCs w:val="18"/>
              </w:rPr>
              <w:t xml:space="preserve">E13a</w:t>
            </w:r>
            <w:r>
              <w:rPr>
                <w:sz w:val="18"/>
                <w:szCs w:val="18"/>
              </w:rPr>
              <w:t xml:space="preserve"> · + H19-H23</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bCs/>
                <w:sz w:val="18"/>
                <w:szCs w:val="18"/>
              </w:rPr>
              <w:t xml:space="preserve">0,8284</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0,79597</w:t>
            </w:r>
          </w:p>
        </w:tc>
      </w:tr>
    </w:tbl>
    <w:p>
      <w:pPr>
        <w:spacing w:after="160" w:before="60"/>
      </w:pPr>
      <w:r>
        <w:rPr>
          <w:i/>
          <w:iCs/>
          <w:sz w:val="18"/>
          <w:szCs w:val="18"/>
        </w:rPr>
        <w:t xml:space="preserve">Tabla 7. Resultados en el leaderboard público (aprox. 50 % del test). El puesto final depende del privado (el otro 50 %).</w:t>
      </w:r>
    </w:p>
    <w:p>
      <w:pPr>
        <w:pStyle w:val="Heading1"/>
      </w:pPr>
      <w:r>
        <w:t xml:space="preserve">7. Discusión</w:t>
      </w:r>
    </w:p>
    <w:p>
      <w:pPr>
        <w:pStyle w:val="ListParagraph"/>
        <w:numPr>
          <w:ilvl w:val="0"/>
          <w:numId w:val="2"/>
        </w:numPr>
        <w:spacing w:after="60"/>
      </w:pPr>
      <w:r>
        <w:rPr>
          <w:b/>
          <w:bCs/>
        </w:rPr>
        <w:t xml:space="preserve">Lo que funcionó.</w:t>
      </w:r>
      <w:r>
        <w:t xml:space="preserve"> Las variables lingüísticas de contexto son lo que más mueve el F1 (+2,2 puntos en el original, +0,8 con H12-H23). Después vienen las técnicas que reducen la varianza con pocos datos: el </w:t>
      </w:r>
      <w:r>
        <w:rPr>
          <w:i/>
          <w:iCs/>
        </w:rPr>
        <w:t xml:space="preserve">seed bagging</w:t>
      </w:r>
      <w:r>
        <w:t xml:space="preserve"> y dos modelos de árboles que aportan errores distintos (LightGBM y LGBM-PS).</w:t>
      </w:r>
    </w:p>
    <w:p>
      <w:pPr>
        <w:pStyle w:val="ListParagraph"/>
        <w:numPr>
          <w:ilvl w:val="0"/>
          <w:numId w:val="2"/>
        </w:numPr>
        <w:spacing w:after="60"/>
      </w:pPr>
      <w:r>
        <w:rPr>
          <w:b/>
          <w:bCs/>
        </w:rPr>
        <w:t xml:space="preserve">Lo que no funcionó.</w:t>
      </w:r>
      <w:r>
        <w:t xml:space="preserve"> Ajustar umbrales, reglas posteriores, hiperparámetros, más modelos lineales sobre los mismos n-gramas, Word2Vec y redes neuronales entrenadas desde cero, y modelos de lenguaje por clase. Con 1.731 tweets no hay datos suficientes para aprender representaciones densas útiles. HurtLex empeora el resultado porque el corpus se muestreó con esas mismas palabras ofensivas, así que no discriminan.</w:t>
      </w:r>
    </w:p>
    <w:p>
      <w:pPr>
        <w:pStyle w:val="ListParagraph"/>
        <w:numPr>
          <w:ilvl w:val="0"/>
          <w:numId w:val="2"/>
        </w:numPr>
        <w:spacing w:after="60"/>
      </w:pPr>
      <w:r>
        <w:rPr>
          <w:b/>
          <w:bCs/>
        </w:rPr>
        <w:t xml:space="preserve">CV frente al público.</w:t>
      </w:r>
      <w:r>
        <w:t xml:space="preserve"> En el público, las variantes con más variables de contexto quedaron por debajo de E11c, aunque tienen mejor CV. Hay dos lecturas: ruido, porque las submissions difieren en solo 26-56 filas (unos 2 o 3 tweets en el público), o un cambio de distribución hacia el test, que los organizadores de HatEval 2019 reportaron para todos los sistemas. Por eso se marcaron como finales </w:t>
      </w:r>
      <w:r>
        <w:rPr>
          <w:b/>
          <w:bCs/>
        </w:rPr>
        <w:t xml:space="preserve">E11c y E13a</w:t>
      </w:r>
      <w:r>
        <w:t xml:space="preserve">: Kaggle toma la mejor de las marcadas en el privado, y estas dos cubren ambas hipótesis.</w:t>
      </w:r>
    </w:p>
    <w:p>
      <w:pPr>
        <w:pStyle w:val="Heading1"/>
      </w:pPr>
      <w:r>
        <w:t xml:space="preserve">8. Análisis de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Etiqueta</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Precision</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Recall</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F1</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VP</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FP</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center"/>
            </w:pPr>
            <w:r>
              <w:rPr>
                <w:b/>
                <w:bCs/>
                <w:sz w:val="18"/>
                <w:szCs w:val="18"/>
              </w:rPr>
              <w:t xml:space="preserve">FN</w:t>
            </w:r>
          </w:p>
        </w:tc>
      </w:tr>
      <w:tr>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HS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0,825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626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136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130</w:t>
            </w:r>
          </w:p>
        </w:tc>
      </w:tr>
      <w:tr>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TR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0,833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0,867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0,850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450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90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69</w:t>
            </w:r>
          </w:p>
        </w:tc>
      </w:tr>
      <w:tr>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AG</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0,794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0,834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0,814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552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143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8"/>
                <w:szCs w:val="18"/>
              </w:rPr>
              <w:t xml:space="preserve">110</w:t>
            </w:r>
          </w:p>
        </w:tc>
      </w:tr>
    </w:tbl>
    <w:p>
      <w:pPr>
        <w:spacing w:after="160" w:before="60"/>
      </w:pPr>
      <w:r>
        <w:rPr>
          <w:i/>
          <w:iCs/>
          <w:sz w:val="18"/>
          <w:szCs w:val="18"/>
        </w:rPr>
        <w:t xml:space="preserve">Tabla 8. Errores OOF de E13a por etiqueta (promedio de las 3 semillas de CV).</w:t>
      </w:r>
    </w:p>
    <w:p>
      <w:pPr>
        <w:spacing w:after="120"/>
        <w:jc w:val="both"/>
      </w:pPr>
      <w:r>
        <w:t xml:space="preserve">Los errores más frecuentes en la combinación HS-TR-AG son </w:t>
      </w:r>
      <w:r>
        <w:rPr>
          <w:b/>
          <w:bCs/>
        </w:rPr>
        <w:t xml:space="preserve">000 → 111</w:t>
      </w:r>
      <w:r>
        <w:t xml:space="preserve"> (78 tweets), </w:t>
      </w:r>
      <w:r>
        <w:rPr>
          <w:b/>
          <w:bCs/>
        </w:rPr>
        <w:t xml:space="preserve">111 → 000</w:t>
      </w:r>
      <w:r>
        <w:t xml:space="preserve"> (44) y </w:t>
      </w:r>
      <w:r>
        <w:rPr>
          <w:b/>
          <w:bCs/>
        </w:rPr>
        <w:t xml:space="preserve">101 → 000</w:t>
      </w:r>
      <w:r>
        <w:t xml:space="preserve"> (38). Corresponden a tres patrones:</w:t>
      </w:r>
    </w:p>
    <w:p>
      <w:pPr>
        <w:pStyle w:val="ListParagraph"/>
        <w:numPr>
          <w:ilvl w:val="0"/>
          <w:numId w:val="3"/>
        </w:numPr>
        <w:spacing w:after="60"/>
      </w:pPr>
      <w:r>
        <w:rPr>
          <w:b/>
          <w:bCs/>
        </w:rPr>
        <w:t xml:space="preserve">Insulto femenino sin odio</w:t>
      </w:r>
      <w:r>
        <w:t xml:space="preserve"> (falsos 111). El blanco es un animal (</w:t>
      </w:r>
      <w:r>
        <w:rPr>
          <w:i/>
          <w:iCs/>
        </w:rPr>
        <w:t xml:space="preserve">cállate que asustas a la perra</w:t>
      </w:r>
      <w:r>
        <w:t xml:space="preserve">), una cosa (</w:t>
      </w:r>
      <w:r>
        <w:rPr>
          <w:i/>
          <w:iCs/>
        </w:rPr>
        <w:t xml:space="preserve">retoma la puta serie</w:t>
      </w:r>
      <w:r>
        <w:t xml:space="preserve">), una amiga en tono de broma, o el tweet cita o critica el insulto (</w:t>
      </w:r>
      <w:r>
        <w:rPr>
          <w:i/>
          <w:iCs/>
        </w:rPr>
        <w:t xml:space="preserve">¿que las mujeres son perras? no...</w:t>
      </w:r>
      <w:r>
        <w:t xml:space="preserve">). Las fórmulas </w:t>
      </w:r>
      <w:r>
        <w:rPr>
          <w:i/>
          <w:iCs/>
        </w:rPr>
        <w:t xml:space="preserve">tú eres</w:t>
      </w:r>
      <w:r>
        <w:t xml:space="preserve"> + insulto dominan la predicción.</w:t>
      </w:r>
    </w:p>
    <w:p>
      <w:pPr>
        <w:pStyle w:val="ListParagraph"/>
        <w:numPr>
          <w:ilvl w:val="0"/>
          <w:numId w:val="3"/>
        </w:numPr>
        <w:spacing w:after="60"/>
      </w:pPr>
      <w:r>
        <w:rPr>
          <w:b/>
          <w:bCs/>
        </w:rPr>
        <w:t xml:space="preserve">Odio xenófobo implícito</w:t>
      </w:r>
      <w:r>
        <w:t xml:space="preserve"> (falsos 000). Estereotipos sin insultos: </w:t>
      </w:r>
      <w:r>
        <w:rPr>
          <w:i/>
          <w:iCs/>
        </w:rPr>
        <w:t xml:space="preserve">me da miedo cuando me sigue un árabe</w:t>
      </w:r>
      <w:r>
        <w:t xml:space="preserve">, </w:t>
      </w:r>
      <w:r>
        <w:rPr>
          <w:i/>
          <w:iCs/>
        </w:rPr>
        <w:t xml:space="preserve">como siempre las subvenciones serán para inmigrantes</w:t>
      </w:r>
      <w:r>
        <w:t xml:space="preserve">. Comparten vocabulario con titulares de prensa anotados como 000.</w:t>
      </w:r>
    </w:p>
    <w:p>
      <w:pPr>
        <w:pStyle w:val="ListParagraph"/>
        <w:numPr>
          <w:ilvl w:val="0"/>
          <w:numId w:val="3"/>
        </w:numPr>
        <w:spacing w:after="60"/>
      </w:pPr>
      <w:r>
        <w:rPr>
          <w:b/>
          <w:bCs/>
        </w:rPr>
        <w:t xml:space="preserve">Insultos en construcciones poco frecuentes y acoso sexual</w:t>
      </w:r>
      <w:r>
        <w:t xml:space="preserve"> (falsos 000). Se probó una variable de contenido sexual explícito, pero se descartó: en desarrollo la mayoría de esos tweets no es odio (P(HS) entre 0,20 y 0,41).</w:t>
      </w:r>
    </w:p>
    <w:p>
      <w:pPr>
        <w:pStyle w:val="Heading2"/>
      </w:pPr>
      <w:r>
        <w:t xml:space="preserve">8.1 Limitaciones</w:t>
      </w:r>
    </w:p>
    <w:p>
      <w:pPr>
        <w:pStyle w:val="ListParagraph"/>
        <w:numPr>
          <w:ilvl w:val="0"/>
          <w:numId w:val="2"/>
        </w:numPr>
        <w:spacing w:after="60"/>
      </w:pPr>
      <w:r>
        <w:rPr>
          <w:b/>
          <w:bCs/>
        </w:rPr>
        <w:t xml:space="preserve">Ruido de anotación</w:t>
      </w:r>
      <w:r>
        <w:t xml:space="preserve">: construcciones casi idénticas (</w:t>
      </w:r>
      <w:r>
        <w:rPr>
          <w:i/>
          <w:iCs/>
        </w:rPr>
        <w:t xml:space="preserve">cállate perra</w:t>
      </w:r>
      <w:r>
        <w:t xml:space="preserve">) aparecen como 000 y como 110. Eso pone un techo a cualquier modelo basado en palabras.</w:t>
      </w:r>
    </w:p>
    <w:p>
      <w:pPr>
        <w:pStyle w:val="ListParagraph"/>
        <w:numPr>
          <w:ilvl w:val="0"/>
          <w:numId w:val="2"/>
        </w:numPr>
        <w:spacing w:after="60"/>
      </w:pPr>
      <w:r>
        <w:rPr>
          <w:b/>
          <w:bCs/>
        </w:rPr>
        <w:t xml:space="preserve">Sin semántica</w:t>
      </w:r>
      <w:r>
        <w:t xml:space="preserve">: la bolsa de palabras no distingue a quién se refiere el insulto. Las variables de contexto lo aproximan con reglas, pero cada regla cubre pocos casos.</w:t>
      </w:r>
    </w:p>
    <w:p>
      <w:pPr>
        <w:pStyle w:val="ListParagraph"/>
        <w:numPr>
          <w:ilvl w:val="0"/>
          <w:numId w:val="2"/>
        </w:numPr>
        <w:spacing w:after="60"/>
      </w:pPr>
      <w:r>
        <w:rPr>
          <w:b/>
          <w:bCs/>
        </w:rPr>
        <w:t xml:space="preserve">Sesgo de selección</w:t>
      </w:r>
      <w:r>
        <w:t xml:space="preserve">: H12-H17 se escribieron mirando todo el train, así que su CV está inflada (la versión completa da 0,8300 en CV y 0,79644 en el público). Solo H19-H23 tienen una medición limpia.</w:t>
      </w:r>
    </w:p>
    <w:p>
      <w:pPr>
        <w:pStyle w:val="ListParagraph"/>
        <w:numPr>
          <w:ilvl w:val="0"/>
          <w:numId w:val="2"/>
        </w:numPr>
        <w:spacing w:after="60"/>
      </w:pPr>
      <w:r>
        <w:rPr>
          <w:b/>
          <w:bCs/>
        </w:rPr>
        <w:t xml:space="preserve">Pérdida de tildes y ñ</w:t>
      </w:r>
      <w:r>
        <w:t xml:space="preserve"> en los datos, y control pequeño (347 tweets) para validar las variables nuevas.</w:t>
      </w:r>
    </w:p>
    <w:p>
      <w:pPr>
        <w:pStyle w:val="Heading1"/>
      </w:pPr>
      <w:r>
        <w:t xml:space="preserve">9. Conclusiones</w:t>
      </w:r>
    </w:p>
    <w:p>
      <w:pPr>
        <w:spacing w:after="120"/>
        <w:jc w:val="both"/>
      </w:pPr>
      <w:r>
        <w:t xml:space="preserve">La solución final es un stacking de siete modelos clásicos con </w:t>
      </w:r>
      <w:r>
        <w:rPr>
          <w:i/>
          <w:iCs/>
        </w:rPr>
        <w:t xml:space="preserve">seed bagging</w:t>
      </w:r>
      <w:r>
        <w:t xml:space="preserve">, sobre TF-IDF de palabras y caracteres y un bloque de variables lingüísticas escritas por el equipo. Su F1 medio en CV repetida es 0,8204 sin variables nuevas (E11c, mejor público: 0,80206) y 0,8284 con ellas (E13a), frente a 0,8126 del modelo original. Todo se entrenó desde cero, sin recursos preentrenados y sin que el test entrara en ningún ajuste.</w:t>
      </w:r>
    </w:p>
    <w:p>
      <w:pPr>
        <w:spacing w:after="120"/>
        <w:jc w:val="both"/>
      </w:pPr>
      <w:r>
        <w:t xml:space="preserve">La lección principal es que, con 1.731 tweets, </w:t>
      </w:r>
      <w:r>
        <w:rPr>
          <w:b/>
          <w:bCs/>
        </w:rPr>
        <w:t xml:space="preserve">el conocimiento lingüístico explícito rinde más que la complejidad del modelo</w:t>
      </w:r>
      <w:r>
        <w:t xml:space="preserve">. Para que ese conocimiento no infle la evaluación hay que medirlo en datos que no se miraron al escribir las reglas. El conjunto de control de E13 lo hizo posible y es la práctica que recomendamos.</w:t>
      </w:r>
    </w:p>
    <w:p>
      <w:pPr>
        <w:pStyle w:val="Heading1"/>
      </w:pPr>
      <w:r>
        <w:t xml:space="preserve">10. Referencias y licencias</w:t>
      </w:r>
    </w:p>
    <w:p>
      <w:pPr>
        <w:pStyle w:val="ListParagraph"/>
        <w:numPr>
          <w:ilvl w:val="0"/>
          <w:numId w:val="2"/>
        </w:numPr>
        <w:spacing w:after="60"/>
      </w:pPr>
      <w:r>
        <w:t xml:space="preserve">Basile, V., Bosco, C., Fersini, E., Nozza, D., Patti, V., Rangel, F., Rosso, P. y Sanguinetti, M. (2019). SemEval-2019 Task 5: Multilingual Detection of Hate Speech Against Immigrants and Women in Twitter. </w:t>
      </w:r>
      <w:r>
        <w:rPr>
          <w:i/>
          <w:iCs/>
        </w:rPr>
        <w:t xml:space="preserve">Proceedings of SemEval-2019</w:t>
      </w:r>
      <w:r>
        <w:t xml:space="preserve">.</w:t>
      </w:r>
    </w:p>
    <w:p>
      <w:pPr>
        <w:pStyle w:val="ListParagraph"/>
        <w:numPr>
          <w:ilvl w:val="0"/>
          <w:numId w:val="2"/>
        </w:numPr>
        <w:spacing w:after="60"/>
      </w:pPr>
      <w:r>
        <w:t xml:space="preserve">Wang, S. y Manning, C. (2012). Baselines and Bigrams: Simple, Good Sentiment and Topic Classification. </w:t>
      </w:r>
      <w:r>
        <w:rPr>
          <w:i/>
          <w:iCs/>
        </w:rPr>
        <w:t xml:space="preserve">Proceedings of ACL 2012</w:t>
      </w:r>
      <w:r>
        <w:t xml:space="preserve">.</w:t>
      </w:r>
    </w:p>
    <w:p>
      <w:pPr>
        <w:pStyle w:val="ListParagraph"/>
        <w:numPr>
          <w:ilvl w:val="0"/>
          <w:numId w:val="2"/>
        </w:numPr>
        <w:spacing w:after="60"/>
      </w:pPr>
      <w:r>
        <w:t xml:space="preserve">Ke, G. et al. (2017). LightGBM: A Highly Efficient Gradient Boosting Decision Tree. </w:t>
      </w:r>
      <w:r>
        <w:rPr>
          <w:i/>
          <w:iCs/>
        </w:rPr>
        <w:t xml:space="preserve">NeurIPS 2017</w:t>
      </w:r>
      <w:r>
        <w:t xml:space="preserve">. Licencia MIT.</w:t>
      </w:r>
    </w:p>
    <w:p>
      <w:pPr>
        <w:pStyle w:val="ListParagraph"/>
        <w:numPr>
          <w:ilvl w:val="0"/>
          <w:numId w:val="2"/>
        </w:numPr>
        <w:spacing w:after="60"/>
      </w:pPr>
      <w:r>
        <w:t xml:space="preserve">Pedregosa, F. et al. (2011). Scikit-learn: Machine Learning in Python. </w:t>
      </w:r>
      <w:r>
        <w:rPr>
          <w:i/>
          <w:iCs/>
        </w:rPr>
        <w:t xml:space="preserve">JMLR</w:t>
      </w:r>
      <w:r>
        <w:t xml:space="preserve"> 12. Licencia BSD-3.</w:t>
      </w:r>
    </w:p>
    <w:p>
      <w:pPr>
        <w:pStyle w:val="ListParagraph"/>
        <w:numPr>
          <w:ilvl w:val="0"/>
          <w:numId w:val="2"/>
        </w:numPr>
        <w:spacing w:after="60"/>
      </w:pPr>
      <w:r>
        <w:t xml:space="preserve">Bassignana, E., Basile, V. y Patti, V. (2018). Hurtlex: A Multilingual Lexicon of Words to Hurt. </w:t>
      </w:r>
      <w:r>
        <w:rPr>
          <w:i/>
          <w:iCs/>
        </w:rPr>
        <w:t xml:space="preserve">CLiC-it 2018</w:t>
      </w:r>
      <w:r>
        <w:t xml:space="preserve">. Licencia CC BY-NC-SA 4.0 (solo en el experimento E5, no adoptado).</w:t>
      </w:r>
    </w:p>
    <w:p>
      <w:pPr>
        <w:pStyle w:val="ListParagraph"/>
        <w:numPr>
          <w:ilvl w:val="0"/>
          <w:numId w:val="2"/>
        </w:numPr>
        <w:spacing w:after="60"/>
      </w:pPr>
      <w:r>
        <w:t xml:space="preserve">Řehůřek, R. y Sojka, P. (2010). Software Framework for Topic Modelling with Large Corpora (gensim). LGPL-2.1 (solo en E4). PyTorch, licencia BSD (solo en E10a).</w:t>
      </w:r>
    </w:p>
    <w:p>
      <w:pPr>
        <w:pStyle w:val="Heading1"/>
      </w:pPr>
      <w:r>
        <w:t xml:space="preserve">Anexo: archivos para reproducir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Archivo</w:t>
            </w:r>
          </w:p>
        </w:tc>
        <w:tc>
          <w:tcPr>
            <w:tcW w:type="dxa" w:w="51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b/>
                <w:bCs/>
                <w:sz w:val="18"/>
                <w:szCs w:val="18"/>
              </w:rPr>
              <w:t xml:space="preserve">Contenido</w:t>
            </w:r>
          </w:p>
        </w:tc>
      </w:tr>
      <w:t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8"/>
                <w:szCs w:val="18"/>
              </w:rPr>
              <w:t xml:space="preserve">experimentos/TweetToxic_final.ipynb</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Notebook final ejecutable: datos, preprocesamiento, variables, validación, comparación, control, errores y generación de las submissions (verifica que coinciden con lo enviado)</w:t>
            </w:r>
          </w:p>
        </w:tc>
      </w:tr>
      <w:t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8"/>
                <w:szCs w:val="18"/>
              </w:rPr>
              <w:t xml:space="preserve">experimentos/toxic_base.py</w:t>
            </w:r>
            <w:r>
              <w:rPr>
                <w:sz w:val="18"/>
                <w:szCs w:val="18"/>
              </w:rPr>
              <w:t xml:space="preserve">, </w:t>
            </w:r>
            <w:r>
              <w:rPr>
                <w:rFonts w:ascii="Consolas" w:cs="Consolas" w:eastAsia="Consolas" w:hAnsi="Consolas"/>
                <w:sz w:val="18"/>
                <w:szCs w:val="18"/>
              </w:rPr>
              <w:t xml:space="preserve">ext_variables.py</w:t>
            </w:r>
            <w:r>
              <w:rPr>
                <w:sz w:val="18"/>
                <w:szCs w:val="18"/>
              </w:rPr>
              <w:t xml:space="preserve">, </w:t>
            </w:r>
            <w:r>
              <w:rPr>
                <w:rFonts w:ascii="Consolas" w:cs="Consolas" w:eastAsia="Consolas" w:hAnsi="Consolas"/>
                <w:sz w:val="18"/>
                <w:szCs w:val="18"/>
              </w:rPr>
              <w:t xml:space="preserve">ext_variables2.py</w:t>
            </w:r>
            <w:r>
              <w:rPr>
                <w:sz w:val="18"/>
                <w:szCs w:val="18"/>
              </w:rPr>
              <w:t xml:space="preserve">, </w:t>
            </w:r>
            <w:r>
              <w:rPr>
                <w:rFonts w:ascii="Consolas" w:cs="Consolas" w:eastAsia="Consolas" w:hAnsi="Consolas"/>
                <w:sz w:val="18"/>
                <w:szCs w:val="18"/>
              </w:rPr>
              <w:t xml:space="preserve">ext_formulaciones.py</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Pipeline compartido, variables H12-H17 y H19-H23, y modelo LGBM-PS</w:t>
            </w:r>
          </w:p>
        </w:tc>
      </w:tr>
      <w:t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8"/>
                <w:szCs w:val="18"/>
              </w:rPr>
              <w:t xml:space="preserve">experimentos/submissions/toxic_submission_E11c_base_lgbmps.csv</w:t>
            </w:r>
            <w:r>
              <w:rPr>
                <w:sz w:val="18"/>
                <w:szCs w:val="18"/>
              </w:rPr>
              <w:t xml:space="preserve"> y </w:t>
            </w:r>
            <w:r>
              <w:rPr>
                <w:rFonts w:ascii="Consolas" w:cs="Consolas" w:eastAsia="Consolas" w:hAnsi="Consolas"/>
                <w:sz w:val="18"/>
                <w:szCs w:val="18"/>
              </w:rPr>
              <w:t xml:space="preserve">..._E13a_generica_h19_23.csv</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Las dos submissions finales</w:t>
            </w:r>
          </w:p>
        </w:tc>
      </w:tr>
      <w:t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8"/>
                <w:szCs w:val="18"/>
              </w:rPr>
              <w:t xml:space="preserve">experimentos/E0_*.ipynb</w:t>
            </w:r>
            <w:r>
              <w:rPr>
                <w:sz w:val="18"/>
                <w:szCs w:val="18"/>
              </w:rPr>
              <w:t xml:space="preserve"> … </w:t>
            </w:r>
            <w:r>
              <w:rPr>
                <w:rFonts w:ascii="Consolas" w:cs="Consolas" w:eastAsia="Consolas" w:hAnsi="Consolas"/>
                <w:sz w:val="18"/>
                <w:szCs w:val="18"/>
              </w:rPr>
              <w:t xml:space="preserve">E11_*.ipynb</w:t>
            </w:r>
            <w:r>
              <w:rPr>
                <w:sz w:val="18"/>
                <w:szCs w:val="18"/>
              </w:rPr>
              <w:t xml:space="preserve">, </w:t>
            </w:r>
            <w:r>
              <w:rPr>
                <w:rFonts w:ascii="Consolas" w:cs="Consolas" w:eastAsia="Consolas" w:hAnsi="Consolas"/>
                <w:sz w:val="18"/>
                <w:szCs w:val="18"/>
              </w:rPr>
              <w:t xml:space="preserve">scripts/E12_*.py</w:t>
            </w:r>
            <w:r>
              <w:rPr>
                <w:sz w:val="18"/>
                <w:szCs w:val="18"/>
              </w:rPr>
              <w:t xml:space="preserve">, </w:t>
            </w:r>
            <w:r>
              <w:rPr>
                <w:rFonts w:ascii="Consolas" w:cs="Consolas" w:eastAsia="Consolas" w:hAnsi="Consolas"/>
                <w:sz w:val="18"/>
                <w:szCs w:val="18"/>
              </w:rPr>
              <w:t xml:space="preserve">scripts/E13_*.py</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Un notebook o script por experimento</w:t>
            </w:r>
          </w:p>
        </w:tc>
      </w:tr>
      <w:t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8"/>
                <w:szCs w:val="18"/>
              </w:rPr>
              <w:t xml:space="preserve">experimentos/INFORME_EXPERIMENTOS.md</w:t>
            </w:r>
            <w:r>
              <w:rPr>
                <w:sz w:val="18"/>
                <w:szCs w:val="18"/>
              </w:rPr>
              <w:t xml:space="preserve">, </w:t>
            </w:r>
            <w:r>
              <w:rPr>
                <w:rFonts w:ascii="Consolas" w:cs="Consolas" w:eastAsia="Consolas" w:hAnsi="Consolas"/>
                <w:sz w:val="18"/>
                <w:szCs w:val="18"/>
              </w:rPr>
              <w:t xml:space="preserve">RESUMEN.md</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Detalle de todos los intentos y glosario</w:t>
            </w:r>
          </w:p>
        </w:tc>
      </w:tr>
      <w:t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8"/>
                <w:szCs w:val="18"/>
              </w:rPr>
              <w:t xml:space="preserve">requirements.txt</w:t>
            </w:r>
          </w:p>
        </w:tc>
        <w:tc>
          <w:tcPr>
            <w:tcW w:type="dxa" w:w="51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8"/>
                <w:szCs w:val="18"/>
              </w:rPr>
              <w:t xml:space="preserve">Versiones: Python 3.12.3, numpy 2.5.4, pandas 3.0.6, scikit-learn 1.9.1, scipy 1.18.1, lightgbm 4.7.0</w:t>
            </w:r>
          </w:p>
        </w:tc>
      </w:tr>
    </w:tbl>
    <w:p>
      <w:pPr>
        <w:spacing w:after="160" w:before="60"/>
      </w:pPr>
      <w:r>
        <w:rPr>
          <w:i/>
          <w:iCs/>
          <w:sz w:val="18"/>
          <w:szCs w:val="18"/>
        </w:rPr>
        <w:t xml:space="preserve">Semillas: CV 42, 43 y 44; bagging 42 a 46; control 2026. Los datos de Kaggle van en tweet-toxic-2026-puj/.</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TweetToxic 2026 PUJ · NLP_G1 ·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TweetToxic 2026 PUJ - Informe</dc:title>
  <dc:creator>Equipo NLP_G1</dc:creator>
  <cp:lastModifiedBy>Un-named</cp:lastModifiedBy>
  <cp:revision>1</cp:revision>
  <dcterms:created xsi:type="dcterms:W3CDTF">2026-10-19T18:19:08.897Z</dcterms:created>
  <dcterms:modified xsi:type="dcterms:W3CDTF">2026-10-19T18:19:08.897Z</dcterms:modified>
</cp:coreProperties>
</file>

<file path=docProps/custom.xml><?xml version="1.0" encoding="utf-8"?>
<Properties xmlns="http://schemas.openxmlformats.org/officeDocument/2006/custom-properties" xmlns:vt="http://schemas.openxmlformats.org/officeDocument/2006/docPropsVTypes"/>
</file>