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Recuperación de información sobre entrevistas y libros de la Comisión de la Verdad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Taller 3 — Procesamiento de Lenguaje Natural, Pontificia Universidad Javeriana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Abel Albuez Sanchez · Kelly Joane Leon Torres · Juan Camilo Torres Peña · Jesús David Romero Melo</w:t>
      </w:r>
    </w:p>
    <w:p>
      <w:pPr>
        <w:pStyle w:val="Heading1"/>
        <w:spacing w:after="100" w:before="200"/>
      </w:pPr>
      <w:r>
        <w:t xml:space="preserve">1. Objetivo y arquitectura</w:t>
      </w:r>
    </w:p>
    <w:p>
      <w:pPr>
        <w:spacing w:after="100"/>
      </w:pPr>
      <w:r>
        <w:rPr>
          <w:sz w:val="20"/>
          <w:szCs w:val="20"/>
        </w:rPr>
        <w:t xml:space="preserve">El taller pide determinar qué entrevistas de la Comisión para el Esclarecimiento de la Verdad (CEV) están relacionadas con testimonios o secciones de sus diez libros. La arquitectura se deriva directamente de esa pregunta: las entrevistas funcionan como consultas y las unidades segmentadas de los libros como documentos recuperables; el resultado es un vínculo entrevista → libro, evaluado con TF-IDF, Rocchio y Okapi BM25 implementados manualmente.</w:t>
      </w:r>
    </w:p>
    <w:p>
      <w:pPr>
        <w:pStyle w:val="Heading1"/>
        <w:spacing w:after="100" w:before="200"/>
      </w:pPr>
      <w:r>
        <w:t xml:space="preserve">2. Extracción y preparación del corpus</w:t>
      </w:r>
    </w:p>
    <w:p>
      <w:pPr>
        <w:spacing w:after="100"/>
      </w:pPr>
      <w:r>
        <w:rPr>
          <w:sz w:val="20"/>
          <w:szCs w:val="20"/>
        </w:rPr>
        <w:t xml:space="preserve">Los nueve tomos principales se segmentaron por tipografía y geometría (PyMuPDF), separando narrativa de testimonios delimitados por «»; un décimo tomo (Cuando los pájaros no cantaban) llegó ya segmentado y sin marcado de testimonio, por lo que requirió una regla propia basada en la jerarquía título/subtítulo. Cada unidad recibió un identificador estable (libro:&lt;NOMBRE&gt;:&lt;posición&gt;) que viaja hasta el ranking final, y el mismo pipeline de limpieza (minúsculas, tokenización, stopwords, lematización con spaCy es_core_news_md) se aplicó por igual a libros y entrevistas.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Corpus</w:t>
            </w:r>
          </w:p>
        </w:tc>
        <w:tc>
          <w:tcPr>
            <w:tcW w:type="dxa" w:w="18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Documentos</w:t>
            </w:r>
          </w:p>
        </w:tc>
        <w:tc>
          <w:tcPr>
            <w:tcW w:type="dxa" w:w="436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Unidades de libro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56.495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tomos; 7.765 relatos/testimonios; 12.372 notas al pie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Entrevistas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2.486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231 MB, sin fecha ni persona; no versionado en git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unificado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58.981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corpus_raw.json y corpus_preprocesado.json, mismos IDs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Vacíos tras limpieza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377 unidades de libro + 2 entrevistas; se conservan para auditoría, se excluyen del índice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Cuatro problemas de calidad se detectaron revisando las nubes de palabras del análisis exploratorio, no antes: guiones de corte de línea (8.780 ocurrencias reducidas a 13 legítimas), guion suave invisible (2.285 casos), falsos cortes de párrafo a mitad de palabra (1.666 unidades fusionadas) y URLs de notas al pie en el ranking de términos, eliminadas solo en el texto preprocesado para no perder el original.</w:t>
      </w:r>
    </w:p>
    <w:p>
      <w:pPr>
        <w:pStyle w:val="Heading1"/>
        <w:spacing w:after="100" w:before="200"/>
      </w:pPr>
      <w:r>
        <w:t xml:space="preserve">3. Análisis exploratorio</w:t>
      </w:r>
    </w:p>
    <w:p>
      <w:pPr>
        <w:spacing w:after="100"/>
      </w:pPr>
      <w:r>
        <w:rPr>
          <w:sz w:val="20"/>
          <w:szCs w:val="20"/>
        </w:rPr>
        <w:t xml:space="preserve">Ambos corpus cumplen la ley de Zipf sobre el texto crudo (R² ≥ 0,996), con el habla transcrita (α=1,21) concentrando más masa léxica en pocas palabras que el texto editorial (α=0,96). El preprocesamiento aplana la pendiente porque elimina justamente la cabeza de la distribución (stopwords), por lo que ese α no debe leerse como el del lenguaje. La cola es enorme en ambos corpus: 37,5 % y 40,4 % del vocabulario es hapax, lo que justifica exigir min_df≥2 al construir el índice.</w:t>
      </w:r>
    </w:p>
    <w:p>
      <w:pPr>
        <w:spacing w:after="20" w:before="6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 xml:space="preserve">Figura 1. Ley de Zipf sobre el corpus preprocesado: libros vs. entrevistas.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Corpus</w:t>
            </w:r>
          </w:p>
        </w:tc>
        <w:tc>
          <w:tcPr>
            <w:tcW w:type="dxa" w:w="2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Vocabulario</w:t>
            </w:r>
          </w:p>
        </w:tc>
        <w:tc>
          <w:tcPr>
            <w:tcW w:type="dxa" w:w="2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TTR</w:t>
            </w:r>
          </w:p>
        </w:tc>
        <w:tc>
          <w:tcPr>
            <w:tcW w:type="dxa" w:w="216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Long. mediana (tok.)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Libros (preproc.)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35.475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0,0329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Entrevistas (preproc.)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103.416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0,0082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4.134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El vocabulario de los libros está casi contenido en el de las entrevistas (72 % de solapamiento, Jaccard 0,225), lo que favorece la recuperación: casi todo lo que dicen los documentos aparece también en las consultas. Las nubes de palabras revelaron además que un 11,0 % de los tokens de entrevistas y 6,4 % de libros eran ruido de formato (etiquetas de hablante, marcas de transcripción, años sueltos); se excluyó de las figuras de contenido y, finalmente, también del índice de recuperación.</w:t>
      </w:r>
    </w:p>
    <w:p>
      <w:pPr>
        <w:spacing w:after="20" w:before="6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 xml:space="preserve">Figura 2. Términos más frecuentes por corpus (texto preprocesado, sin ruido de formato).</w:t>
      </w:r>
    </w:p>
    <w:p>
      <w:pPr>
        <w:pStyle w:val="Heading1"/>
        <w:spacing w:after="100" w:before="200"/>
      </w:pPr>
      <w:r>
        <w:t xml:space="preserve">4. Modelo de recuperación (TF-IDF)</w:t>
      </w:r>
    </w:p>
    <w:p>
      <w:pPr>
        <w:spacing w:after="100"/>
      </w:pPr>
      <w:r>
        <w:rPr>
          <w:sz w:val="20"/>
          <w:szCs w:val="20"/>
        </w:rPr>
        <w:t xml:space="preserve">El índice se construyó sin sklearn (pesado tf-idf propio con suavizado y normalización L2), excluyendo notas al pie, ruido de formato y términos con df&lt;2 (17.497 de 30.486 términos distintos), y agregando resultados por libro como la suma de las 10 mejores unidades. La primera ejecución, con la entrevista completa como consulta, colapsó: una sola unidad —la más larga del índice, de 1.788 tokens— ganó el top-1 de 2.334 de las 2.484 entrevistas (94 %). El diagnóstico descartó un error de implementación: es el sesgo conocido de la similitud coseno cuando la consulta cubre casi todo el vocabulario (1.128 de 17.497 términos), favoreciendo sistemáticamente al documento más largo.</w:t>
      </w:r>
    </w:p>
    <w:p>
      <w:pPr>
        <w:spacing w:after="100"/>
      </w:pPr>
      <w:r>
        <w:rPr>
          <w:sz w:val="20"/>
          <w:szCs w:val="20"/>
        </w:rPr>
        <w:t xml:space="preserve">Se probaron tres correcciones. La normalización pivotada de Singhal empeoró el problema (diseñada para consultas cortas). La normalización de potencia (α≈1,3) dobló la diversidad del ranking (117→849 unidades distintas en el top-1) pero no resolvió el colapso. La solución efectiva atacó la causa real: segmentar las entrevistas en pasajes de hasta ~150 palabras por turno de habla (descartando las preguntas del entrevistador, que aportan el vocabulario compartido que causaba el colapso), reduciendo la razón de longitud consulta/documento de ~200× a ~4×.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2100"/>
        <w:gridCol w:w="1760"/>
      </w:tblGrid>
      <w:tr>
        <w:tc>
          <w:tcPr>
            <w:tcW w:type="dxa" w:w="34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21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Unidades distintas top-1</w:t>
            </w:r>
          </w:p>
        </w:tc>
        <w:tc>
          <w:tcPr>
            <w:tcW w:type="dxa" w:w="21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Consultas ganadas por 1 unidad</w:t>
            </w:r>
          </w:p>
        </w:tc>
        <w:tc>
          <w:tcPr>
            <w:tcW w:type="dxa" w:w="176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Mediana tokens del ganador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Entrevista completa (coseno)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2.334 (94 %)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1.788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Entrevista completa + potencia α=1,3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849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Pasajes de entrevista (oficial)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dominante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mediana del índice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La validación cualitativa confirma que el modelo recupera coincidencias reales: en pares de puntaje alto (&gt;0,8, el 6,6 % de las entrevistas) el libro cita literalmente el testimonio de la entrevista, y entre 0,4 y 0,6 la relación es temática. El ranking oficial (data/ranking_tfidf.json) usa L2×L2, k=20 y no conserva variante sin normalizar: quitarla cambió 4 o 5 de 5 posiciones del top-5 en la prueba de verificación.</w:t>
      </w:r>
    </w:p>
    <w:p>
      <w:pPr>
        <w:pStyle w:val="Heading1"/>
        <w:spacing w:after="100" w:before="200"/>
      </w:pPr>
      <w:r>
        <w:t xml:space="preserve">5. Rocchio y Okapi BM25 (implementación manual)</w:t>
      </w:r>
    </w:p>
    <w:p>
      <w:pPr>
        <w:spacing w:after="100"/>
      </w:pPr>
      <w:r>
        <w:rPr>
          <w:sz w:val="20"/>
          <w:szCs w:val="20"/>
        </w:rPr>
        <w:t xml:space="preserve">Ninguna métrica usa sklearn ni rank_bm25. Al no existir juicios humanos de relevancia, Rocchio se evaluó como pseudo-relevance feedback: las 5 primeras unidades del ranking TF-IDF oficial como pseudo-relevantes y 5 negativos aleatorios reproducibles (semilla fija), con q' = α·q + β·mean(R) − γ·mean(N) (α=1, β=0,75, γ=0,15). BM25 se implementó sobre conteos crudos de términos —no sobre los vectores L2 del ranking oficial— con k1=1,2, b=0,75 e IDF con suavizado propio.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200"/>
        <w:gridCol w:w="2400"/>
      </w:tblGrid>
      <w:tr>
        <w:tc>
          <w:tcPr>
            <w:tcW w:type="dxa" w:w="376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Unidades distintas en top-1</w:t>
            </w:r>
          </w:p>
        </w:tc>
        <w:tc>
          <w:tcPr>
            <w:tcW w:type="dxa" w:w="24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Intersección top-3 con TF-IDF (10 consultas)</w:t>
            </w:r>
          </w:p>
        </w:tc>
      </w:tr>
      <w:tr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TF-IDF (oficial)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Rocchio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a 3 elementos</w:t>
            </w:r>
          </w:p>
        </w:tc>
      </w:tr>
      <w:tr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BM25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 a 1 elementos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Las diferencias son coherentes con el mecanismo de cada método: Rocchio refuerza el centroide de los primeros resultados de TF-IDF, por lo que se parece más a él; BM25 usa su propio IDF y su propia normalización por longitud de documento, y por eso se aleja más. Esta comparación no mide precisión ni recall —no hay verdad de referencia—, solo el grado de acuerdo entre métricas.</w:t>
      </w:r>
    </w:p>
    <w:p>
      <w:pPr>
        <w:pStyle w:val="Heading1"/>
        <w:spacing w:after="100" w:before="200"/>
      </w:pPr>
      <w:r>
        <w:t xml:space="preserve">6. Comparación de corpus y heatmap</w:t>
      </w:r>
    </w:p>
    <w:p>
      <w:pPr>
        <w:spacing w:after="100"/>
      </w:pPr>
      <w:r>
        <w:rPr>
          <w:sz w:val="20"/>
          <w:szCs w:val="20"/>
        </w:rPr>
        <w:t xml:space="preserve">El cuadro y el heatmap entrevista-libro se construyeron sobre el ranking TF-IDF oficial (no Rocchio ni BM25), por ser la línea base validada del punto 3 y no depender de pseudo-relevancia. El reparto del libro ganador ya no está dominado por un solo tomo: Cuando los pájaros no cantaban (778), Hasta la guerra tiene límites (710), La Colombia fuera de Colombia (214), No matarás (161) y Resistir no es aguantar (155) concentran la mayoría de los vínculos; Convocatoria a la paz grande no gana ninguna entrevista pero permanece en la matriz completa.</w:t>
      </w:r>
    </w:p>
    <w:p>
      <w:pPr>
        <w:spacing w:after="20" w:before="60"/>
        <w:jc w:val="center"/>
      </w:pPr>
      <w:r>
        <w:drawing>
          <wp:inline distT="0" distB="0" distL="0" distR="0">
            <wp:extent cx="6096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5555"/>
          <w:sz w:val="16"/>
          <w:szCs w:val="16"/>
        </w:rPr>
        <w:t xml:space="preserve">Figura 3. Relacionamiento entrevista-libro, puntaje agregado por libro normalizado por fila para visualización (no altera los scores del ranking).</w:t>
      </w:r>
    </w:p>
    <w:p>
      <w:pPr>
        <w:pStyle w:val="Heading1"/>
        <w:spacing w:after="100" w:before="200"/>
      </w:pPr>
      <w:r>
        <w:t xml:space="preserve">7. Limitaciones y conclusiones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 hay juicios humanos de relevancia: la evaluación de Rocchio y BM25 es comparativa entre métricas, no una medición de precisión o recall contra una verdad de referencia.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salto de 188 a 379 documentos vacíos entre ejecuciones no pudo reconstruirse por completo porque los JSON intermedios no estaban versionados; sí se confirmó que 1.809 unidades adicionales provienen de la incorporación del décimo tomo.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clasificación de unidades depende de umbrales tipográficos calibrados para estos diez tomos; un libro con otra diagramación exigiría recalibrar el segmentador.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Las entrevistas no traen fecha, persona ni lugar: toda la recuperación depende exclusivamente del contenido textual.</w:t>
      </w:r>
    </w:p>
    <w:p>
      <w:pPr>
        <w:spacing w:after="100" w:before="80"/>
      </w:pPr>
      <w:r>
        <w:rPr>
          <w:sz w:val="20"/>
          <w:szCs w:val="20"/>
        </w:rPr>
        <w:t xml:space="preserve">El hallazgo metodológico central del taller no fue un ajuste de parámetros sino un diagnóstico: la similitud coseno colapsa cuando la consulta cubre casi todo el vocabulario del índice, y ni la normalización de longitud ni la potencia lo resuelven — solo reducir la consulta al tamaño de un pasaje lo hace. La validación cualitativa (coincidencias con puntaje &gt;0,8 que son citas textuales) confirma que, una vez corregido ese sesgo, el sistema sí recupera relaciones temáticas y textuales reales entre las entrevistas y los libros de la Comisión.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5b110b1d8624dd45e12dbe3cbf548df3c0f54a.png"/><Relationship Id="rId8" Type="http://schemas.openxmlformats.org/officeDocument/2006/relationships/image" Target="media/49c1f37c88f5896cc0508df4d7575faa99a345af.png"/><Relationship Id="rId9" Type="http://schemas.openxmlformats.org/officeDocument/2006/relationships/image" Target="media/586c75e4558c86de4b7a88b5c968d3cb863d2dc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2026-09-12T03:09:23.961Z</dcterms:created>
  <dcterms:modified xsi:type="dcterms:W3CDTF">2026-09-12T03:09:23.970Z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