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Arial" w:hAnsi="Arial"/>
          <w:b/>
          <w:sz w:val="40"/>
        </w:rPr>
        <w:t>BITÁCORA: CONSTRUCCIÓN DE ONTOLOGÍA Y ANÁLISIS SEMÁNTICO CON WORDNET</w:t>
      </w:r>
    </w:p>
    <w:p>
      <w:pPr>
        <w:spacing w:after="360" w:line="276" w:lineRule="auto"/>
        <w:jc w:val="center"/>
      </w:pPr>
      <w:r>
        <w:rPr>
          <w:rFonts w:ascii="Arial" w:hAnsi="Arial"/>
          <w:b/>
          <w:sz w:val="24"/>
        </w:rPr>
        <w:t>PROCESAMIENTO DE LENGUAJE NATURAL - TALLER 2</w:t>
      </w:r>
    </w:p>
    <w:p>
      <w:pPr>
        <w:spacing w:before="240" w:after="120"/>
        <w:jc w:val="left"/>
      </w:pPr>
      <w:r>
        <w:rPr>
          <w:rFonts w:ascii="Arial" w:hAnsi="Arial"/>
          <w:b/>
          <w:sz w:val="28"/>
        </w:rPr>
        <w:t>1. SELECCIÓN DEL DOMINIO: EL CICLO DEL CONFLICTO ARMADO</w:t>
      </w:r>
    </w:p>
    <w:p>
      <w:pPr>
        <w:spacing w:after="160" w:line="276" w:lineRule="auto"/>
        <w:jc w:val="both"/>
      </w:pPr>
      <w:r>
        <w:rPr>
          <w:rFonts w:ascii="Arial" w:hAnsi="Arial"/>
          <w:b w:val="0"/>
          <w:sz w:val="22"/>
        </w:rPr>
        <w:t>El punto de partida fue el Tesauro de la Comisión para el Esclarecimiento de la Verdad (CEV). En vez de tratar el tesauro como una lista plana de términos, se seleccionaron cinco grupos que permiten reconstruir relaciones fundamentales del ciclo del conflicto armado: Armas, Hechos victimizantes, Estructuras armadas, Profesiones y oficios, y Partidos y movimientos políticos. La elección no busca agotar el vocabulario de la CEV; delimita un dominio manejable en el que cada categoría aporta una pieza distinta de una misma situación semántica.</w:t>
      </w:r>
    </w:p>
    <w:p>
      <w:pPr>
        <w:spacing w:after="160" w:line="276" w:lineRule="auto"/>
        <w:jc w:val="both"/>
      </w:pPr>
      <w:r>
        <w:rPr>
          <w:rFonts w:ascii="Arial" w:hAnsi="Arial"/>
          <w:b w:val="0"/>
          <w:sz w:val="22"/>
        </w:rPr>
        <w:t>Armas representa los medios materiales usados en el conflicto y permite separar, por ejemplo, armas blancas, armas de fuego, artefactos explosivos improvisados y minas antipersona. Hechos victimizantes concentra las afectaciones y formas de violencia que deben poder consultarse como eventos, desde homicidio, desplazamiento forzado y desaparición forzada hasta violencia sexual, secuestro, tortura y reclutamiento forzado. Estructuras armadas incorpora a los actores colectivos, distinguiendo organizaciones legales e ilegales y sus subtipos.</w:t>
      </w:r>
    </w:p>
    <w:p>
      <w:pPr>
        <w:spacing w:after="160" w:line="276" w:lineRule="auto"/>
        <w:jc w:val="both"/>
      </w:pPr>
      <w:r>
        <w:rPr>
          <w:rFonts w:ascii="Arial" w:hAnsi="Arial"/>
          <w:b w:val="0"/>
          <w:sz w:val="22"/>
        </w:rPr>
        <w:t>Profesiones y oficios introduce la dimensión social de quienes pueden resultar afectados o intervenir en los relatos: no es equivalente hablar de periodista, abogado, profesor o defensor de derechos humanos que de un oficio ilegal. Finalmente, Partidos y movimientos políticos permite representar la dimensión de tránsito, desmovilización y participación política. Juntos, los cinco grupos conectan actor, medio, hecho, población afectada y escenario político, y por eso resultan más informativos que una colección aislada de etiquetas.</w:t>
      </w:r>
    </w:p>
    <w:p>
      <w:pPr>
        <w:spacing w:before="240" w:after="120"/>
        <w:jc w:val="left"/>
      </w:pPr>
      <w:r>
        <w:rPr>
          <w:rFonts w:ascii="Arial" w:hAnsi="Arial"/>
          <w:b/>
          <w:sz w:val="28"/>
        </w:rPr>
        <w:t>2. CONSTRUCCIÓN DE LA ONTOLOGÍA EN PROTÉGÉ</w:t>
      </w:r>
    </w:p>
    <w:p>
      <w:pPr>
        <w:spacing w:after="160" w:line="276" w:lineRule="auto"/>
        <w:jc w:val="both"/>
      </w:pPr>
      <w:r>
        <w:rPr>
          <w:rFonts w:ascii="Arial" w:hAnsi="Arial"/>
          <w:b w:val="0"/>
          <w:sz w:val="22"/>
        </w:rPr>
        <w:t>La construcción se realizó en Protégé tomando como fuente el archivo Excel del Tesauro original de la CEV y contrastando la estructura con el esquema jerárquico del equipo. La regla de transformación fue conservar cada relación de especificidad del tesauro como una relación subclase: un término más específico (TE) pasa a ser subclase del término inmediatamente superior. Así, la taxonomía no se transcribió como texto, sino que quedó disponible para inferencia y navegación semántica.</w:t>
      </w:r>
    </w:p>
    <w:p>
      <w:pPr>
        <w:spacing w:after="160" w:line="276" w:lineRule="auto"/>
        <w:jc w:val="both"/>
      </w:pPr>
      <w:r>
        <w:rPr>
          <w:rFonts w:ascii="Arial" w:hAnsi="Arial"/>
          <w:b w:val="0"/>
          <w:sz w:val="22"/>
        </w:rPr>
        <w:t>El resultado se exportó como ontología OWL. La versión base contiene 3.116 clases y organiza los cinco grupos desde sus conceptos raíz hacia categorías y términos más concretos. Por ejemplo, Armas contiene instrumentos, armas blancas y armas de fuego; Hechos victimizantes incluye ramificaciones como amenaza al derecho a la vida, desaparición forzada, homicidio, reclutamiento y violencia sexual; y Estructuras armadas distingue estructuras legales e ilegales. La profundidad se mantuvo cuando el Excel aportaba una relación jerárquica explícita, evitando inventar subclases que no estuvieran sustentadas por el tesauro.</w:t>
      </w:r>
    </w:p>
    <w:p>
      <w:pPr>
        <w:spacing w:after="160" w:line="276" w:lineRule="auto"/>
        <w:jc w:val="both"/>
      </w:pPr>
      <w:r>
        <w:rPr>
          <w:rFonts w:ascii="Arial" w:hAnsi="Arial"/>
          <w:b w:val="0"/>
          <w:sz w:val="22"/>
        </w:rPr>
        <w:t>Durante la carga se revisaron las etiquetas legibles. Las clases que llegaban sin rdfs:label se corrigieron para que Protégé mostrara el nombre humano del término, sin modificar el identificador técnico usado en las referencias internas. Esta decisión separa estabilidad técnica y legibilidad: el URI conserva una forma controlada, mientras la etiqueta mantiene la expresión del tesauro en español.</w:t>
      </w:r>
    </w:p>
    <w:p>
      <w:pPr>
        <w:spacing w:after="160" w:line="276" w:lineRule="auto"/>
        <w:jc w:val="both"/>
      </w:pPr>
      <w:r>
        <w:rPr>
          <w:rFonts w:ascii="Arial" w:hAnsi="Arial"/>
          <w:b w:val="0"/>
          <w:sz w:val="22"/>
        </w:rPr>
        <w:t>También se definieron cuatro object properties. usaArma conecta una Estructura armada con Arma; cometeHecho conecta una Estructura armada con Hecho victimizante; afectaA conecta un Hecho victimizante con Profesión u oficio; y sedesmovilizaEn conecta una Estructura armada con Partidos y movimientos políticos. Declarar dominio y rango no fue un detalle decorativo: restringe las combinaciones que la ontología puede expresar y permite detectar modelados incoherentes antes de poblar datos.</w:t>
      </w:r>
    </w:p>
    <w:p>
      <w:pPr>
        <w:spacing w:after="160" w:line="276" w:lineRule="auto"/>
        <w:jc w:val="both"/>
      </w:pPr>
      <w:r>
        <w:rPr>
          <w:rFonts w:ascii="Arial" w:hAnsi="Arial"/>
          <w:b w:val="0"/>
          <w:sz w:val="22"/>
        </w:rPr>
        <w:t>Como decisión de modelado, las categorías del tesauro se representaron inicialmente como clases y los casos particulares se reservaron como individuos. Esta separación evita confundir el concepto Grupo guerrillero con una organización concreta, o Masacre con un evento específico. Por la misma razón, las relaciones se definieron entre tipos semánticos, y el poblamiento de individuos se dejó para una etapa posterior y verificable.</w:t>
      </w:r>
    </w:p>
    <w:p>
      <w:pPr>
        <w:spacing w:before="240" w:after="120"/>
        <w:jc w:val="left"/>
      </w:pPr>
      <w:r>
        <w:rPr>
          <w:rFonts w:ascii="Arial" w:hAnsi="Arial"/>
          <w:b/>
          <w:sz w:val="28"/>
        </w:rPr>
        <w:t>3. ESTADO ACTUAL, PENDIENTES Y CONSULTAS SPARQL</w:t>
      </w:r>
    </w:p>
    <w:p>
      <w:pPr>
        <w:spacing w:after="160" w:line="276" w:lineRule="auto"/>
        <w:jc w:val="both"/>
      </w:pPr>
      <w:r>
        <w:rPr>
          <w:rFonts w:ascii="Arial" w:hAnsi="Arial"/>
          <w:b w:val="0"/>
          <w:sz w:val="22"/>
        </w:rPr>
        <w:t>La ontología ya contiene la jerarquía de clases y las cuatro relaciones con sus dominios y rangos. El siguiente paso es poblarla con individuos de fuente explícita: estructuras armadas concretas, hechos documentados, armas, perfiles ocupacionales y organizaciones o movimientos políticos. La ausencia actual de individuos no es una falla del modelo; delimita claramente que la entrega dispone de vocabulario y restricciones, pero aún no de una base factual completa sobre el conflicto.</w:t>
      </w:r>
    </w:p>
    <w:p>
      <w:pPr>
        <w:spacing w:after="160" w:line="276" w:lineRule="auto"/>
        <w:jc w:val="both"/>
      </w:pPr>
      <w:r>
        <w:rPr>
          <w:rFonts w:ascii="Arial" w:hAnsi="Arial"/>
          <w:b w:val="0"/>
          <w:sz w:val="22"/>
        </w:rPr>
        <w:t>El componente pendiente en Google Colab implementará una función con NLTK WordNet que reciba una etiqueta de la ontología y devuelva las relaciones léxicas disponibles: sinonimia, antonimia, hiponimia, hiperonimia, meronimia, holonimia, troponimia, términos coordinados y formas derivadas. Como el dominio está en español y WordNet se consulta principalmente con lemas ingleses, la función deberá documentar la normalización o traducción empleada y reportar de forma explícita los términos sin synset equivalente, en vez de presentar una ausencia de resultado como evidencia semántica.</w:t>
      </w:r>
    </w:p>
    <w:p>
      <w:pPr>
        <w:spacing w:after="160" w:line="276" w:lineRule="auto"/>
        <w:jc w:val="both"/>
      </w:pPr>
      <w:r>
        <w:rPr>
          <w:rFonts w:ascii="Arial" w:hAnsi="Arial"/>
          <w:b w:val="0"/>
          <w:sz w:val="22"/>
        </w:rPr>
        <w:t>Las siguientes 15 consultas constituyen el conjunto documentado para ejecutar en Protégé o en un endpoint compatible. Se usan los prefijos del archivo OWL; las consultas de relación devolverán resultados cuando los individuos estén poblados.</w:t>
      </w:r>
    </w:p>
    <w:p>
      <w:pPr>
        <w:spacing w:after="160" w:line="276" w:lineRule="auto"/>
        <w:jc w:val="both"/>
      </w:pPr>
      <w:r>
        <w:rPr>
          <w:rFonts w:ascii="Arial" w:hAnsi="Arial"/>
          <w:b/>
          <w:sz w:val="22"/>
        </w:rPr>
        <w:t>Consulta 1. Armas</w:t>
      </w:r>
    </w:p>
    <w:p>
      <w:pPr>
        <w:spacing w:after="160" w:line="276" w:lineRule="auto"/>
        <w:jc w:val="both"/>
      </w:pPr>
      <w:r>
        <w:rPr>
          <w:rFonts w:ascii="Arial" w:hAnsi="Arial"/>
          <w:b w:val="0"/>
          <w:sz w:val="22"/>
        </w:rPr>
        <w:t>Lista las subclases directas de Arma para explorar la primera clasificación de los medios materiales.</w:t>
      </w:r>
    </w:p>
    <w:p>
      <w:pPr>
        <w:spacing w:after="160"/>
        <w:ind w:left="360"/>
      </w:pPr>
      <w:r>
        <w:rPr>
          <w:rFonts w:ascii="Courier New" w:hAnsi="Courier New"/>
          <w:sz w:val="17"/>
        </w:rPr>
        <w:t>PREFIX : &lt;http://www.semanticweb.org/tesauro-cev-ciclo-conflicto#&gt;</w:t>
        <w:br/>
        <w:t>PREFIX rdfs: &lt;http://www.w3.org/2000/01/rdf-schema#&gt;</w:t>
        <w:br/>
        <w:t>SELECT ?arma WHERE { ?arma rdfs:subClassOf :Arma . } ORDER BY ?arma</w:t>
      </w:r>
    </w:p>
    <w:p>
      <w:pPr>
        <w:spacing w:after="160" w:line="276" w:lineRule="auto"/>
        <w:jc w:val="both"/>
      </w:pPr>
      <w:r>
        <w:rPr>
          <w:rFonts w:ascii="Arial" w:hAnsi="Arial"/>
          <w:b/>
          <w:sz w:val="22"/>
        </w:rPr>
        <w:t>Consulta 2. Armas</w:t>
      </w:r>
    </w:p>
    <w:p>
      <w:pPr>
        <w:spacing w:after="160" w:line="276" w:lineRule="auto"/>
        <w:jc w:val="both"/>
      </w:pPr>
      <w:r>
        <w:rPr>
          <w:rFonts w:ascii="Arial" w:hAnsi="Arial"/>
          <w:b w:val="0"/>
          <w:sz w:val="22"/>
        </w:rPr>
        <w:t>Recupera todas las especializaciones de armas de fuego, incluidas las que aparecen a cualquier profundidad.</w:t>
      </w:r>
    </w:p>
    <w:p>
      <w:pPr>
        <w:spacing w:after="160"/>
        <w:ind w:left="360"/>
      </w:pPr>
      <w:r>
        <w:rPr>
          <w:rFonts w:ascii="Courier New" w:hAnsi="Courier New"/>
          <w:sz w:val="17"/>
        </w:rPr>
        <w:t>PREFIX : &lt;http://www.semanticweb.org/tesauro-cev-ciclo-conflicto#&gt;</w:t>
        <w:br/>
        <w:t>PREFIX rdfs: &lt;http://www.w3.org/2000/01/rdf-schema#&gt;</w:t>
        <w:br/>
        <w:t>SELECT ?arma WHERE { ?arma rdfs:subClassOf+ :Armas_de_fuego . } ORDER BY ?arma</w:t>
      </w:r>
    </w:p>
    <w:p>
      <w:pPr>
        <w:spacing w:after="160" w:line="276" w:lineRule="auto"/>
        <w:jc w:val="both"/>
      </w:pPr>
      <w:r>
        <w:rPr>
          <w:rFonts w:ascii="Arial" w:hAnsi="Arial"/>
          <w:b/>
          <w:sz w:val="22"/>
        </w:rPr>
        <w:t>Consulta 3. Armas</w:t>
      </w:r>
    </w:p>
    <w:p>
      <w:pPr>
        <w:spacing w:after="160" w:line="276" w:lineRule="auto"/>
        <w:jc w:val="both"/>
      </w:pPr>
      <w:r>
        <w:rPr>
          <w:rFonts w:ascii="Arial" w:hAnsi="Arial"/>
          <w:b w:val="0"/>
          <w:sz w:val="22"/>
        </w:rPr>
        <w:t>Busca las estructuras armadas y las armas que usan; queda preparada para el poblamiento de individuos.</w:t>
      </w:r>
    </w:p>
    <w:p>
      <w:pPr>
        <w:spacing w:after="160"/>
        <w:ind w:left="360"/>
      </w:pPr>
      <w:r>
        <w:rPr>
          <w:rFonts w:ascii="Courier New" w:hAnsi="Courier New"/>
          <w:sz w:val="17"/>
        </w:rPr>
        <w:t>PREFIX : &lt;http://www.semanticweb.org/tesauro-cev-ciclo-conflicto#&gt;</w:t>
        <w:br/>
        <w:t>PREFIX rdfs: &lt;http://www.w3.org/2000/01/rdf-schema#&gt;</w:t>
        <w:br/>
        <w:t>SELECT ?estructura ?arma WHERE { ?estructura :usaArma ?arma . } ORDER BY ?estructura</w:t>
      </w:r>
    </w:p>
    <w:p>
      <w:pPr>
        <w:spacing w:after="160" w:line="276" w:lineRule="auto"/>
        <w:jc w:val="both"/>
      </w:pPr>
      <w:r>
        <w:rPr>
          <w:rFonts w:ascii="Arial" w:hAnsi="Arial"/>
          <w:b/>
          <w:sz w:val="22"/>
        </w:rPr>
        <w:t>Consulta 4. Hechos victimizantes</w:t>
      </w:r>
    </w:p>
    <w:p>
      <w:pPr>
        <w:spacing w:after="160" w:line="276" w:lineRule="auto"/>
        <w:jc w:val="both"/>
      </w:pPr>
      <w:r>
        <w:rPr>
          <w:rFonts w:ascii="Arial" w:hAnsi="Arial"/>
          <w:b w:val="0"/>
          <w:sz w:val="22"/>
        </w:rPr>
        <w:t>Lista las categorías hijas de Hechos victimizantes para inspeccionar los principales tipos de afectación.</w:t>
      </w:r>
    </w:p>
    <w:p>
      <w:pPr>
        <w:spacing w:after="160"/>
        <w:ind w:left="360"/>
      </w:pPr>
      <w:r>
        <w:rPr>
          <w:rFonts w:ascii="Courier New" w:hAnsi="Courier New"/>
          <w:sz w:val="17"/>
        </w:rPr>
        <w:t>PREFIX : &lt;http://www.semanticweb.org/tesauro-cev-ciclo-conflicto#&gt;</w:t>
        <w:br/>
        <w:t>PREFIX rdfs: &lt;http://www.w3.org/2000/01/rdf-schema#&gt;</w:t>
        <w:br/>
        <w:t>SELECT ?hecho WHERE { ?hecho rdfs:subClassOf :Hecho_victimizante . } ORDER BY ?hecho</w:t>
      </w:r>
    </w:p>
    <w:p>
      <w:pPr>
        <w:spacing w:after="160" w:line="276" w:lineRule="auto"/>
        <w:jc w:val="both"/>
      </w:pPr>
      <w:r>
        <w:rPr>
          <w:rFonts w:ascii="Arial" w:hAnsi="Arial"/>
          <w:b/>
          <w:sz w:val="22"/>
        </w:rPr>
        <w:t>Consulta 5. Hechos victimizantes</w:t>
      </w:r>
    </w:p>
    <w:p>
      <w:pPr>
        <w:spacing w:after="160" w:line="276" w:lineRule="auto"/>
        <w:jc w:val="both"/>
      </w:pPr>
      <w:r>
        <w:rPr>
          <w:rFonts w:ascii="Arial" w:hAnsi="Arial"/>
          <w:b w:val="0"/>
          <w:sz w:val="22"/>
        </w:rPr>
        <w:t>Recupera todas las subclases de Homicidio, como Masacre o Ejecución extrajudicial.</w:t>
      </w:r>
    </w:p>
    <w:p>
      <w:pPr>
        <w:spacing w:after="160"/>
        <w:ind w:left="360"/>
      </w:pPr>
      <w:r>
        <w:rPr>
          <w:rFonts w:ascii="Courier New" w:hAnsi="Courier New"/>
          <w:sz w:val="17"/>
        </w:rPr>
        <w:t>PREFIX : &lt;http://www.semanticweb.org/tesauro-cev-ciclo-conflicto#&gt;</w:t>
        <w:br/>
        <w:t>PREFIX rdfs: &lt;http://www.w3.org/2000/01/rdf-schema#&gt;</w:t>
        <w:br/>
        <w:t>SELECT ?hecho WHERE { ?hecho rdfs:subClassOf+ :Homicidio . } ORDER BY ?hecho</w:t>
      </w:r>
    </w:p>
    <w:p>
      <w:pPr>
        <w:spacing w:after="160" w:line="276" w:lineRule="auto"/>
        <w:jc w:val="both"/>
      </w:pPr>
      <w:r>
        <w:rPr>
          <w:rFonts w:ascii="Arial" w:hAnsi="Arial"/>
          <w:b/>
          <w:sz w:val="22"/>
        </w:rPr>
        <w:t>Consulta 6. Hechos victimizantes</w:t>
      </w:r>
    </w:p>
    <w:p>
      <w:pPr>
        <w:spacing w:after="160" w:line="276" w:lineRule="auto"/>
        <w:jc w:val="both"/>
      </w:pPr>
      <w:r>
        <w:rPr>
          <w:rFonts w:ascii="Arial" w:hAnsi="Arial"/>
          <w:b w:val="0"/>
          <w:sz w:val="22"/>
        </w:rPr>
        <w:t>Busca hechos y oficios afectados, usando la relación afectaA definida en el modelo.</w:t>
      </w:r>
    </w:p>
    <w:p>
      <w:pPr>
        <w:spacing w:after="160"/>
        <w:ind w:left="360"/>
      </w:pPr>
      <w:r>
        <w:rPr>
          <w:rFonts w:ascii="Courier New" w:hAnsi="Courier New"/>
          <w:sz w:val="17"/>
        </w:rPr>
        <w:t>PREFIX : &lt;http://www.semanticweb.org/tesauro-cev-ciclo-conflicto#&gt;</w:t>
        <w:br/>
        <w:t>PREFIX rdfs: &lt;http://www.w3.org/2000/01/rdf-schema#&gt;</w:t>
        <w:br/>
        <w:t>SELECT ?hecho ?oficio WHERE { ?hecho :afectaA ?oficio . } ORDER BY ?hecho</w:t>
      </w:r>
    </w:p>
    <w:p>
      <w:pPr>
        <w:spacing w:after="160" w:line="276" w:lineRule="auto"/>
        <w:jc w:val="both"/>
      </w:pPr>
      <w:r>
        <w:rPr>
          <w:rFonts w:ascii="Arial" w:hAnsi="Arial"/>
          <w:b/>
          <w:sz w:val="22"/>
        </w:rPr>
        <w:t>Consulta 7. Estructuras armadas</w:t>
      </w:r>
    </w:p>
    <w:p>
      <w:pPr>
        <w:spacing w:after="160" w:line="276" w:lineRule="auto"/>
        <w:jc w:val="both"/>
      </w:pPr>
      <w:r>
        <w:rPr>
          <w:rFonts w:ascii="Arial" w:hAnsi="Arial"/>
          <w:b w:val="0"/>
          <w:sz w:val="22"/>
        </w:rPr>
        <w:t>Lista las subclases directas de Estructuras armadas para diferenciar actores legales e ilegales.</w:t>
      </w:r>
    </w:p>
    <w:p>
      <w:pPr>
        <w:spacing w:after="160"/>
        <w:ind w:left="360"/>
      </w:pPr>
      <w:r>
        <w:rPr>
          <w:rFonts w:ascii="Courier New" w:hAnsi="Courier New"/>
          <w:sz w:val="17"/>
        </w:rPr>
        <w:t>PREFIX : &lt;http://www.semanticweb.org/tesauro-cev-ciclo-conflicto#&gt;</w:t>
        <w:br/>
        <w:t>PREFIX rdfs: &lt;http://www.w3.org/2000/01/rdf-schema#&gt;</w:t>
        <w:br/>
        <w:t>SELECT ?estructura WHERE { ?estructura rdfs:subClassOf :EstructuraArmada . } ORDER BY ?estructura</w:t>
      </w:r>
    </w:p>
    <w:p>
      <w:pPr>
        <w:spacing w:after="160" w:line="276" w:lineRule="auto"/>
        <w:jc w:val="both"/>
      </w:pPr>
      <w:r>
        <w:rPr>
          <w:rFonts w:ascii="Arial" w:hAnsi="Arial"/>
          <w:b/>
          <w:sz w:val="22"/>
        </w:rPr>
        <w:t>Consulta 8. Estructuras armadas</w:t>
      </w:r>
    </w:p>
    <w:p>
      <w:pPr>
        <w:spacing w:after="160" w:line="276" w:lineRule="auto"/>
        <w:jc w:val="both"/>
      </w:pPr>
      <w:r>
        <w:rPr>
          <w:rFonts w:ascii="Arial" w:hAnsi="Arial"/>
          <w:b w:val="0"/>
          <w:sz w:val="22"/>
        </w:rPr>
        <w:t>Recupera todos los tipos de estructura armada ilegal en la jerarquía.</w:t>
      </w:r>
    </w:p>
    <w:p>
      <w:pPr>
        <w:spacing w:after="160"/>
        <w:ind w:left="360"/>
      </w:pPr>
      <w:r>
        <w:rPr>
          <w:rFonts w:ascii="Courier New" w:hAnsi="Courier New"/>
          <w:sz w:val="17"/>
        </w:rPr>
        <w:t>PREFIX : &lt;http://www.semanticweb.org/tesauro-cev-ciclo-conflicto#&gt;</w:t>
        <w:br/>
        <w:t>PREFIX rdfs: &lt;http://www.w3.org/2000/01/rdf-schema#&gt;</w:t>
        <w:br/>
        <w:t>SELECT ?estructura WHERE { ?estructura rdfs:subClassOf+ :Estructuras_armadas_ilegales . } ORDER BY ?estructura</w:t>
      </w:r>
    </w:p>
    <w:p>
      <w:pPr>
        <w:spacing w:after="160" w:line="276" w:lineRule="auto"/>
        <w:jc w:val="both"/>
      </w:pPr>
      <w:r>
        <w:rPr>
          <w:rFonts w:ascii="Arial" w:hAnsi="Arial"/>
          <w:b/>
          <w:sz w:val="22"/>
        </w:rPr>
        <w:t>Consulta 9. Estructuras armadas</w:t>
      </w:r>
    </w:p>
    <w:p>
      <w:pPr>
        <w:spacing w:after="160" w:line="276" w:lineRule="auto"/>
        <w:jc w:val="both"/>
      </w:pPr>
      <w:r>
        <w:rPr>
          <w:rFonts w:ascii="Arial" w:hAnsi="Arial"/>
          <w:b w:val="0"/>
          <w:sz w:val="22"/>
        </w:rPr>
        <w:t>Relaciona estructuras armadas con los hechos que cometen cuando se carguen casos concretos.</w:t>
      </w:r>
    </w:p>
    <w:p>
      <w:pPr>
        <w:spacing w:after="160"/>
        <w:ind w:left="360"/>
      </w:pPr>
      <w:r>
        <w:rPr>
          <w:rFonts w:ascii="Courier New" w:hAnsi="Courier New"/>
          <w:sz w:val="17"/>
        </w:rPr>
        <w:t>PREFIX : &lt;http://www.semanticweb.org/tesauro-cev-ciclo-conflicto#&gt;</w:t>
        <w:br/>
        <w:t>PREFIX rdfs: &lt;http://www.w3.org/2000/01/rdf-schema#&gt;</w:t>
        <w:br/>
        <w:t>SELECT ?estructura ?hecho WHERE { ?estructura :cometeHecho ?hecho . } ORDER BY ?estructura</w:t>
      </w:r>
    </w:p>
    <w:p>
      <w:pPr>
        <w:spacing w:after="160" w:line="276" w:lineRule="auto"/>
        <w:jc w:val="both"/>
      </w:pPr>
      <w:r>
        <w:rPr>
          <w:rFonts w:ascii="Arial" w:hAnsi="Arial"/>
          <w:b/>
          <w:sz w:val="22"/>
        </w:rPr>
        <w:t>Consulta 10. Profesiones y oficios</w:t>
      </w:r>
    </w:p>
    <w:p>
      <w:pPr>
        <w:spacing w:after="160" w:line="276" w:lineRule="auto"/>
        <w:jc w:val="both"/>
      </w:pPr>
      <w:r>
        <w:rPr>
          <w:rFonts w:ascii="Arial" w:hAnsi="Arial"/>
          <w:b w:val="0"/>
          <w:sz w:val="22"/>
        </w:rPr>
        <w:t>Lista las clases que dependen directamente de Profesión u oficio.</w:t>
      </w:r>
    </w:p>
    <w:p>
      <w:pPr>
        <w:spacing w:after="160"/>
        <w:ind w:left="360"/>
      </w:pPr>
      <w:r>
        <w:rPr>
          <w:rFonts w:ascii="Courier New" w:hAnsi="Courier New"/>
          <w:sz w:val="17"/>
        </w:rPr>
        <w:t>PREFIX : &lt;http://www.semanticweb.org/tesauro-cev-ciclo-conflicto#&gt;</w:t>
        <w:br/>
        <w:t>PREFIX rdfs: &lt;http://www.w3.org/2000/01/rdf-schema#&gt;</w:t>
        <w:br/>
        <w:t>SELECT ?oficio WHERE { ?oficio rdfs:subClassOf :ProfesionOficio . } ORDER BY ?oficio</w:t>
      </w:r>
    </w:p>
    <w:p>
      <w:pPr>
        <w:spacing w:after="160" w:line="276" w:lineRule="auto"/>
        <w:jc w:val="both"/>
      </w:pPr>
      <w:r>
        <w:rPr>
          <w:rFonts w:ascii="Arial" w:hAnsi="Arial"/>
          <w:b/>
          <w:sz w:val="22"/>
        </w:rPr>
        <w:t>Consulta 11. Profesiones y oficios</w:t>
      </w:r>
    </w:p>
    <w:p>
      <w:pPr>
        <w:spacing w:after="160" w:line="276" w:lineRule="auto"/>
        <w:jc w:val="both"/>
      </w:pPr>
      <w:r>
        <w:rPr>
          <w:rFonts w:ascii="Arial" w:hAnsi="Arial"/>
          <w:b w:val="0"/>
          <w:sz w:val="22"/>
        </w:rPr>
        <w:t>Recupera las profesiones legales para contrastarlas con los oficios ilegales del tesauro.</w:t>
      </w:r>
    </w:p>
    <w:p>
      <w:pPr>
        <w:spacing w:after="160"/>
        <w:ind w:left="360"/>
      </w:pPr>
      <w:r>
        <w:rPr>
          <w:rFonts w:ascii="Courier New" w:hAnsi="Courier New"/>
          <w:sz w:val="17"/>
        </w:rPr>
        <w:t>PREFIX : &lt;http://www.semanticweb.org/tesauro-cev-ciclo-conflicto#&gt;</w:t>
        <w:br/>
        <w:t>PREFIX rdfs: &lt;http://www.w3.org/2000/01/rdf-schema#&gt;</w:t>
        <w:br/>
        <w:t>SELECT ?profesion WHERE { ?profesion rdfs:subClassOf+ :ProfesionLegal . } ORDER BY ?profesion</w:t>
      </w:r>
    </w:p>
    <w:p>
      <w:pPr>
        <w:spacing w:after="160" w:line="276" w:lineRule="auto"/>
        <w:jc w:val="both"/>
      </w:pPr>
      <w:r>
        <w:rPr>
          <w:rFonts w:ascii="Arial" w:hAnsi="Arial"/>
          <w:b/>
          <w:sz w:val="22"/>
        </w:rPr>
        <w:t>Consulta 12. Profesiones y oficios</w:t>
      </w:r>
    </w:p>
    <w:p>
      <w:pPr>
        <w:spacing w:after="160" w:line="276" w:lineRule="auto"/>
        <w:jc w:val="both"/>
      </w:pPr>
      <w:r>
        <w:rPr>
          <w:rFonts w:ascii="Arial" w:hAnsi="Arial"/>
          <w:b w:val="0"/>
          <w:sz w:val="22"/>
        </w:rPr>
        <w:t>Recupera los oficios o profesiones asociados a un hecho victimizante específico.</w:t>
      </w:r>
    </w:p>
    <w:p>
      <w:pPr>
        <w:spacing w:after="160"/>
        <w:ind w:left="360"/>
      </w:pPr>
      <w:r>
        <w:rPr>
          <w:rFonts w:ascii="Courier New" w:hAnsi="Courier New"/>
          <w:sz w:val="17"/>
        </w:rPr>
        <w:t>PREFIX : &lt;http://www.semanticweb.org/tesauro-cev-ciclo-conflicto#&gt;</w:t>
        <w:br/>
        <w:t>PREFIX rdfs: &lt;http://www.w3.org/2000/01/rdf-schema#&gt;</w:t>
        <w:br/>
        <w:t>SELECT ?hecho ?oficio WHERE { ?hecho :afectaA ?oficio . } ORDER BY ?oficio</w:t>
      </w:r>
    </w:p>
    <w:p>
      <w:pPr>
        <w:spacing w:after="160" w:line="276" w:lineRule="auto"/>
        <w:jc w:val="both"/>
      </w:pPr>
      <w:r>
        <w:rPr>
          <w:rFonts w:ascii="Arial" w:hAnsi="Arial"/>
          <w:b/>
          <w:sz w:val="22"/>
        </w:rPr>
        <w:t>Consulta 13. Partidos y movimientos políticos</w:t>
      </w:r>
    </w:p>
    <w:p>
      <w:pPr>
        <w:spacing w:after="160" w:line="276" w:lineRule="auto"/>
        <w:jc w:val="both"/>
      </w:pPr>
      <w:r>
        <w:rPr>
          <w:rFonts w:ascii="Arial" w:hAnsi="Arial"/>
          <w:b w:val="0"/>
          <w:sz w:val="22"/>
        </w:rPr>
        <w:t>Lista las subclases directas de Partidos y movimientos políticos.</w:t>
      </w:r>
    </w:p>
    <w:p>
      <w:pPr>
        <w:spacing w:after="160"/>
        <w:ind w:left="360"/>
      </w:pPr>
      <w:r>
        <w:rPr>
          <w:rFonts w:ascii="Courier New" w:hAnsi="Courier New"/>
          <w:sz w:val="17"/>
        </w:rPr>
        <w:t>PREFIX : &lt;http://www.semanticweb.org/tesauro-cev-ciclo-conflicto#&gt;</w:t>
        <w:br/>
        <w:t>PREFIX rdfs: &lt;http://www.w3.org/2000/01/rdf-schema#&gt;</w:t>
        <w:br/>
        <w:t>SELECT ?partido WHERE { ?partido rdfs:subClassOf :PartidosYMovimientosPoliticos . } ORDER BY ?partido</w:t>
      </w:r>
    </w:p>
    <w:p>
      <w:pPr>
        <w:spacing w:after="160" w:line="276" w:lineRule="auto"/>
        <w:jc w:val="both"/>
      </w:pPr>
      <w:r>
        <w:rPr>
          <w:rFonts w:ascii="Arial" w:hAnsi="Arial"/>
          <w:b/>
          <w:sz w:val="22"/>
        </w:rPr>
        <w:t>Consulta 14. Partidos y movimientos políticos</w:t>
      </w:r>
    </w:p>
    <w:p>
      <w:pPr>
        <w:spacing w:after="160" w:line="276" w:lineRule="auto"/>
        <w:jc w:val="both"/>
      </w:pPr>
      <w:r>
        <w:rPr>
          <w:rFonts w:ascii="Arial" w:hAnsi="Arial"/>
          <w:b w:val="0"/>
          <w:sz w:val="22"/>
        </w:rPr>
        <w:t>Recupera todos los partidos y movimientos que se especializan dentro de la jerarquía del grupo.</w:t>
      </w:r>
    </w:p>
    <w:p>
      <w:pPr>
        <w:spacing w:after="160"/>
        <w:ind w:left="360"/>
      </w:pPr>
      <w:r>
        <w:rPr>
          <w:rFonts w:ascii="Courier New" w:hAnsi="Courier New"/>
          <w:sz w:val="17"/>
        </w:rPr>
        <w:t>PREFIX : &lt;http://www.semanticweb.org/tesauro-cev-ciclo-conflicto#&gt;</w:t>
        <w:br/>
        <w:t>PREFIX rdfs: &lt;http://www.w3.org/2000/01/rdf-schema#&gt;</w:t>
        <w:br/>
        <w:t>SELECT ?partido WHERE { ?partido rdfs:subClassOf+ :PartidosYMovimientosPoliticos . } ORDER BY ?partido</w:t>
      </w:r>
    </w:p>
    <w:p>
      <w:pPr>
        <w:spacing w:after="160" w:line="276" w:lineRule="auto"/>
        <w:jc w:val="both"/>
      </w:pPr>
      <w:r>
        <w:rPr>
          <w:rFonts w:ascii="Arial" w:hAnsi="Arial"/>
          <w:b/>
          <w:sz w:val="22"/>
        </w:rPr>
        <w:t>Consulta 15. Partidos y movimientos políticos</w:t>
      </w:r>
    </w:p>
    <w:p>
      <w:pPr>
        <w:spacing w:after="160" w:line="276" w:lineRule="auto"/>
        <w:jc w:val="both"/>
      </w:pPr>
      <w:r>
        <w:rPr>
          <w:rFonts w:ascii="Arial" w:hAnsi="Arial"/>
          <w:b w:val="0"/>
          <w:sz w:val="22"/>
        </w:rPr>
        <w:t>Relaciona una estructura armada con el partido o movimiento en el que se desmoviliza.</w:t>
      </w:r>
    </w:p>
    <w:p>
      <w:pPr>
        <w:spacing w:after="160"/>
        <w:ind w:left="360"/>
      </w:pPr>
      <w:r>
        <w:rPr>
          <w:rFonts w:ascii="Courier New" w:hAnsi="Courier New"/>
          <w:sz w:val="17"/>
        </w:rPr>
        <w:t>PREFIX : &lt;http://www.semanticweb.org/tesauro-cev-ciclo-conflicto#&gt;</w:t>
        <w:br/>
        <w:t>PREFIX rdfs: &lt;http://www.w3.org/2000/01/rdf-schema#&gt;</w:t>
        <w:br/>
        <w:t>SELECT ?estructura ?partido WHERE { ?estructura :sedesmovilizaEn ?partido . } ORDER BY ?estructura</w:t>
      </w:r>
    </w:p>
    <w:p>
      <w:pPr>
        <w:spacing w:before="240" w:after="120"/>
        <w:jc w:val="left"/>
      </w:pPr>
      <w:r>
        <w:rPr>
          <w:rFonts w:ascii="Arial" w:hAnsi="Arial"/>
          <w:b/>
          <w:sz w:val="28"/>
        </w:rPr>
        <w:t>4. REFLEXIÓN: DE TEXTO PLANO A CONOCIMIENTO ESTRUCTURADO</w:t>
      </w:r>
    </w:p>
    <w:p>
      <w:pPr>
        <w:spacing w:after="160" w:line="276" w:lineRule="auto"/>
        <w:jc w:val="both"/>
      </w:pPr>
      <w:r>
        <w:rPr>
          <w:rFonts w:ascii="Arial" w:hAnsi="Arial"/>
          <w:b w:val="0"/>
          <w:sz w:val="22"/>
        </w:rPr>
        <w:t>El Taller 1 mostró que el análisis plano de texto permite reconocer tendencias léxicas, frecuencias, patrones gramaticales, entidades y variación discursiva. Es un enfoque valioso para responder qué palabras aparecen, con qué frecuencia y en qué contexto. Sin embargo, esos métodos no garantizan que dos expresiones distintas sean tratadas como el mismo concepto, ni hacen explícito por sí solos qué relaciones deben ser válidas entre los elementos encontrados.</w:t>
      </w:r>
    </w:p>
    <w:p>
      <w:pPr>
        <w:spacing w:after="160" w:line="276" w:lineRule="auto"/>
        <w:jc w:val="both"/>
      </w:pPr>
      <w:r>
        <w:rPr>
          <w:rFonts w:ascii="Arial" w:hAnsi="Arial"/>
          <w:b w:val="0"/>
          <w:sz w:val="22"/>
        </w:rPr>
        <w:t>La ontología añade una capa que el conteo o la similitud textual no proporcionan: define qué es cada concepto, cómo se especializa y con qué otros conceptos puede relacionarse. Gracias a la jerarquía, una consulta por Arma puede recuperar también sus tipos particulares; gracias a dominio y rango, la relación usaArma no se confunde con una afectación a una profesión. En este sentido, la ontología convierte un vocabulario en un modelo de conocimiento verificable y reutilizable.</w:t>
      </w:r>
    </w:p>
    <w:p>
      <w:pPr>
        <w:spacing w:after="160" w:line="276" w:lineRule="auto"/>
        <w:jc w:val="both"/>
      </w:pPr>
      <w:r>
        <w:rPr>
          <w:rFonts w:ascii="Arial" w:hAnsi="Arial"/>
          <w:b w:val="0"/>
          <w:sz w:val="22"/>
        </w:rPr>
        <w:t>La ventaja no es sustituir PLN por representación formal. Los resultados del Taller 1 pueden identificar candidatos a entidades o relaciones en un corpus, mientras la ontología permite normalizarlos, validarlos y consultarlos de forma consistente. WordNet completa el puente al aportar relaciones léxicas que pueden sugerir variantes, sinónimos o generalizaciones. La lección central es que el texto aporta evidencia, pero el modelo ontológico define la estructura con la que esa evidencia puede compararse, explicarse y reutilizarse sin perder su significado.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