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Lines="0" w:after="12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宋体" w:cs="黑体"/>
          <w:sz w:val="24"/>
          <w:szCs w:val="24"/>
          <w:lang w:val="en-US" w:eastAsia="zh-CN"/>
        </w:rPr>
        <w:t>2.2.2 系统架构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此系统主要套用 Struts2 Framework，Spring Framework，Hibernate Framework 等框架，各负责的工作如下图：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Verdana" w:hAnsi="Verdana" w:eastAsia="宋体"/>
          <w:lang w:val="en-US" w:eastAsia="zh-CN"/>
        </w:rPr>
      </w:pPr>
      <w:r>
        <w:rPr>
          <w:rFonts w:hint="eastAsia" w:ascii="Verdana" w:hAnsi="Verdana" w:eastAsia="宋体"/>
          <w:lang w:val="en-US" w:eastAsia="zh-CN"/>
        </w:rPr>
        <w:drawing>
          <wp:inline distT="0" distB="0" distL="114300" distR="114300">
            <wp:extent cx="4890770" cy="2731135"/>
            <wp:effectExtent l="0" t="0" r="5080" b="1206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在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"http://baike.baidu.com/view/239615.htm"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表示层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24"/>
          <w:lang w:val="en-US" w:eastAsia="zh-CN"/>
        </w:rPr>
        <w:t>中，首先通过</w:t>
      </w:r>
      <w:r>
        <w:rPr>
          <w:rFonts w:hint="eastAsia" w:ascii="Times New Roman" w:hAnsi="Times New Roman" w:eastAsia="宋体"/>
          <w:sz w:val="24"/>
          <w:lang w:val="en-US" w:eastAsia="zh-CN"/>
        </w:rPr>
        <w:t>HTML</w:t>
      </w:r>
      <w:r>
        <w:rPr>
          <w:rFonts w:hint="default" w:ascii="Times New Roman" w:hAnsi="Times New Roman" w:eastAsia="宋体"/>
          <w:sz w:val="24"/>
          <w:lang w:val="en-US" w:eastAsia="zh-CN"/>
        </w:rPr>
        <w:t>页面实现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"http://baike.baidu.com/view/4911416.htm"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交互界面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24"/>
          <w:lang w:val="en-US" w:eastAsia="zh-CN"/>
        </w:rPr>
        <w:t>，负责接收请求(Request)和传送响应(Response)，然后Struts根据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"http://baike.baidu.com/view/132733.htm"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配置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24"/>
          <w:lang w:val="en-US" w:eastAsia="zh-CN"/>
        </w:rPr>
        <w:t>文件(struts-config.xml)将ActionServlet接收到的Request委派给相应的Action处理。在业务层中，管理服务组件的Spring IoC容器负责向Action提供业务模型(Model)组件和该组件的协作对象数据处理(DAO)组件完成业务逻辑，并提供事务处理、缓冲池等容器组件以提升系统性能和保证数据的完整性。而在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"http://baike.baidu.com/view/198047.htm"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持久层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24"/>
          <w:lang w:val="en-US" w:eastAsia="zh-CN"/>
        </w:rPr>
        <w:t>中，则依赖于Hibernate的对象化映射和数据库交互，处理DAO组件请求的数据，并返回处理结果。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采用上述开发模型，不仅实现了视图、控制器与模型的彻底分离，而且还实现了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"http://baike.baidu.com/view/1030527.htm"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业务逻辑层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24"/>
          <w:lang w:val="en-US" w:eastAsia="zh-CN"/>
        </w:rPr>
        <w:t>与持久层的分离。这样无论前端如何变化，模型层只需很少的改动，并且数据库的变化也不会对前端有所影响，大大提高了系统的可复用性。而且由于不同层之间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"http://baike.baidu.com/view/1599212.htm"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耦合度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default" w:ascii="Times New Roman" w:hAnsi="Times New Roman" w:eastAsia="宋体"/>
          <w:sz w:val="24"/>
          <w:lang w:val="en-US" w:eastAsia="zh-CN"/>
        </w:rPr>
        <w:t>小，有利于团队成员并行工作，大大提高了开发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begin"/>
      </w:r>
      <w:r>
        <w:rPr>
          <w:rFonts w:hint="default" w:ascii="Times New Roman" w:hAnsi="Times New Roman" w:eastAsia="宋体"/>
          <w:sz w:val="24"/>
          <w:lang w:val="en-US" w:eastAsia="zh-CN"/>
        </w:rPr>
        <w:instrText xml:space="preserve"> HYPERLINK "http://baike.baidu.com/view/47610.htm" \t "http://baike.baidu.com/_blank" </w:instrTex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separate"/>
      </w:r>
      <w:r>
        <w:rPr>
          <w:rFonts w:hint="default" w:ascii="Times New Roman" w:hAnsi="Times New Roman" w:eastAsia="宋体"/>
          <w:sz w:val="24"/>
          <w:lang w:val="en-US" w:eastAsia="zh-CN"/>
        </w:rPr>
        <w:t>效率</w:t>
      </w:r>
      <w:r>
        <w:rPr>
          <w:rFonts w:hint="default" w:ascii="Times New Roman" w:hAnsi="Times New Roman" w:eastAsia="宋体"/>
          <w:sz w:val="24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Gill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na">
    <w:panose1 w:val="020B0606030504040204"/>
    <w:charset w:val="00"/>
    <w:family w:val="auto"/>
    <w:pitch w:val="default"/>
    <w:sig w:usb0="00000287" w:usb1="00000000" w:usb2="00000000" w:usb3="00000000" w:csb0="2000009F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alatinoLinotype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0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122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2016-11-18T01:40:35Z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