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5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GRHADES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Plateforme E-Commerce B2C | Odoo + Python</w:t>
      </w:r>
    </w:p>
    <w:p>
      <w:pPr>
        <w:pBdr>
          <w:bottom w:val="single" w:color="2E75B6" w:sz="5" w:space="1"/>
        </w:pBdr>
        <w:spacing w:after="160" w:before="16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6B42"/>
          <w:sz w:val="30"/>
          <w:szCs w:val="30"/>
        </w:rPr>
        <w:t xml:space="preserve">ROADMAP D'ÉVOLUTION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2.0 (Juin – Septembre 2026)  &amp;  Vision V3.0 (2027)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Périmètre : Nouvelles Fonctionnalités  •  Intégrations Tierces  •  Améliorations Techniques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Version 1.0  —  Avril 2026  |  Confidentiel GRHADES</w:t>
      </w:r>
    </w:p>
    <w:p>
      <w:r>
        <w:br w:type="page"/>
      </w: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Contexte et Périmètre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plateforme GRHADES e-commerce B2C est en production depuis avril 2026 (V1.0). Elle repose sur Odoo eCommerce, CRM, Marketing, Stock et Comptabilité, avec 19 modules Python Odoo custom développés en interne.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 document présente le backlog d'évolution en continuité directe de la V1.0, structuré en trois domaines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Nouvelles fonctionnalités : 13 évolutions pour améliorer l'expérience client et augmenter les conversions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Intégrations tierces : 10 connecteurs (logistique, analytics, ERP, communication, CRM)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Améliorations techniques : 10 chantiers DevOps, performance, sécurité et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Vision V3.0 (roadmap 2027) : 6 initiatives stratégiques à fort impact business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1.1 Objectifs V2.0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Lancer l'application mobile iOS &amp; Android pour capter les 35% du trafic provenant du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Automatiser la logistique via l'intégration API Colissimo complète et DHL Express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Mettre en place un socle technique robuste : CI/CD, Redis, CDN, staging/prod séparés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Renforcer la sécurité : audit OWASP, WAF interne, migration Odoo 17 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Enrichir l'expérience client : recommandations, ventes flash, parrainage, wishlist</w:t>
      </w:r>
    </w:p>
    <w:p>
      <w:pPr>
        <w:pBdr>
          <w:bottom w:val="single" w:color="2E75B6" w:sz="5" w:space="1"/>
        </w:pBdr>
        <w:spacing w:after="160" w:before="160"/>
      </w:pPr>
      <w:r>
        <w:t xml:space="preserve"/>
      </w: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Synthèse du Backlog Évolution</w:t>
      </w:r>
    </w:p>
    <w:tbl>
      <w:tblPr>
        <w:tblW w:type="dxa" w:w="11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1500"/>
        <w:gridCol w:w="1000"/>
        <w:gridCol w:w="1000"/>
        <w:gridCol w:w="1000"/>
        <w:gridCol w:w="1726"/>
      </w:tblGrid>
      <w:tr>
        <w:trPr>
          <w:tblHeader/>
        </w:trP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Évolutions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 total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Critique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Haute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Moyenne</w:t>
            </w:r>
          </w:p>
        </w:tc>
        <w:tc>
          <w:tcPr>
            <w:tcW w:type="dxa" w:w="17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Nouvelles Fonctionnalités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172j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S5 à S8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Intégrations Tierces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103j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S5 à S8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Améliorations Techniques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110j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S5 à S8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V3.0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Roadmap Stratégique 2027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285j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S11–S14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670j estimés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Juin 2026 → Avr. 2027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2.1 Quick Wins prioritaires — À lancer en premier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Ces 7 évolutions offrent le meilleur ratio valeur/effort et constituent le point de départ recommandé du sprint S5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000"/>
        <w:gridCol w:w="1200"/>
        <w:gridCol w:w="3026"/>
      </w:tblGrid>
      <w:tr>
        <w:trPr>
          <w:tblHeader/>
        </w:trP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3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 CI/CD Gitea 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Prérequis à tout — détecte les régressions automatiquement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Staging / Production séparés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Sécurité des déploiements — prérequis à toute la V2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cache distribué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TTFB ÷3 — résout ANO-015 — impact utilisateur immédiat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Analytics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8j pour des données décisionnelles critiques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Wishlist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Moyenne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Conversion 35% des wishlists sous 30 jours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Programme parrainage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 -60% vs publicité — viral loop à fort ROI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Recherche avancée &amp; autocomplétion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Réduction taux zéro-résultat de 40%</w:t>
            </w:r>
          </w:p>
        </w:tc>
      </w:tr>
    </w:tbl>
    <w:p>
      <w:pPr>
        <w:pBdr>
          <w:bottom w:val="single" w:color="2E75B6" w:sz="5" w:space="1"/>
        </w:pBdr>
        <w:spacing w:after="160" w:before="160"/>
      </w:pPr>
      <w:r>
        <w:t xml:space="preserve"/>
      </w: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F6B42"/>
          <w:sz w:val="34"/>
          <w:szCs w:val="34"/>
        </w:rPr>
        <w:t xml:space="preserve">3. Nouvelles Fonctionnalités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3.1 Application Mobile iOS &amp; Android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L'application mobile est l'investissement le plus structurant de la V2.0. Elle vise à capturer les 35% du trafic GRHADES provenant du mobile avec une expérience native, incomparable avec le site web responsive.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4500"/>
        <w:gridCol w:w="1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5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Catalogue &amp; Recherche — Module grhades_mobile_api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Panier, commande, Stripe, Apple Pay, Google Pay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Espace client, suivi livraison push, fidélité, scanner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3.2 Expérience Client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4500"/>
        <w:gridCol w:w="1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5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Chatbot IA — Service client Odoo Live Chat étendu, escalade humaine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Recommandations produits — Collaborative filtering Python sur sale.order.line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Wishlist — Modèle product.wishlist, /my/wishlist, partage par lien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Moyenne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Comparateur ×4 produits — Composant OWL, persistance session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Moyenne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3.3 Marketing &amp; Catalogue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4500"/>
        <w:gridCol w:w="1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5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Programme parrainage — Code unique, bon 10€ parrain, -5% filleul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 Push PWA — Campagnes push via service worker VAPID interne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Moyenne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 &amp; Collect — Créneaux, QR code, notification SMS/email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Recherche avancée — Autocomplétion OWL, correction orthographique Python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Ventes flash — Modèle flash.sale, compte à rebours OWL, badge catalogue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Niveaux fidélité Bronze/Silver/Gold — Avantages par niveau, badge portail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Moyenne</w:t>
            </w:r>
          </w:p>
        </w:tc>
      </w:tr>
    </w:tbl>
    <w:p>
      <w:pPr>
        <w:pBdr>
          <w:bottom w:val="single" w:color="2E75B6" w:sz="5" w:space="1"/>
        </w:pBdr>
        <w:spacing w:after="160" w:before="160"/>
      </w:pPr>
      <w:r>
        <w:t xml:space="preserve"/>
      </w: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7B3F00"/>
          <w:sz w:val="34"/>
          <w:szCs w:val="34"/>
        </w:rPr>
        <w:t xml:space="preserve">4. Intégrations Tierces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4.1 Logistique — Transporteurs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4500"/>
        <w:gridCol w:w="1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5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Colissimo — Frais temps réel, étiquette PDF, tracking polling 2h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DHL Express — National + International, formulaires douaniers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Routeur multi-transporteur — Sélection optimale Colissimo vs DHL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4.2 Analytics &amp; Business Intelligence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4500"/>
        <w:gridCol w:w="1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5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Analytics 4 — Enhanced Ecommerce, entonnoir conversion complet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Metabase BI auto-hébergé — Dashboards direction, marketing, logistique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Dashboard KPIs temps réel — Actualisation 5 min, mode kiosk entrepôt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Moyenne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4.3 ERP, CRM &amp; Communication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4500"/>
        <w:gridCol w:w="1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5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Export comptable FEC/CSV — Cron 23h30, dépôt réseau, email confirmation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Sync fournisseurs — Prix hebdo CSV/Excel, alerte marge &lt; 15%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Moyenne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 Business — Confirmation commande, livraison, relance panier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Moyenne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CRM externe — Synchro bidirectionnelle Odoo ↔ CRM tiers (Dolibarr/autre)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15j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Moyenne</w:t>
            </w:r>
          </w:p>
        </w:tc>
      </w:tr>
    </w:tbl>
    <w:p>
      <w:pPr>
        <w:pBdr>
          <w:bottom w:val="single" w:color="2E75B6" w:sz="5" w:space="1"/>
        </w:pBdr>
        <w:spacing w:after="160" w:before="160"/>
      </w:pPr>
      <w:r>
        <w:t xml:space="preserve"/>
      </w: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54360"/>
          <w:sz w:val="34"/>
          <w:szCs w:val="34"/>
        </w:rPr>
        <w:t xml:space="preserve">5. Améliorations Techniques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5.1 DevOps — CI/CD &amp; Environnements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Ces deux évolutions sont les prérequis absolus de toute la V2.0. Elles doivent être livrées en tout premier, dès le début du sprint S5.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4800"/>
        <w:gridCol w:w="1000"/>
        <w:gridCol w:w="1226"/>
      </w:tblGrid>
      <w:tr>
        <w:trPr>
          <w:tblHeader/>
        </w:trP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4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2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 CI/CD Gitea Actions — Linting, tests unitaires, build Docker, staging auto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12j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Staging / Production séparés — Docker Compose, base anonymisée RGPD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8j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5.2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4800"/>
        <w:gridCol w:w="1000"/>
        <w:gridCol w:w="1226"/>
      </w:tblGrid>
      <w:tr>
        <w:trPr>
          <w:tblHeader/>
        </w:trP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4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2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cache distribué (2 nœuds) — Sessions, catalogue, stock. TTFB &lt; 150ms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8j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CDN interne Varnish — Assets statiques TTL 7j, LCP &lt; 2,5s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6j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Optimisation SQL N+1 queries — Prefetch ORM, index PG. Résout ANO-015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10j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5.3 Sécurité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4800"/>
        <w:gridCol w:w="1000"/>
        <w:gridCol w:w="1226"/>
      </w:tblGrid>
      <w:tr>
        <w:trPr>
          <w:tblHeader/>
        </w:trP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4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2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Audit OWASP ZAP + Pentest — Scan, pip-audit, rapport remédiation priorisé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10j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WAF ModSecurity — Règles OWASP CRS, blocage SQLi/XSS, dashboard Kibana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8j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5.4 Migration &amp; Monitoring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4800"/>
        <w:gridCol w:w="1000"/>
        <w:gridCol w:w="1226"/>
      </w:tblGrid>
      <w:tr>
        <w:trPr>
          <w:tblHeader/>
        </w:trP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4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2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Migration Odoo 17 LTS — Audit 19 modules, OWL v2, tests régression complets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30j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ELK Stack auto-hébergé — Logs centralisés, dashboards Kibana, alertes 5xx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10j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Prometheus + Grafana — Métriques système, alertes Slack/email, on-call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8j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</w:tbl>
    <w:p>
      <w:pPr>
        <w:pBdr>
          <w:bottom w:val="single" w:color="2E75B6" w:sz="5" w:space="1"/>
        </w:pBdr>
        <w:spacing w:after="160" w:before="160"/>
      </w:pPr>
      <w:r>
        <w:t xml:space="preserve"/>
      </w: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Roadmap Détaillée par Sprint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Sprint S5 — Juin 2026  |  Socle &amp; Quick Wins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Priorité absolue : EVO-024 et EVO-025 (CI/CD + staging) doivent être les premiers livrables du sprint.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200"/>
        <w:gridCol w:w="1600"/>
        <w:gridCol w:w="1000"/>
        <w:gridCol w:w="1626"/>
      </w:tblGrid>
      <w:tr>
        <w:trPr>
          <w:tblHeader/>
        </w:trP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Titre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Amél. Tech.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 CI/CD Gitea 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Yassine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Amél. Tech.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Staging / Production séparés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Yassine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Amél. Tech.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cache distribué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Yassine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Nouvelles F.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 Mobile — Catalogue &amp; Recherche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Yassine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Intégrations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Colissimo — Étiquettes &amp; 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Yassine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Intégrations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Analytics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Amine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Nouvelles F.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Wishlist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Amine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Moyenne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Nouvelles F.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Recherche avancée &amp; autocomplétion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Amine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Nouvelles F.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Chatbot IA service client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Amine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Sprint S6 — Juillet 2026  |  App Mobile, Performance &amp; BI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200"/>
        <w:gridCol w:w="1600"/>
        <w:gridCol w:w="1000"/>
        <w:gridCol w:w="1626"/>
      </w:tblGrid>
      <w:tr>
        <w:trPr>
          <w:tblHeader/>
        </w:trP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Titre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Nouvelles F.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 Mobile — Panier, commande &amp; paiement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Yassine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Amél. Tech.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Audit sécurité OWASP + Pentest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Yassine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Amél. Tech.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CDN interne Varnish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Yassine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Amél. Tech.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Optimisation SQL N+1 queries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Yassine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Intégrations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DHL Express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Yassine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Intégrations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Routeur multi-transporteur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Amine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Intégrations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Metabase BI auto-hébergé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Yassine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Intégrations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Dashboard KPIs temps réel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Amine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Moyenne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Nouvelles F.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Recommandations produits Python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Amine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Nouvelles F.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Ventes flash &amp; offres limitées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Amine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Nouvelles F.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Comparateur produits ×4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Amine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Moyenne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Nouvelles F.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Programme parrainage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Amine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Sprint S7 — Août 2026  |  App Mobile (fin), Monitoring &amp; Intégrations ERP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200"/>
        <w:gridCol w:w="1600"/>
        <w:gridCol w:w="1000"/>
        <w:gridCol w:w="1626"/>
      </w:tblGrid>
      <w:tr>
        <w:trPr>
          <w:tblHeader/>
        </w:trP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Titre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Nouvelles F.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 Mobile — Espace client &amp; fidélité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Amine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Nouvelles F.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 &amp; Collect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Yassine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Nouvelles F.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Niveaux fidélité Bronze/Silver/Gold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Amine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Moyenne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Nouvelles F.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 Push Notifications PWA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Yassine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Moyenne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Amél. Tech.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WAF ModSecurity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Yassine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Amél. Tech.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ELK Stack — Logs centralisés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Yassine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Amél. Tech.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Prometheus + Grafana alertes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Yassine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Intégrations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Export comptable FEC/CSV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Amine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Intégrations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Sync fournisseurs prix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Amine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Moyenne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Intégrations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 Business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Amine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Moyenne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Sprint S8 — Septembre 2026  |  Migration Odoo 17 &amp; CRM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200"/>
        <w:gridCol w:w="1600"/>
        <w:gridCol w:w="1000"/>
        <w:gridCol w:w="1626"/>
      </w:tblGrid>
      <w:tr>
        <w:trPr>
          <w:tblHeader/>
        </w:trP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Titre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Amél. Tech.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Migration Odoo 17 LTS — 19 modules custom à adapter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Yassine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Intégrations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CRM externe — Synchronisation bidirectionnelle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Yassine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Moyenne</w:t>
            </w:r>
          </w:p>
        </w:tc>
      </w:tr>
    </w:tbl>
    <w:p>
      <w:pPr>
        <w:pBdr>
          <w:bottom w:val="single" w:color="2E75B6" w:sz="5" w:space="1"/>
        </w:pBdr>
        <w:spacing w:after="160" w:before="160"/>
      </w:pPr>
      <w:r>
        <w:t xml:space="preserve"/>
      </w: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6B1F4A"/>
          <w:sz w:val="34"/>
          <w:szCs w:val="34"/>
        </w:rPr>
        <w:t xml:space="preserve">7. Vision V3.0 — Roadmap Stratégique 2027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initiatives V3.0 sont de nature transformationnelle. Elles nécessitent une validation par la direction GRHADES et un chiffrage précis avant tout lancement.</w:t>
      </w:r>
    </w:p>
    <w:p>
      <w:pPr>
        <w:spacing w:after="60" w:before="6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3800"/>
        <w:gridCol w:w="1000"/>
        <w:gridCol w:w="1000"/>
        <w:gridCol w:w="1826"/>
      </w:tblGrid>
      <w:tr>
        <w:trPr>
          <w:tblHeader/>
        </w:trP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B1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B1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B1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Initiative Stratégique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B1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B1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18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B1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Attendu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S11 – Jan.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Marketplace multi-vendeurs — Commissions, portail vendeur, Stripe Connect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60j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Revenu ×2 à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S11 – Jan.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International Maghreb — Arabe RTL, multi-devises DZD/MAD/TND/EUR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45j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Market ×4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S12 – Fév.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IA recommandations ML — scikit-learn, personnalisation comportementale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 +8 à 12%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S12 – Fév.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Recherche visuelle — Photo vers produit, vision par ordinateur GPU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35j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Différenciateur fort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S12 – Fév.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BNPL — Paiement 3x/4x sans frais, partenaire local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Panier +25%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EVO-037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S14 – Avr.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Architecture microservices — FastAPI + Kafka + Kubernetes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90j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Scalabilité ×10</w:t>
            </w:r>
          </w:p>
        </w:tc>
      </w:tr>
    </w:tbl>
    <w:p>
      <w:pPr>
        <w:pBdr>
          <w:bottom w:val="single" w:color="2E75B6" w:sz="5" w:space="1"/>
        </w:pBdr>
        <w:spacing w:after="160" w:before="160"/>
      </w:pPr>
      <w:r>
        <w:t xml:space="preserve"/>
      </w: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Gouvernance, Risques &amp; Critères d'Acceptation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8.1 Équipe projet V2.0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226"/>
        <w:gridCol w:w="160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32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Périmètre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Disponibilité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Yassine (Tech)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Lead technique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Architecture, DevOps, sécurité, API, 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Amine (Dev)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Développeur Odoo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Modules Python custom, OWL, front-end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M. Karim (MOA)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Chef de projet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Validation fonctionnelle, pilotage, V3 roadmap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Mme. Sara (MOA)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Responsable marketing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CRM, marketing, comptabilité, KPIs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8.2 Critères d'acceptation pour mise en production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Couverture de tests unitaires &gt; 80% pour tout nouveau module Python Odoo custom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Zéro anomalie bloquante ou critique ouverte avant tout déploiement en production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Validation fonctionnelle MOA sur l'environnement de staging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 OWASP ZAP passé sans vulnérabilité critique ou haute non mitigée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Score Lighthouse mobile &gt; 80 maintenu après chaque déploiement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Pipeline CI/CD vert (tous les tests passants) avant merge sur la branche main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8.3 Principaux risques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3426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Risque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Probabilité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4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 de 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Retard migration Odoo 17 — incompatibilités modules custom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Audit modules 2 sprints avant. Tests sur env isolé. Rollback plan.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Dérive scope app mobile — complexité sous-estimée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Majeur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strict S5 (catalogue). Features avancées en S6. No scope creep.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Performance Redis insuffisante — invalidation cache complexe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Majeur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Tests de charge avant mise en prod. Stratégie TTL par type de donnée.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Disponibilité API Colissimo — incidents La Poste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Majeur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Fallback manuel en attente. Alertes Prometheus sur les erreurs API.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Résistance adoption WhatsApp — opt-in clients faible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Mineur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Canal optionnel — SMS en fallback. KPI opt-in suivi mensuellement.</w:t>
            </w:r>
          </w:p>
        </w:tc>
      </w:tr>
    </w:tbl>
    <w:p>
      <w:pPr>
        <w:pBdr>
          <w:bottom w:val="single" w:color="2E75B6" w:sz="5" w:space="1"/>
        </w:pBdr>
        <w:spacing w:after="160" w:before="160"/>
      </w:pPr>
      <w:r>
        <w:t xml:space="preserve"/>
      </w: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Conclusion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V2.0 du projet GRHADES représente une montée en puissance significative de la plateforme e-commerce B2C. Les 33 évolutions planifiées sur 4 sprints (juin–septembre 2026) s'articulent autour de trois axes complémentaires et cohérents avec la vision GRHADES.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recommandation opérationnelle est claire : démarrer impérativement par les 7 Quick Wins identifiés (CI/CD, Redis, staging, GA4, wishlist, parrainage, recherche avancée) — ils génèrent un ROI immédiat avec un effort combiné inférieur à 70 jours-hommes.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L'application mobile et l'intégration Colissimo sont les deux investissements stratégiques les plus impactants de la V2.0 : l'un transforme l'expérience client, l'autre automatise la chaîne logistique. Ces deux chantiers doivent être lancés en parallèle dès le sprint S5.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migration Odoo 17 LTS, bien que planifiée en S8, doit être préparée dès S6 avec l'audit des 19 modules custom existants — c'est le chantier le plus risqué en termes de complexité et de durée.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Document confidentiel GRHADES — Usage interne — Avril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spacing w:after="120" w:before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GRHADES — Roadmap Évolution V2.0 &amp; V3.0</w:t>
    </w:r>
    <w:r>
      <w:rPr>
        <w:rFonts w:ascii="Arial" w:cs="Arial" w:eastAsia="Arial" w:hAnsi="Arial"/>
        <w:color w:val="888888"/>
        <w:sz w:val="17"/>
        <w:szCs w:val="17"/>
      </w:rPr>
      <w:t xml:space="preserve">   |   3 domaines : Nouvelles Fonctionnalités · Intégrations · Améliorations Techniques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8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30" w:before="26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2026-04-19T22:32:50.910Z</dcterms:created>
  <dcterms:modified xsi:type="dcterms:W3CDTF">2026-04-19T22:32:50.911Z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