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3864"/>
          <w:sz w:val="40"/>
          <w:szCs w:val="40"/>
        </w:rPr>
        <w:t xml:space="preserve">SIMC — Système Informatique de Maîtrise des Contrôles</w:t>
      </w:r>
    </w:p>
    <w:p>
      <w:pPr>
        <w:spacing w:after="600" w:before="0"/>
        <w:jc w:val="center"/>
      </w:pPr>
      <w:r>
        <w:rPr>
          <w:rFonts w:ascii="Arial" w:cs="Arial" w:eastAsia="Arial" w:hAnsi="Arial"/>
          <w:i/>
          <w:iCs/>
          <w:color w:val="777777"/>
          <w:sz w:val="24"/>
          <w:szCs w:val="24"/>
        </w:rPr>
        <w:t xml:space="preserve">Analyse &amp; Synthèse de la présentation — Avril 2026</w:t>
      </w:r>
    </w:p>
    <w:p>
      <w:pPr>
        <w:pBdr>
          <w:bottom w:val="single" w:color="2E5090" w:sz="4" w:space="1"/>
        </w:pBdr>
        <w:spacing w:after="160" w:before="160"/>
      </w:pPr>
    </w:p>
    <w:p>
      <w:pPr>
        <w:pStyle w:val="Heading1"/>
      </w:pPr>
      <w:r>
        <w:rPr>
          <w:rFonts w:ascii="Arial" w:cs="Arial" w:eastAsia="Arial" w:hAnsi="Arial"/>
          <w:b/>
          <w:bCs/>
          <w:color w:val="1F3864"/>
          <w:sz w:val="32"/>
          <w:szCs w:val="32"/>
        </w:rPr>
        <w:t xml:space="preserve">1. Résumé Glissant par Diapositive</w:t>
      </w:r>
    </w:p>
    <w:p>
      <w:pPr>
        <w:spacing w:after="80" w:before="60"/>
      </w:pPr>
    </w:p>
    <w:p>
      <w:pPr>
        <w:spacing w:after="100" w:before="200"/>
      </w:pPr>
      <w:r>
        <w:rPr>
          <w:rFonts w:ascii="Arial" w:cs="Arial" w:eastAsia="Arial" w:hAnsi="Arial"/>
          <w:b/>
          <w:bCs/>
          <w:color w:val="C0392B"/>
          <w:sz w:val="24"/>
          <w:szCs w:val="24"/>
        </w:rPr>
        <w:t xml:space="preserve">Diapo 1 — Pourquoi un nouveau système de contrôles ?</w:t>
      </w:r>
    </w:p>
    <w:p>
      <w:pPr>
        <w:spacing w:after="60" w:before="60"/>
      </w:pPr>
      <w:r>
        <w:rPr>
          <w:rFonts w:ascii="Arial" w:cs="Arial" w:eastAsia="Arial" w:hAnsi="Arial"/>
          <w:sz w:val="22"/>
          <w:szCs w:val="22"/>
        </w:rPr>
        <w:t xml:space="preserve">Le SIMC vise deux objectifs stratégiques :</w:t>
      </w:r>
    </w:p>
    <w:p>
      <w:pPr>
        <w:pStyle w:val="ListParagraph"/>
        <w:numPr>
          <w:ilvl w:val="0"/>
          <w:numId w:val="2"/>
        </w:numPr>
        <w:spacing w:after="40" w:before="40"/>
      </w:pPr>
      <w:r>
        <w:rPr>
          <w:rFonts w:ascii="Arial" w:cs="Arial" w:eastAsia="Arial" w:hAnsi="Arial"/>
          <w:sz w:val="22"/>
          <w:szCs w:val="22"/>
        </w:rPr>
        <w:t xml:space="preserve">Retrouver une agilité industrielle dans les processus de contrôle : affinage des règles et seuils, réalisation des contrôles plus tôt, diminution des délais et coûts, simplification du passage en production.</w:t>
      </w:r>
    </w:p>
    <w:p>
      <w:pPr>
        <w:pStyle w:val="ListParagraph"/>
        <w:numPr>
          <w:ilvl w:val="0"/>
          <w:numId w:val="2"/>
        </w:numPr>
        <w:spacing w:after="40" w:before="40"/>
      </w:pPr>
      <w:r>
        <w:rPr>
          <w:rFonts w:ascii="Arial" w:cs="Arial" w:eastAsia="Arial" w:hAnsi="Arial"/>
          <w:sz w:val="22"/>
          <w:szCs w:val="22"/>
        </w:rPr>
        <w:t xml:space="preserve">Faciliter les audits et le reporting qualité : vision unifiée (métadonnées techniques &amp; fonctionnelles), automatisation des indicateurs, intégration dans le dispositif interne CINT.</w:t>
      </w:r>
    </w:p>
    <w:p>
      <w:pPr>
        <w:spacing w:after="0" w:before="80"/>
      </w:pPr>
    </w:p>
    <w:p>
      <w:pPr>
        <w:spacing w:after="100" w:before="200"/>
      </w:pPr>
      <w:r>
        <w:rPr>
          <w:rFonts w:ascii="Arial" w:cs="Arial" w:eastAsia="Arial" w:hAnsi="Arial"/>
          <w:b/>
          <w:bCs/>
          <w:color w:val="C0392B"/>
          <w:sz w:val="24"/>
          <w:szCs w:val="24"/>
        </w:rPr>
        <w:t xml:space="preserve">Diapo 2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b/>
                <w:bCs/>
                <w:sz w:val="20"/>
                <w:szCs w:val="20"/>
              </w:rPr>
              <w:t xml:space="preserve">Contrôle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Élément défini par le métier à contrôler. 1 contrôle métier peut nécessiter plusieurs requêtes.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rFonts w:ascii="Arial" w:cs="Arial" w:eastAsia="Arial" w:hAnsi="Arial"/>
                <w:b/>
                <w:bCs/>
                <w:sz w:val="20"/>
                <w:szCs w:val="20"/>
              </w:rPr>
              <w:t xml:space="preserve">Requête</w:t>
            </w:r>
          </w:p>
        </w:tc>
        <w:tc>
          <w:tcPr>
            <w:tcW w:type="dxa" w:w="6560"/>
            <w:tcBorders>
              <w:top w:val="single" w:color="CCCCCC" w:sz="1"/>
              <w:left w:val="single" w:color="CCCCCC" w:sz="1"/>
              <w:bottom w:val="single" w:color="CCCCCC" w:sz="1"/>
              <w:right w:val="single" w:color="CCCCCC" w:sz="1"/>
            </w:tcBorders>
            <w:shd w:fill="FAFBFF" w:val="clear"/>
            <w:tcMar>
              <w:top w:type="dxa" w:w="80"/>
              <w:left w:type="dxa" w:w="160"/>
              <w:bottom w:type="dxa" w:w="80"/>
              <w:right w:type="dxa" w:w="160"/>
            </w:tcMar>
          </w:tcPr>
          <w:p>
            <w:r>
              <w:rPr>
                <w:rFonts w:ascii="Arial" w:cs="Arial" w:eastAsia="Arial" w:hAnsi="Arial"/>
                <w:sz w:val="20"/>
                <w:szCs w:val="20"/>
              </w:rPr>
              <w:t xml:space="preserve">Exécution d’un programme (SQL ou autre) pour répondre à des critères définis.</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b/>
                <w:bCs/>
                <w:sz w:val="20"/>
                <w:szCs w:val="20"/>
              </w:rPr>
              <w:t xml:space="preserve">Résultat de contrôle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État OK/KO d’un contrôle avec le détail brut et le seuil d’acceptabilité.</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rFonts w:ascii="Arial" w:cs="Arial" w:eastAsia="Arial" w:hAnsi="Arial"/>
                <w:b/>
                <w:bCs/>
                <w:sz w:val="20"/>
                <w:szCs w:val="20"/>
              </w:rPr>
              <w:t xml:space="preserve">Suspicion d’anomalie (ESA)</w:t>
            </w:r>
          </w:p>
        </w:tc>
        <w:tc>
          <w:tcPr>
            <w:tcW w:type="dxa" w:w="6560"/>
            <w:tcBorders>
              <w:top w:val="single" w:color="CCCCCC" w:sz="1"/>
              <w:left w:val="single" w:color="CCCCCC" w:sz="1"/>
              <w:bottom w:val="single" w:color="CCCCCC" w:sz="1"/>
              <w:right w:val="single" w:color="CCCCCC" w:sz="1"/>
            </w:tcBorders>
            <w:shd w:fill="FAFBFF" w:val="clear"/>
            <w:tcMar>
              <w:top w:type="dxa" w:w="80"/>
              <w:left w:type="dxa" w:w="160"/>
              <w:bottom w:type="dxa" w:w="80"/>
              <w:right w:type="dxa" w:w="160"/>
            </w:tcMar>
          </w:tcPr>
          <w:p>
            <w:r>
              <w:rPr>
                <w:rFonts w:ascii="Arial" w:cs="Arial" w:eastAsia="Arial" w:hAnsi="Arial"/>
                <w:sz w:val="20"/>
                <w:szCs w:val="20"/>
              </w:rPr>
              <w:t xml:space="preserve">1 enregistrement ne respectant pas les critères définis par une requête.</w:t>
            </w:r>
          </w:p>
        </w:tc>
      </w:tr>
    </w:tbl>
    <w:p>
      <w:pPr>
        <w:spacing w:after="0" w:before="80"/>
      </w:pPr>
    </w:p>
    <w:p>
      <w:pPr>
        <w:spacing w:after="100" w:before="200"/>
      </w:pPr>
      <w:r>
        <w:rPr>
          <w:rFonts w:ascii="Arial" w:cs="Arial" w:eastAsia="Arial" w:hAnsi="Arial"/>
          <w:b/>
          <w:bCs/>
          <w:color w:val="C0392B"/>
          <w:sz w:val="24"/>
          <w:szCs w:val="24"/>
        </w:rPr>
        <w:t xml:space="preserve">Diapo 3 — Éléments SIMC (1/3)</w:t>
      </w:r>
    </w:p>
    <w:p>
      <w:pPr>
        <w:pStyle w:val="ListParagraph"/>
        <w:numPr>
          <w:ilvl w:val="0"/>
          <w:numId w:val="2"/>
        </w:numPr>
        <w:spacing w:after="40" w:before="40"/>
      </w:pPr>
      <w:r>
        <w:rPr>
          <w:rFonts w:ascii="Arial" w:cs="Arial" w:eastAsia="Arial" w:hAnsi="Arial"/>
          <w:sz w:val="22"/>
          <w:szCs w:val="22"/>
        </w:rPr>
        <w:t xml:space="preserve">Les contrôles peuvent s’exécuter sur toutes les couches du SID (ODS, DW, Datamart, IDW).</w:t>
      </w:r>
    </w:p>
    <w:p>
      <w:pPr>
        <w:pStyle w:val="ListParagraph"/>
        <w:numPr>
          <w:ilvl w:val="0"/>
          <w:numId w:val="2"/>
        </w:numPr>
        <w:spacing w:after="40" w:before="40"/>
      </w:pPr>
      <w:r>
        <w:rPr>
          <w:rFonts w:ascii="Arial" w:cs="Arial" w:eastAsia="Arial" w:hAnsi="Arial"/>
          <w:sz w:val="22"/>
          <w:szCs w:val="22"/>
        </w:rPr>
        <w:t xml:space="preserve">Exécution dès l’alimentation ou la réalimentation d’une table, avec conservation de chaque exécution.</w:t>
      </w:r>
    </w:p>
    <w:p>
      <w:pPr>
        <w:pStyle w:val="ListParagraph"/>
        <w:numPr>
          <w:ilvl w:val="0"/>
          <w:numId w:val="2"/>
        </w:numPr>
        <w:spacing w:after="40" w:before="40"/>
      </w:pPr>
      <w:r>
        <w:rPr>
          <w:rFonts w:ascii="Arial" w:cs="Arial" w:eastAsia="Arial" w:hAnsi="Arial"/>
          <w:sz w:val="22"/>
          <w:szCs w:val="22"/>
        </w:rPr>
        <w:t xml:space="preserve">Modes : stock, delta ou période donnée.</w:t>
      </w:r>
    </w:p>
    <w:p>
      <w:pPr>
        <w:pStyle w:val="ListParagraph"/>
        <w:numPr>
          <w:ilvl w:val="0"/>
          <w:numId w:val="2"/>
        </w:numPr>
        <w:spacing w:after="40" w:before="40"/>
      </w:pPr>
      <w:r>
        <w:rPr>
          <w:rFonts w:ascii="Arial" w:cs="Arial" w:eastAsia="Arial" w:hAnsi="Arial"/>
          <w:sz w:val="22"/>
          <w:szCs w:val="22"/>
        </w:rPr>
        <w:t xml:space="preserve">Consultation possible via SAS (tables d’administration, suivi, résultats, preuves).</w:t>
      </w:r>
    </w:p>
    <w:p>
      <w:pPr>
        <w:pStyle w:val="ListParagraph"/>
        <w:numPr>
          <w:ilvl w:val="0"/>
          <w:numId w:val="2"/>
        </w:numPr>
        <w:spacing w:after="40" w:before="40"/>
      </w:pPr>
      <w:r>
        <w:rPr>
          <w:rFonts w:ascii="Arial" w:cs="Arial" w:eastAsia="Arial" w:hAnsi="Arial"/>
          <w:sz w:val="22"/>
          <w:szCs w:val="22"/>
        </w:rPr>
        <w:t xml:space="preserve">Gestion des habilitations, alimentation CINTQDD, traçabilité des évolutions, conservation des données.</w:t>
      </w:r>
    </w:p>
    <w:p>
      <w:pPr>
        <w:pStyle w:val="ListParagraph"/>
        <w:numPr>
          <w:ilvl w:val="0"/>
          <w:numId w:val="2"/>
        </w:numPr>
        <w:spacing w:after="40" w:before="40"/>
      </w:pPr>
      <w:r>
        <w:rPr>
          <w:rFonts w:ascii="Arial" w:cs="Arial" w:eastAsia="Arial" w:hAnsi="Arial"/>
          <w:sz w:val="22"/>
          <w:szCs w:val="22"/>
        </w:rPr>
        <w:t xml:space="preserve">Tableau de bord et gestion du cycle de vie du contrôle (mode recette).</w:t>
      </w:r>
    </w:p>
    <w:p>
      <w:pPr>
        <w:spacing w:after="0" w:before="80"/>
      </w:pPr>
    </w:p>
    <w:p>
      <w:pPr>
        <w:spacing w:after="100" w:before="200"/>
      </w:pPr>
      <w:r>
        <w:rPr>
          <w:rFonts w:ascii="Arial" w:cs="Arial" w:eastAsia="Arial" w:hAnsi="Arial"/>
          <w:b/>
          <w:bCs/>
          <w:color w:val="C0392B"/>
          <w:sz w:val="24"/>
          <w:szCs w:val="24"/>
        </w:rPr>
        <w:t xml:space="preserve">Diapo 4 — Workflow de création d’un contrôle</w:t>
      </w:r>
    </w:p>
    <w:p>
      <w:pPr>
        <w:spacing w:after="60" w:before="60"/>
      </w:pPr>
      <w:r>
        <w:rPr>
          <w:rFonts w:ascii="Arial" w:cs="Arial" w:eastAsia="Arial" w:hAnsi="Arial"/>
          <w:sz w:val="22"/>
          <w:szCs w:val="22"/>
        </w:rPr>
        <w:t xml:space="preserve">Trois acteurs : MOA, MOE Métier, MOE SID. Deux voies d’entrée :</w:t>
      </w:r>
    </w:p>
    <w:p>
      <w:pPr>
        <w:pStyle w:val="ListParagraph"/>
        <w:numPr>
          <w:ilvl w:val="0"/>
          <w:numId w:val="2"/>
        </w:numPr>
        <w:spacing w:after="40" w:before="40"/>
      </w:pPr>
      <w:r>
        <w:rPr>
          <w:rFonts w:ascii="Arial" w:cs="Arial" w:eastAsia="Arial" w:hAnsi="Arial"/>
          <w:sz w:val="22"/>
          <w:szCs w:val="22"/>
        </w:rPr>
        <w:t xml:space="preserve">La MOA ou la MOE Métier expriment un besoin de contrôle via RUBIS/SARA ou fichier Excel/PowerPoint.</w:t>
      </w:r>
    </w:p>
    <w:p>
      <w:pPr>
        <w:pStyle w:val="ListParagraph"/>
        <w:numPr>
          <w:ilvl w:val="0"/>
          <w:numId w:val="2"/>
        </w:numPr>
        <w:spacing w:after="40" w:before="40"/>
      </w:pPr>
      <w:r>
        <w:rPr>
          <w:rFonts w:ascii="Arial" w:cs="Arial" w:eastAsia="Arial" w:hAnsi="Arial"/>
          <w:sz w:val="22"/>
          <w:szCs w:val="22"/>
        </w:rPr>
        <w:t xml:space="preserve">La MOE SID peut elle-même exprimer un besoin de contrôle interne.</w:t>
      </w:r>
    </w:p>
    <w:p>
      <w:pPr>
        <w:spacing w:after="60" w:before="60"/>
      </w:pPr>
      <w:r>
        <w:rPr>
          <w:rFonts w:ascii="Arial" w:cs="Arial" w:eastAsia="Arial" w:hAnsi="Arial"/>
          <w:sz w:val="22"/>
          <w:szCs w:val="22"/>
        </w:rPr>
        <w:t xml:space="preserve">La MOE SID ajoute le contrôle via l’IHM SIMC (step 2), qui crée le contrôle dans Vertica (step 3).</w:t>
      </w:r>
    </w:p>
    <w:p>
      <w:pPr>
        <w:spacing w:after="0" w:before="80"/>
      </w:pPr>
    </w:p>
    <w:p>
      <w:pPr>
        <w:spacing w:after="100" w:before="200"/>
      </w:pPr>
      <w:r>
        <w:rPr>
          <w:rFonts w:ascii="Arial" w:cs="Arial" w:eastAsia="Arial" w:hAnsi="Arial"/>
          <w:b/>
          <w:bCs/>
          <w:color w:val="C0392B"/>
          <w:sz w:val="24"/>
          <w:szCs w:val="24"/>
        </w:rPr>
        <w:t xml:space="preserve">Diapo 5 — Macro-Architecture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b/>
                <w:bCs/>
                <w:sz w:val="20"/>
                <w:szCs w:val="20"/>
              </w:rPr>
              <w:t xml:space="preserve">Alimentation (entrées)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RUBIS/SARA, Formulaire, IHM MAD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rFonts w:ascii="Arial" w:cs="Arial" w:eastAsia="Arial" w:hAnsi="Arial"/>
                <w:b/>
                <w:bCs/>
                <w:sz w:val="20"/>
                <w:szCs w:val="20"/>
              </w:rPr>
              <w:t xml:space="preserve">Exécution (noyau)</w:t>
            </w:r>
          </w:p>
        </w:tc>
        <w:tc>
          <w:tcPr>
            <w:tcW w:type="dxa" w:w="6560"/>
            <w:tcBorders>
              <w:top w:val="single" w:color="CCCCCC" w:sz="1"/>
              <w:left w:val="single" w:color="CCCCCC" w:sz="1"/>
              <w:bottom w:val="single" w:color="CCCCCC" w:sz="1"/>
              <w:right w:val="single" w:color="CCCCCC" w:sz="1"/>
            </w:tcBorders>
            <w:shd w:fill="FAFBFF" w:val="clear"/>
            <w:tcMar>
              <w:top w:type="dxa" w:w="80"/>
              <w:left w:type="dxa" w:w="160"/>
              <w:bottom w:type="dxa" w:w="80"/>
              <w:right w:type="dxa" w:w="160"/>
            </w:tcMar>
          </w:tcPr>
          <w:p>
            <w:r>
              <w:rPr>
                <w:rFonts w:ascii="Arial" w:cs="Arial" w:eastAsia="Arial" w:hAnsi="Arial"/>
                <w:sz w:val="20"/>
                <w:szCs w:val="20"/>
              </w:rPr>
              <w:t xml:space="preserve">Planning, Exécution des contrôles, Extraction des suspicions d’anomalies</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b/>
                <w:bCs/>
                <w:sz w:val="20"/>
                <w:szCs w:val="20"/>
              </w:rPr>
              <w:t xml:space="preserve">Restitution (sorties)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Alerte mail, Création SARA, Rapport BO, IHM MAD, Suspicion Anomalie, CINT/RefQDD</w:t>
            </w:r>
          </w:p>
        </w:tc>
      </w:tr>
    </w:tbl>
    <w:p>
      <w:pPr>
        <w:spacing w:after="0" w:before="80"/>
      </w:pPr>
    </w:p>
    <w:p>
      <w:pPr>
        <w:spacing w:after="100" w:before="200"/>
      </w:pPr>
      <w:r>
        <w:rPr>
          <w:rFonts w:ascii="Arial" w:cs="Arial" w:eastAsia="Arial" w:hAnsi="Arial"/>
          <w:b/>
          <w:bCs/>
          <w:color w:val="C0392B"/>
          <w:sz w:val="24"/>
          <w:szCs w:val="24"/>
        </w:rPr>
        <w:t xml:space="preserve">Diapo 6 — Modélisation de la base de données</w:t>
      </w:r>
    </w:p>
    <w:p>
      <w:pPr>
        <w:pStyle w:val="ListParagraph"/>
        <w:numPr>
          <w:ilvl w:val="0"/>
          <w:numId w:val="2"/>
        </w:numPr>
        <w:spacing w:after="40" w:before="40"/>
      </w:pPr>
      <w:r>
        <w:rPr>
          <w:rFonts w:ascii="Arial" w:cs="Arial" w:eastAsia="Arial" w:hAnsi="Arial"/>
          <w:sz w:val="22"/>
          <w:szCs w:val="22"/>
        </w:rPr>
        <w:t xml:space="preserve">Table Contrôle : caractéristiques des contrôles (1,n vers Requête via « composer »).</w:t>
      </w:r>
    </w:p>
    <w:p>
      <w:pPr>
        <w:pStyle w:val="ListParagraph"/>
        <w:numPr>
          <w:ilvl w:val="0"/>
          <w:numId w:val="2"/>
        </w:numPr>
        <w:spacing w:after="40" w:before="40"/>
      </w:pPr>
      <w:r>
        <w:rPr>
          <w:rFonts w:ascii="Arial" w:cs="Arial" w:eastAsia="Arial" w:hAnsi="Arial"/>
          <w:sz w:val="22"/>
          <w:szCs w:val="22"/>
        </w:rPr>
        <w:t xml:space="preserve">Table Requête : scripts SQL associés aux contrôles (0,n vers Résultat via « produire »).</w:t>
      </w:r>
    </w:p>
    <w:p>
      <w:pPr>
        <w:pStyle w:val="ListParagraph"/>
        <w:numPr>
          <w:ilvl w:val="0"/>
          <w:numId w:val="2"/>
        </w:numPr>
        <w:spacing w:after="40" w:before="40"/>
      </w:pPr>
      <w:r>
        <w:rPr>
          <w:rFonts w:ascii="Arial" w:cs="Arial" w:eastAsia="Arial" w:hAnsi="Arial"/>
          <w:sz w:val="22"/>
          <w:szCs w:val="22"/>
        </w:rPr>
        <w:t xml:space="preserve">Table Résultat : résultats numériques ou booléens des exécutions (0,n vers Anomalie via « extraire »).</w:t>
      </w:r>
    </w:p>
    <w:p>
      <w:pPr>
        <w:pStyle w:val="ListParagraph"/>
        <w:numPr>
          <w:ilvl w:val="0"/>
          <w:numId w:val="2"/>
        </w:numPr>
        <w:spacing w:after="40" w:before="40"/>
      </w:pPr>
      <w:r>
        <w:rPr>
          <w:rFonts w:ascii="Arial" w:cs="Arial" w:eastAsia="Arial" w:hAnsi="Arial"/>
          <w:sz w:val="22"/>
          <w:szCs w:val="22"/>
        </w:rPr>
        <w:t xml:space="preserve">Table Anomalie : suspicions d’anomalie pour les contrôles KO.</w:t>
      </w:r>
    </w:p>
    <w:p>
      <w:pPr>
        <w:pStyle w:val="ListParagraph"/>
        <w:numPr>
          <w:ilvl w:val="0"/>
          <w:numId w:val="2"/>
        </w:numPr>
        <w:spacing w:after="40" w:before="40"/>
      </w:pPr>
      <w:r>
        <w:rPr>
          <w:rFonts w:ascii="Arial" w:cs="Arial" w:eastAsia="Arial" w:hAnsi="Arial"/>
          <w:sz w:val="22"/>
          <w:szCs w:val="22"/>
        </w:rPr>
        <w:t xml:space="preserve">Table Planification : planning d’exécution (jours ouvrés, semaine, mois, trimestre, année).</w:t>
      </w:r>
    </w:p>
    <w:p>
      <w:pPr>
        <w:spacing w:after="0" w:before="80"/>
      </w:pPr>
    </w:p>
    <w:p>
      <w:pPr>
        <w:spacing w:after="100" w:before="200"/>
      </w:pPr>
      <w:r>
        <w:rPr>
          <w:rFonts w:ascii="Arial" w:cs="Arial" w:eastAsia="Arial" w:hAnsi="Arial"/>
          <w:b/>
          <w:bCs/>
          <w:color w:val="C0392B"/>
          <w:sz w:val="24"/>
          <w:szCs w:val="24"/>
        </w:rPr>
        <w:t xml:space="preserve">Diapos 7 &amp; 8 — Cinématique des requêtes</w:t>
      </w:r>
    </w:p>
    <w:p>
      <w:pPr>
        <w:spacing w:after="60" w:before="60"/>
      </w:pPr>
      <w:r>
        <w:rPr>
          <w:rFonts w:ascii="Arial" w:cs="Arial" w:eastAsia="Arial" w:hAnsi="Arial"/>
          <w:sz w:val="22"/>
          <w:szCs w:val="22"/>
        </w:rPr>
        <w:t xml:space="preserve">Un contrôle s’exécute via 4 types de requêtes enchaînées, en BDD Vertica :</w:t>
      </w:r>
    </w:p>
    <w:p>
      <w:pPr>
        <w:pStyle w:val="ListParagraph"/>
        <w:numPr>
          <w:ilvl w:val="0"/>
          <w:numId w:val="2"/>
        </w:numPr>
        <w:spacing w:after="40" w:before="40"/>
      </w:pPr>
      <w:r>
        <w:rPr>
          <w:rFonts w:ascii="Arial" w:cs="Arial" w:eastAsia="Arial" w:hAnsi="Arial"/>
          <w:sz w:val="22"/>
          <w:szCs w:val="22"/>
        </w:rPr>
        <w:t xml:space="preserve">Requête 1 [Relevé] : compte les enregistrements hors critères (ex : nom destinataire non renseigné).</w:t>
      </w:r>
    </w:p>
    <w:p>
      <w:pPr>
        <w:pStyle w:val="ListParagraph"/>
        <w:numPr>
          <w:ilvl w:val="0"/>
          <w:numId w:val="2"/>
        </w:numPr>
        <w:spacing w:after="40" w:before="40"/>
      </w:pPr>
      <w:r>
        <w:rPr>
          <w:rFonts w:ascii="Arial" w:cs="Arial" w:eastAsia="Arial" w:hAnsi="Arial"/>
          <w:sz w:val="22"/>
          <w:szCs w:val="22"/>
        </w:rPr>
        <w:t xml:space="preserve">Requête 2 [Relevé] : calcule le taux d’anomalie.</w:t>
      </w:r>
    </w:p>
    <w:p>
      <w:pPr>
        <w:pStyle w:val="ListParagraph"/>
        <w:numPr>
          <w:ilvl w:val="0"/>
          <w:numId w:val="2"/>
        </w:numPr>
        <w:spacing w:after="40" w:before="40"/>
      </w:pPr>
      <w:r>
        <w:rPr>
          <w:rFonts w:ascii="Arial" w:cs="Arial" w:eastAsia="Arial" w:hAnsi="Arial"/>
          <w:sz w:val="22"/>
          <w:szCs w:val="22"/>
        </w:rPr>
        <w:t xml:space="preserve">Requête 3 [Test/PREA] : vérifie si le résultat dépasse le seuil d’acceptabilité (OK/KO).</w:t>
      </w:r>
    </w:p>
    <w:p>
      <w:pPr>
        <w:pStyle w:val="ListParagraph"/>
        <w:numPr>
          <w:ilvl w:val="0"/>
          <w:numId w:val="2"/>
        </w:numPr>
        <w:spacing w:after="40" w:before="40"/>
      </w:pPr>
      <w:r>
        <w:rPr>
          <w:rFonts w:ascii="Arial" w:cs="Arial" w:eastAsia="Arial" w:hAnsi="Arial"/>
          <w:sz w:val="22"/>
          <w:szCs w:val="22"/>
        </w:rPr>
        <w:t xml:space="preserve">Requête 4 [Extraction/EA] : extrait les lignes en suspicion d’anomalie.</w:t>
      </w:r>
    </w:p>
    <w:p>
      <w:pPr>
        <w:spacing w:after="0" w:before="80"/>
      </w:pPr>
    </w:p>
    <w:p>
      <w:pPr>
        <w:spacing w:after="100" w:before="200"/>
      </w:pPr>
      <w:r>
        <w:rPr>
          <w:rFonts w:ascii="Arial" w:cs="Arial" w:eastAsia="Arial" w:hAnsi="Arial"/>
          <w:b/>
          <w:bCs/>
          <w:color w:val="C0392B"/>
          <w:sz w:val="24"/>
          <w:szCs w:val="24"/>
        </w:rPr>
        <w:t xml:space="preserve">Diapo 9 — Exécution Vertica — Exemple concret</w:t>
      </w:r>
    </w:p>
    <w:p>
      <w:pPr>
        <w:spacing w:after="60" w:before="60"/>
      </w:pPr>
      <w:r>
        <w:rPr>
          <w:rFonts w:ascii="Arial" w:cs="Arial" w:eastAsia="Arial" w:hAnsi="Arial"/>
          <w:sz w:val="22"/>
          <w:szCs w:val="22"/>
        </w:rPr>
        <w:t xml:space="preserve">Contrôle : présence du nom du destinataire pour ACM IARD SA dans les mouvements financiers.</w:t>
      </w:r>
    </w:p>
    <w:p>
      <w:pPr>
        <w:pStyle w:val="ListParagraph"/>
        <w:numPr>
          <w:ilvl w:val="0"/>
          <w:numId w:val="2"/>
        </w:numPr>
        <w:spacing w:after="40" w:before="40"/>
      </w:pPr>
      <w:r>
        <w:rPr>
          <w:rFonts w:ascii="Arial" w:cs="Arial" w:eastAsia="Arial" w:hAnsi="Arial"/>
          <w:sz w:val="22"/>
          <w:szCs w:val="22"/>
        </w:rPr>
        <w:t xml:space="preserve">4 requêtes exécutées sur Vertica (CTL_TIE_000006 A/B/C/D).</w:t>
      </w:r>
    </w:p>
    <w:p>
      <w:pPr>
        <w:pStyle w:val="ListParagraph"/>
        <w:numPr>
          <w:ilvl w:val="0"/>
          <w:numId w:val="2"/>
        </w:numPr>
        <w:spacing w:after="40" w:before="40"/>
      </w:pPr>
      <w:r>
        <w:rPr>
          <w:rFonts w:ascii="Arial" w:cs="Arial" w:eastAsia="Arial" w:hAnsi="Arial"/>
          <w:sz w:val="22"/>
          <w:szCs w:val="22"/>
        </w:rPr>
        <w:t xml:space="preserve">Résultats : 2 erreurs détectées, taux de 7.6e-7, test KO, 4 suspicions d’anomalies extraites.</w:t>
      </w:r>
    </w:p>
    <w:p>
      <w:pPr>
        <w:spacing w:after="0" w:before="80"/>
      </w:pPr>
    </w:p>
    <w:p>
      <w:pPr>
        <w:spacing w:after="100" w:before="200"/>
      </w:pPr>
      <w:r>
        <w:rPr>
          <w:rFonts w:ascii="Arial" w:cs="Arial" w:eastAsia="Arial" w:hAnsi="Arial"/>
          <w:b/>
          <w:bCs/>
          <w:color w:val="C0392B"/>
          <w:sz w:val="24"/>
          <w:szCs w:val="24"/>
        </w:rPr>
        <w:t xml:space="preserve">Diapos 10 &amp; 11 — Nommage des contrôles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b/>
                <w:bCs/>
                <w:sz w:val="20"/>
                <w:szCs w:val="20"/>
              </w:rPr>
              <w:t xml:space="preserve">Nommage MOA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Sociétés (3 chiffres) + Entité (3 chiffres) + Incrément (6 chiffres). Ex : GACM / ACM VIE SA / 000001</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rFonts w:ascii="Arial" w:cs="Arial" w:eastAsia="Arial" w:hAnsi="Arial"/>
                <w:b/>
                <w:bCs/>
                <w:sz w:val="20"/>
                <w:szCs w:val="20"/>
              </w:rPr>
              <w:t xml:space="preserve">Nommage MOE</w:t>
            </w:r>
          </w:p>
        </w:tc>
        <w:tc>
          <w:tcPr>
            <w:tcW w:type="dxa" w:w="6560"/>
            <w:tcBorders>
              <w:top w:val="single" w:color="CCCCCC" w:sz="1"/>
              <w:left w:val="single" w:color="CCCCCC" w:sz="1"/>
              <w:bottom w:val="single" w:color="CCCCCC" w:sz="1"/>
              <w:right w:val="single" w:color="CCCCCC" w:sz="1"/>
            </w:tcBorders>
            <w:shd w:fill="FAFBFF" w:val="clear"/>
            <w:tcMar>
              <w:top w:type="dxa" w:w="80"/>
              <w:left w:type="dxa" w:w="160"/>
              <w:bottom w:type="dxa" w:w="80"/>
              <w:right w:type="dxa" w:w="160"/>
            </w:tcMar>
          </w:tcPr>
          <w:p>
            <w:r>
              <w:rPr>
                <w:rFonts w:ascii="Arial" w:cs="Arial" w:eastAsia="Arial" w:hAnsi="Arial"/>
                <w:sz w:val="20"/>
                <w:szCs w:val="20"/>
              </w:rPr>
              <w:t xml:space="preserve">Contrôle Technique (999) + ID du BIB (3 chiffres) + Incrément (6 chiffres). Ex : 999 / 042 / 000001</w:t>
            </w:r>
          </w:p>
        </w:tc>
      </w:tr>
    </w:tbl>
    <w:p>
      <w:pPr>
        <w:spacing w:after="0" w:before="80"/>
      </w:pPr>
    </w:p>
    <w:p>
      <w:pPr>
        <w:spacing w:after="100" w:before="200"/>
      </w:pPr>
      <w:r>
        <w:rPr>
          <w:rFonts w:ascii="Arial" w:cs="Arial" w:eastAsia="Arial" w:hAnsi="Arial"/>
          <w:b/>
          <w:bCs/>
          <w:color w:val="C0392B"/>
          <w:sz w:val="24"/>
          <w:szCs w:val="24"/>
        </w:rPr>
        <w:t xml:space="preserve">Diapos 12, 13, 14, 15 — Architecture d’intégration (Export/Import)</w:t>
      </w:r>
    </w:p>
    <w:p>
      <w:pPr>
        <w:spacing w:after="60" w:before="60"/>
      </w:pPr>
      <w:r>
        <w:rPr>
          <w:rFonts w:ascii="Arial" w:cs="Arial" w:eastAsia="Arial" w:hAnsi="Arial"/>
          <w:sz w:val="22"/>
          <w:szCs w:val="22"/>
        </w:rPr>
        <w:t xml:space="preserve">Schéma en 4 étapes via SQL Server, BCP/RTL et Vertica :</w:t>
      </w:r>
    </w:p>
    <w:p>
      <w:pPr>
        <w:pStyle w:val="ListParagraph"/>
        <w:numPr>
          <w:ilvl w:val="0"/>
          <w:numId w:val="2"/>
        </w:numPr>
        <w:spacing w:after="40" w:before="40"/>
      </w:pPr>
      <w:r>
        <w:rPr>
          <w:rFonts w:ascii="Arial" w:cs="Arial" w:eastAsia="Arial" w:hAnsi="Arial"/>
          <w:sz w:val="22"/>
          <w:szCs w:val="22"/>
        </w:rPr>
        <w:t xml:space="preserve">Étape 1 : le modèle SQL Server (tables TUCR/TUCL/TUCZ) est déployé via Stambia vers les environnements ZJ, DJ, DM.</w:t>
      </w:r>
    </w:p>
    <w:p>
      <w:pPr>
        <w:pStyle w:val="ListParagraph"/>
        <w:numPr>
          <w:ilvl w:val="0"/>
          <w:numId w:val="2"/>
        </w:numPr>
        <w:spacing w:after="40" w:before="40"/>
      </w:pPr>
      <w:r>
        <w:rPr>
          <w:rFonts w:ascii="Arial" w:cs="Arial" w:eastAsia="Arial" w:hAnsi="Arial"/>
          <w:sz w:val="22"/>
          <w:szCs w:val="22"/>
        </w:rPr>
        <w:t xml:space="preserve">Étape 2 : filtrage des données par environnement vers tables de travail (6 tables).</w:t>
      </w:r>
    </w:p>
    <w:p>
      <w:pPr>
        <w:pStyle w:val="ListParagraph"/>
        <w:numPr>
          <w:ilvl w:val="0"/>
          <w:numId w:val="2"/>
        </w:numPr>
        <w:spacing w:after="40" w:before="40"/>
      </w:pPr>
      <w:r>
        <w:rPr>
          <w:rFonts w:ascii="Arial" w:cs="Arial" w:eastAsia="Arial" w:hAnsi="Arial"/>
          <w:sz w:val="22"/>
          <w:szCs w:val="22"/>
        </w:rPr>
        <w:t xml:space="preserve">Étape 3 : export BCP + injection RTL vers les tables de load SIADODSTMP.</w:t>
      </w:r>
    </w:p>
    <w:p>
      <w:pPr>
        <w:pStyle w:val="ListParagraph"/>
        <w:numPr>
          <w:ilvl w:val="0"/>
          <w:numId w:val="2"/>
        </w:numPr>
        <w:spacing w:after="40" w:before="40"/>
      </w:pPr>
      <w:r>
        <w:rPr>
          <w:rFonts w:ascii="Arial" w:cs="Arial" w:eastAsia="Arial" w:hAnsi="Arial"/>
          <w:sz w:val="22"/>
          <w:szCs w:val="22"/>
        </w:rPr>
        <w:t xml:space="preserve">Étape 4 : alimentation du modèle Vertica (IBIQ_LOACTLFTR_500_DIM) via Stambia.</w:t>
      </w:r>
    </w:p>
    <w:p>
      <w:pPr>
        <w:spacing w:after="60" w:before="60"/>
      </w:pPr>
      <w:r>
        <w:rPr>
          <w:rFonts w:ascii="Arial" w:cs="Arial" w:eastAsia="Arial" w:hAnsi="Arial"/>
          <w:sz w:val="22"/>
          <w:szCs w:val="22"/>
        </w:rPr>
        <w:t xml:space="preserve">Import en sens inverse : Vertica → tables de travail → BCP → SQL Server (créneau 8h après tous les projets).</w:t>
      </w:r>
    </w:p>
    <w:p>
      <w:pPr>
        <w:pBdr>
          <w:bottom w:val="single" w:color="2E5090" w:sz="4" w:space="1"/>
        </w:pBdr>
        <w:spacing w:after="160" w:before="160"/>
      </w:pPr>
    </w:p>
    <w:p>
      <w:pPr>
        <w:pStyle w:val="Heading1"/>
      </w:pPr>
      <w:r>
        <w:rPr>
          <w:rFonts w:ascii="Arial" w:cs="Arial" w:eastAsia="Arial" w:hAnsi="Arial"/>
          <w:b/>
          <w:bCs/>
          <w:color w:val="1F3864"/>
          <w:sz w:val="32"/>
          <w:szCs w:val="32"/>
        </w:rPr>
        <w:t xml:space="preserve">2. L’Essentiel à Retenir</w:t>
      </w:r>
    </w:p>
    <w:p>
      <w:pPr>
        <w:spacing w:after="80" w:before="60"/>
      </w:pPr>
    </w:p>
    <w:p>
      <w:pPr>
        <w:pStyle w:val="ListParagraph"/>
        <w:numPr>
          <w:ilvl w:val="0"/>
          <w:numId w:val="2"/>
        </w:numPr>
        <w:spacing w:after="40" w:before="40"/>
      </w:pPr>
      <w:r>
        <w:rPr>
          <w:rFonts w:ascii="Arial" w:cs="Arial" w:eastAsia="Arial" w:hAnsi="Arial"/>
          <w:sz w:val="22"/>
          <w:szCs w:val="22"/>
        </w:rPr>
        <w:t xml:space="preserve">Le SIMC industrialise la qualité des données : passage d’un contrôle manuel/artisanal à un système automatisé, tracé, schedulé.</w:t>
      </w:r>
    </w:p>
    <w:p>
      <w:pPr>
        <w:pStyle w:val="ListParagraph"/>
        <w:numPr>
          <w:ilvl w:val="0"/>
          <w:numId w:val="2"/>
        </w:numPr>
        <w:spacing w:after="40" w:before="40"/>
      </w:pPr>
      <w:r>
        <w:rPr>
          <w:rFonts w:ascii="Arial" w:cs="Arial" w:eastAsia="Arial" w:hAnsi="Arial"/>
          <w:sz w:val="22"/>
          <w:szCs w:val="22"/>
        </w:rPr>
        <w:t xml:space="preserve">Le moteur d’exécution repose intégralement sur Vertica pour les contrôles, SQL Server pour le paramétrage et la gestion.</w:t>
      </w:r>
    </w:p>
    <w:p>
      <w:pPr>
        <w:pStyle w:val="ListParagraph"/>
        <w:numPr>
          <w:ilvl w:val="0"/>
          <w:numId w:val="2"/>
        </w:numPr>
        <w:spacing w:after="40" w:before="40"/>
      </w:pPr>
      <w:r>
        <w:rPr>
          <w:rFonts w:ascii="Arial" w:cs="Arial" w:eastAsia="Arial" w:hAnsi="Arial"/>
          <w:sz w:val="22"/>
          <w:szCs w:val="22"/>
        </w:rPr>
        <w:t xml:space="preserve">Le concept clé est la séparation contrôle / requête / résultat / anomalie : chaque niveau est indépendant et traçable.</w:t>
      </w:r>
    </w:p>
    <w:p>
      <w:pPr>
        <w:pStyle w:val="ListParagraph"/>
        <w:numPr>
          <w:ilvl w:val="0"/>
          <w:numId w:val="2"/>
        </w:numPr>
        <w:spacing w:after="40" w:before="40"/>
      </w:pPr>
      <w:r>
        <w:rPr>
          <w:rFonts w:ascii="Arial" w:cs="Arial" w:eastAsia="Arial" w:hAnsi="Arial"/>
          <w:sz w:val="22"/>
          <w:szCs w:val="22"/>
        </w:rPr>
        <w:t xml:space="preserve">Le nommage structuré (MOA &amp; MOE) garantit l’unicité et la lisibilité des contrôles à grande échelle.</w:t>
      </w:r>
    </w:p>
    <w:p>
      <w:pPr>
        <w:pStyle w:val="ListParagraph"/>
        <w:numPr>
          <w:ilvl w:val="0"/>
          <w:numId w:val="2"/>
        </w:numPr>
        <w:spacing w:after="40" w:before="40"/>
      </w:pPr>
      <w:r>
        <w:rPr>
          <w:rFonts w:ascii="Arial" w:cs="Arial" w:eastAsia="Arial" w:hAnsi="Arial"/>
          <w:sz w:val="22"/>
          <w:szCs w:val="22"/>
        </w:rPr>
        <w:t xml:space="preserve">L’architecture de synchronisation SQL Server ↔ Vertica repose sur des jobs Stambia + BCP + RTL, un mécanisme industriel mais complexe.</w:t>
      </w:r>
    </w:p>
    <w:p>
      <w:pPr>
        <w:pBdr>
          <w:bottom w:val="single" w:color="2E5090" w:sz="4" w:space="1"/>
        </w:pBdr>
        <w:spacing w:after="160" w:before="160"/>
      </w:pPr>
    </w:p>
    <w:p>
      <w:pPr>
        <w:pStyle w:val="Heading1"/>
      </w:pPr>
      <w:r>
        <w:rPr>
          <w:rFonts w:ascii="Arial" w:cs="Arial" w:eastAsia="Arial" w:hAnsi="Arial"/>
          <w:b/>
          <w:bCs/>
          <w:color w:val="1F3864"/>
          <w:sz w:val="32"/>
          <w:szCs w:val="32"/>
        </w:rPr>
        <w:t xml:space="preserve">3. Analyse Critique et Points de Vigilance</w:t>
      </w:r>
    </w:p>
    <w:p>
      <w:pPr>
        <w:spacing w:after="80" w:before="60"/>
      </w:pPr>
    </w:p>
    <w:p>
      <w:pPr>
        <w:pStyle w:val="Heading2"/>
      </w:pPr>
      <w:r>
        <w:rPr>
          <w:rFonts w:ascii="Arial" w:cs="Arial" w:eastAsia="Arial" w:hAnsi="Arial"/>
          <w:b/>
          <w:bCs/>
          <w:color w:val="2E5090"/>
          <w:sz w:val="26"/>
          <w:szCs w:val="26"/>
        </w:rPr>
        <w:t xml:space="preserve">3.1 Points forts</w:t>
      </w:r>
    </w:p>
    <w:p>
      <w:pPr>
        <w:pStyle w:val="ListParagraph"/>
        <w:numPr>
          <w:ilvl w:val="0"/>
          <w:numId w:val="2"/>
        </w:numPr>
        <w:spacing w:after="40" w:before="40"/>
      </w:pPr>
      <w:r>
        <w:rPr>
          <w:rFonts w:ascii="Arial" w:cs="Arial" w:eastAsia="Arial" w:hAnsi="Arial"/>
          <w:sz w:val="22"/>
          <w:szCs w:val="22"/>
        </w:rPr>
        <w:t xml:space="preserve">Vision bout-en-bout claire : de l’expression du besoin métier jusqu’à la restitution des anomalies.</w:t>
      </w:r>
    </w:p>
    <w:p>
      <w:pPr>
        <w:pStyle w:val="ListParagraph"/>
        <w:numPr>
          <w:ilvl w:val="0"/>
          <w:numId w:val="2"/>
        </w:numPr>
        <w:spacing w:after="40" w:before="40"/>
      </w:pPr>
      <w:r>
        <w:rPr>
          <w:rFonts w:ascii="Arial" w:cs="Arial" w:eastAsia="Arial" w:hAnsi="Arial"/>
          <w:sz w:val="22"/>
          <w:szCs w:val="22"/>
        </w:rPr>
        <w:t xml:space="preserve">Modèle de données sobre et élégant (5 entités) malgré la complexité fonctionnelle.</w:t>
      </w:r>
    </w:p>
    <w:p>
      <w:pPr>
        <w:pStyle w:val="ListParagraph"/>
        <w:numPr>
          <w:ilvl w:val="0"/>
          <w:numId w:val="2"/>
        </w:numPr>
        <w:spacing w:after="40" w:before="40"/>
      </w:pPr>
      <w:r>
        <w:rPr>
          <w:rFonts w:ascii="Arial" w:cs="Arial" w:eastAsia="Arial" w:hAnsi="Arial"/>
          <w:sz w:val="22"/>
          <w:szCs w:val="22"/>
        </w:rPr>
        <w:t xml:space="preserve">Approche de cinématique par requêtes (Relevé → Test → Extraction) bien typée et séquentielle.</w:t>
      </w:r>
    </w:p>
    <w:p>
      <w:pPr>
        <w:pStyle w:val="ListParagraph"/>
        <w:numPr>
          <w:ilvl w:val="0"/>
          <w:numId w:val="2"/>
        </w:numPr>
        <w:spacing w:after="40" w:before="40"/>
      </w:pPr>
      <w:r>
        <w:rPr>
          <w:rFonts w:ascii="Arial" w:cs="Arial" w:eastAsia="Arial" w:hAnsi="Arial"/>
          <w:sz w:val="22"/>
          <w:szCs w:val="22"/>
        </w:rPr>
        <w:t xml:space="preserve">Intégration dans l’écosystème existant (CINT, SARA, BO) sans rupture technologique.</w:t>
      </w:r>
    </w:p>
    <w:p>
      <w:pPr>
        <w:spacing w:after="0" w:before="80"/>
      </w:pPr>
    </w:p>
    <w:p>
      <w:pPr>
        <w:pStyle w:val="Heading2"/>
      </w:pPr>
      <w:r>
        <w:rPr>
          <w:rFonts w:ascii="Arial" w:cs="Arial" w:eastAsia="Arial" w:hAnsi="Arial"/>
          <w:b/>
          <w:bCs/>
          <w:color w:val="2E5090"/>
          <w:sz w:val="26"/>
          <w:szCs w:val="26"/>
        </w:rPr>
        <w:t xml:space="preserve">3.2 Points de vigilance</w:t>
      </w:r>
    </w:p>
    <w:p>
      <w:pPr>
        <w:pStyle w:val="ListParagraph"/>
        <w:numPr>
          <w:ilvl w:val="0"/>
          <w:numId w:val="2"/>
        </w:numPr>
        <w:spacing w:after="40" w:before="40"/>
      </w:pPr>
      <w:r>
        <w:rPr>
          <w:rFonts w:ascii="Arial" w:cs="Arial" w:eastAsia="Arial" w:hAnsi="Arial"/>
          <w:sz w:val="22"/>
          <w:szCs w:val="22"/>
        </w:rPr>
        <w:t xml:space="preserve">Complexité de l’intégration SQL Server ↔ Vertica : la chaîne Stambia + BCP + RTL est fragile et difficile à maintenir. Un incident sur un maillon peut bloquer tous les contrôles.</w:t>
      </w:r>
    </w:p>
    <w:p>
      <w:pPr>
        <w:pStyle w:val="ListParagraph"/>
        <w:numPr>
          <w:ilvl w:val="0"/>
          <w:numId w:val="2"/>
        </w:numPr>
        <w:spacing w:after="40" w:before="40"/>
      </w:pPr>
      <w:r>
        <w:rPr>
          <w:rFonts w:ascii="Arial" w:cs="Arial" w:eastAsia="Arial" w:hAnsi="Arial"/>
          <w:sz w:val="22"/>
          <w:szCs w:val="22"/>
        </w:rPr>
        <w:t xml:space="preserve">Dépendance forte à Stambia : la maintenance, les montees en version et les évolutions de schéma impliquent des re-développements.</w:t>
      </w:r>
    </w:p>
    <w:p>
      <w:pPr>
        <w:pStyle w:val="ListParagraph"/>
        <w:numPr>
          <w:ilvl w:val="0"/>
          <w:numId w:val="2"/>
        </w:numPr>
        <w:spacing w:after="40" w:before="40"/>
      </w:pPr>
      <w:r>
        <w:rPr>
          <w:rFonts w:ascii="Arial" w:cs="Arial" w:eastAsia="Arial" w:hAnsi="Arial"/>
          <w:sz w:val="22"/>
          <w:szCs w:val="22"/>
        </w:rPr>
        <w:t xml:space="preserve">La gestion des environnements (ZJ, DJ, DM) multiplie les flux et les risques de déphasage (mentionné explicitement dans la note de bas de slide 12).</w:t>
      </w:r>
    </w:p>
    <w:p>
      <w:pPr>
        <w:pStyle w:val="ListParagraph"/>
        <w:numPr>
          <w:ilvl w:val="0"/>
          <w:numId w:val="2"/>
        </w:numPr>
        <w:spacing w:after="40" w:before="40"/>
      </w:pPr>
      <w:r>
        <w:rPr>
          <w:rFonts w:ascii="Arial" w:cs="Arial" w:eastAsia="Arial" w:hAnsi="Arial"/>
          <w:sz w:val="22"/>
          <w:szCs w:val="22"/>
        </w:rPr>
        <w:t xml:space="preserve">Absence visible de gestion d’erreur ou de circuit de reprise en cas d’échec d’une requête (que se passe-t-il si la requête 2 plante ?).</w:t>
      </w:r>
    </w:p>
    <w:p>
      <w:pPr>
        <w:pStyle w:val="ListParagraph"/>
        <w:numPr>
          <w:ilvl w:val="0"/>
          <w:numId w:val="2"/>
        </w:numPr>
        <w:spacing w:after="40" w:before="40"/>
      </w:pPr>
      <w:r>
        <w:rPr>
          <w:rFonts w:ascii="Arial" w:cs="Arial" w:eastAsia="Arial" w:hAnsi="Arial"/>
          <w:sz w:val="22"/>
          <w:szCs w:val="22"/>
        </w:rPr>
        <w:t xml:space="preserve">Le modèle de résultat (entier ou booléen uniquement) peut s’avérer trop restrictif pour des contrôles métier complexes.</w:t>
      </w:r>
    </w:p>
    <w:p>
      <w:pPr>
        <w:pStyle w:val="ListParagraph"/>
        <w:numPr>
          <w:ilvl w:val="0"/>
          <w:numId w:val="2"/>
        </w:numPr>
        <w:spacing w:after="40" w:before="40"/>
      </w:pPr>
      <w:r>
        <w:rPr>
          <w:rFonts w:ascii="Arial" w:cs="Arial" w:eastAsia="Arial" w:hAnsi="Arial"/>
          <w:sz w:val="22"/>
          <w:szCs w:val="22"/>
        </w:rPr>
        <w:t xml:space="preserve">La performance n’est pas abordée : que se passe-t-il avec des contrôles sur des tables de plusieurs milliards de lignes ?</w:t>
      </w:r>
    </w:p>
    <w:p>
      <w:pPr>
        <w:spacing w:after="0" w:before="80"/>
      </w:pPr>
    </w:p>
    <w:p>
      <w:pPr>
        <w:pBdr>
          <w:bottom w:val="single" w:color="2E5090" w:sz="4" w:space="1"/>
        </w:pBdr>
        <w:spacing w:after="160" w:before="160"/>
      </w:pPr>
    </w:p>
    <w:p>
      <w:pPr>
        <w:pStyle w:val="Heading1"/>
      </w:pPr>
      <w:r>
        <w:rPr>
          <w:rFonts w:ascii="Arial" w:cs="Arial" w:eastAsia="Arial" w:hAnsi="Arial"/>
          <w:b/>
          <w:bCs/>
          <w:color w:val="1F3864"/>
          <w:sz w:val="32"/>
          <w:szCs w:val="32"/>
        </w:rPr>
        <w:t xml:space="preserve">4. Pistes d’Amélioration Proposées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Axe</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Proposition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Observabilité</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Ajouter un tableau de bord temps réel des exécutions (statut, durée, nb d’anomalies) accessible sans SAS.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Résilience</w:t>
            </w:r>
          </w:p>
        </w:tc>
        <w:tc>
          <w:tcPr>
            <w:tcW w:type="dxa" w:w="616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60"/>
            </w:tcMar>
          </w:tcPr>
          <w:p>
            <w:r>
              <w:rPr>
                <w:rFonts w:ascii="Arial" w:cs="Arial" w:eastAsia="Arial" w:hAnsi="Arial"/>
                <w:sz w:val="20"/>
                <w:szCs w:val="20"/>
              </w:rPr>
              <w:t xml:space="preserve">Définir des politiques de retry et d’alerte en cas d’échec d’une requête ou d’un job Stambia.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Simplification du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Évaluer si l’usage de Kafka, dbt ou d’un outil ELT moderne peut remplacer la chaîne BCP/Stambia/RTL.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Type de résultat</w:t>
            </w:r>
          </w:p>
        </w:tc>
        <w:tc>
          <w:tcPr>
            <w:tcW w:type="dxa" w:w="616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60"/>
            </w:tcMar>
          </w:tcPr>
          <w:p>
            <w:r>
              <w:rPr>
                <w:rFonts w:ascii="Arial" w:cs="Arial" w:eastAsia="Arial" w:hAnsi="Arial"/>
                <w:sz w:val="20"/>
                <w:szCs w:val="20"/>
              </w:rPr>
              <w:t xml:space="preserve">Étendre le modèle de résultat au-delà de l’entier/booléen : pourcentage, liste de valeurs distinctes, histogramme.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Gestion de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Versionner les requêtes SQL (style GitOps) pour assurer la traçabilité des évolutions et faciliter les rollbacks.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Documentation auto</w:t>
            </w:r>
          </w:p>
        </w:tc>
        <w:tc>
          <w:tcPr>
            <w:tcW w:type="dxa" w:w="616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60"/>
            </w:tcMar>
          </w:tcPr>
          <w:p>
            <w:r>
              <w:rPr>
                <w:rFonts w:ascii="Arial" w:cs="Arial" w:eastAsia="Arial" w:hAnsi="Arial"/>
                <w:sz w:val="20"/>
                <w:szCs w:val="20"/>
              </w:rPr>
              <w:t xml:space="preserve">Générer automatiquement des fiches de contrôle à partir des métadonnées (titre, requêtes, seuils, derniers résultats).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Tests unitaires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Prévoir un mode « bac à sable » permettant de tester un contrôle sur des données synthétiques avant mise en production.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Performance</w:t>
            </w:r>
          </w:p>
        </w:tc>
        <w:tc>
          <w:tcPr>
            <w:tcW w:type="dxa" w:w="616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60"/>
            </w:tcMar>
          </w:tcPr>
          <w:p>
            <w:r>
              <w:rPr>
                <w:rFonts w:ascii="Arial" w:cs="Arial" w:eastAsia="Arial" w:hAnsi="Arial"/>
                <w:sz w:val="20"/>
                <w:szCs w:val="20"/>
              </w:rPr>
              <w:t xml:space="preserve">Documenter et mettre en oeuvre une stratégie de partition/samplingg Vertica pour les contrôles sur très gros volumes.</w:t>
            </w:r>
          </w:p>
        </w:tc>
      </w:tr>
    </w:tbl>
    <w:p>
      <w:pPr>
        <w:pBdr>
          <w:bottom w:val="single" w:color="2E5090" w:sz="4" w:space="1"/>
        </w:pBdr>
        <w:spacing w:after="160" w:before="160"/>
      </w:pPr>
    </w:p>
    <w:p>
      <w:pPr>
        <w:pStyle w:val="Heading1"/>
      </w:pPr>
      <w:r>
        <w:rPr>
          <w:rFonts w:ascii="Arial" w:cs="Arial" w:eastAsia="Arial" w:hAnsi="Arial"/>
          <w:b/>
          <w:bCs/>
          <w:color w:val="1F3864"/>
          <w:sz w:val="32"/>
          <w:szCs w:val="32"/>
        </w:rPr>
        <w:t xml:space="preserve">5. Conclusion</w:t>
      </w:r>
    </w:p>
    <w:p>
      <w:pPr>
        <w:spacing w:after="80" w:before="60"/>
      </w:pPr>
    </w:p>
    <w:p>
      <w:pPr>
        <w:spacing w:after="60" w:before="60"/>
      </w:pPr>
      <w:r>
        <w:rPr>
          <w:rFonts w:ascii="Arial" w:cs="Arial" w:eastAsia="Arial" w:hAnsi="Arial"/>
          <w:sz w:val="22"/>
          <w:szCs w:val="22"/>
        </w:rPr>
        <w:t xml:space="preserve">Le SIMC est une initiative structurante et ambitieuse pour industrialiser le contrôle de la qualité des données au sein du groupe. L’architecture fonctionnelle est solide et le modèle de données bien pensé.</w:t>
      </w:r>
    </w:p>
    <w:p>
      <w:pPr>
        <w:spacing w:after="60" w:before="60"/>
      </w:pPr>
      <w:r>
        <w:rPr>
          <w:rFonts w:ascii="Arial" w:cs="Arial" w:eastAsia="Arial" w:hAnsi="Arial"/>
          <w:sz w:val="22"/>
          <w:szCs w:val="22"/>
        </w:rPr>
        <w:t xml:space="preserve">Les principaux défis à adresser concernent la fragilité du pipeline technique (SQL Server ↔ Vertica via BCP/Stambia/RTL), l’observabilité du système, et la capacité à évoluer vers des patterns plus modernes (GitOps des requêtes, alerting natif, documentation auto-générée).</w:t>
      </w:r>
    </w:p>
    <w:p>
      <w:pPr>
        <w:spacing w:after="60" w:before="60"/>
      </w:pPr>
      <w:r>
        <w:rPr>
          <w:rFonts w:ascii="Arial" w:cs="Arial" w:eastAsia="Arial" w:hAnsi="Arial"/>
          <w:sz w:val="22"/>
          <w:szCs w:val="22"/>
        </w:rPr>
        <w:t xml:space="preserve">En l’état, le système est opérationnel et fonctionnel, mais il mériterait une couche de résilience et d’observabilité supplémentaire pour garantir sa pérennité à grande échelle.</w:t>
      </w:r>
    </w:p>
    <w:p>
      <w:pPr>
        <w:spacing w:before="400"/>
        <w:jc w:val="right"/>
      </w:pPr>
      <w:r>
        <w:rPr>
          <w:rFonts w:ascii="Arial" w:cs="Arial" w:eastAsia="Arial" w:hAnsi="Arial"/>
          <w:i/>
          <w:iCs/>
          <w:color w:val="AAAAAA"/>
          <w:sz w:val="18"/>
          <w:szCs w:val="18"/>
        </w:rPr>
        <w:t xml:space="preserve">Document généré le 19/04/2026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2026-04-19T20:57:17.476Z</dcterms:created>
  <dcterms:modified xsi:type="dcterms:W3CDTF">2026-04-19T20:57:17.476Z</dcterms:modified>
</cp:coreProperties>
</file>

<file path=docProps/custom.xml><?xml version="1.0" encoding="utf-8"?>
<Properties xmlns="http://schemas.openxmlformats.org/officeDocument/2006/custom-properties" xmlns:vt="http://schemas.openxmlformats.org/officeDocument/2006/docPropsVTypes"/>
</file>