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52"/>
          <w:szCs w:val="52"/>
        </w:rPr>
        <w:t xml:space="preserve">DOCUMENTATION CONSOLIDÉE</w:t>
      </w:r>
    </w:p>
    <w:p>
      <w:pPr>
        <w:jc w:val="center"/>
      </w:pPr>
      <w:r>
        <w:rPr>
          <w:rFonts w:ascii="Arial" w:cs="Arial" w:eastAsia="Arial" w:hAnsi="Arial"/>
          <w:color w:val="2E75B6"/>
          <w:sz w:val="32"/>
          <w:szCs w:val="32"/>
        </w:rPr>
        <w:t xml:space="preserve">Outils &amp; Systèmes du SI Assurance</w:t>
      </w:r>
    </w:p>
    <w:p>
      <w:pPr>
        <w:spacing w:after="80" w:before="80"/>
      </w:pPr>
      <w:r>
        <w:t xml:space="preserve"/>
      </w:r>
    </w:p>
    <w:p>
      <w:pPr>
        <w:jc w:val="center"/>
      </w:pPr>
      <w:r>
        <w:rPr>
          <w:rFonts w:ascii="Arial" w:cs="Arial" w:eastAsia="Arial" w:hAnsi="Arial"/>
          <w:i/>
          <w:iCs/>
          <w:color w:val="404040"/>
          <w:sz w:val="26"/>
          <w:szCs w:val="26"/>
        </w:rPr>
        <w:t xml:space="preserve">META / PowerDesigner  •  MAYA  •  SIMC</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Date de consolidation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 avril 2026</w:t>
            </w:r>
          </w:p>
        </w:tc>
      </w:tr>
      <w:tr>
        <w:tc>
          <w:tcPr>
            <w:tcW w:type="dxa" w:w="4513"/>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Sources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documents internes</w:t>
            </w:r>
          </w:p>
        </w:tc>
      </w:tr>
      <w:tr>
        <w:tc>
          <w:tcPr>
            <w:tcW w:type="dxa" w:w="4513"/>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r>
              <w:rPr>
                <w:rFonts w:ascii="Arial" w:cs="Arial" w:eastAsia="Arial" w:hAnsi="Arial"/>
                <w:b/>
                <w:bCs/>
                <w:sz w:val="20"/>
                <w:szCs w:val="20"/>
              </w:rPr>
              <w:t xml:space="preserve">Domaine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SID Assurance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160"/>
              <w:left w:type="dxa" w:w="200"/>
              <w:bottom w:type="dxa" w:w="160"/>
              <w:right w:type="dxa" w:w="200"/>
            </w:tcMar>
          </w:tcPr>
          <w:p>
            <w:r>
              <w:rPr>
                <w:rFonts w:ascii="Arial" w:cs="Arial" w:eastAsia="Arial" w:hAnsi="Arial"/>
                <w:b/>
                <w:bCs/>
                <w:color w:val="FFFFFF"/>
                <w:sz w:val="36"/>
                <w:szCs w:val="36"/>
              </w:rPr>
              <w:t xml:space="preserve">1. DOCUMENTATION META</w:t>
            </w:r>
          </w:p>
          <w:p>
            <w:r>
              <w:rPr>
                <w:rFonts w:ascii="Arial" w:cs="Arial" w:eastAsia="Arial" w:hAnsi="Arial"/>
                <w:i/>
                <w:iCs/>
                <w:color w:val="BDD7EE"/>
                <w:sz w:val="20"/>
                <w:szCs w:val="20"/>
              </w:rPr>
              <w:t xml:space="preserve">Gestion des Modèles Physiques de Données (MPD) — PowerDesigner v2.0</w:t>
            </w:r>
          </w:p>
        </w:tc>
      </w:tr>
    </w:tbl>
    <w:p>
      <w:pPr>
        <w:spacing w:after="80" w:before="80"/>
      </w:pPr>
      <w:r>
        <w:t xml:space="preserve"/>
      </w:r>
    </w:p>
    <w:p>
      <w:pPr>
        <w:spacing w:after="60" w:before="60"/>
      </w:pPr>
      <w:r>
        <w:rPr>
          <w:rFonts w:ascii="Arial" w:cs="Arial" w:eastAsia="Arial" w:hAnsi="Arial"/>
          <w:sz w:val="20"/>
          <w:szCs w:val="20"/>
        </w:rPr>
        <w:t xml:space="preserve">Référent : Hervé Charlot | Support PowerDesigner : Dorian Duvignaud | Mise à jour : 19/06/2023 (Agathe Gascoin)</w:t>
      </w:r>
    </w:p>
    <w:p>
      <w:pPr>
        <w:spacing w:after="80" w:before="80"/>
      </w:pPr>
      <w:r>
        <w:t xml:space="preserve"/>
      </w:r>
    </w:p>
    <w:p>
      <w:pPr>
        <w:pStyle w:val="Heading2"/>
      </w:pPr>
      <w:r>
        <w:rPr>
          <w:rFonts w:ascii="Arial" w:cs="Arial" w:eastAsia="Arial" w:hAnsi="Arial"/>
          <w:b/>
          <w:bCs/>
          <w:sz w:val="26"/>
          <w:szCs w:val="26"/>
        </w:rPr>
        <w:t xml:space="preserve">1.1 Public cible &amp; Contexte</w:t>
      </w:r>
    </w:p>
    <w:p>
      <w:pPr>
        <w:spacing w:after="60" w:before="60"/>
      </w:pPr>
      <w:r>
        <w:rPr>
          <w:rFonts w:ascii="Arial" w:cs="Arial" w:eastAsia="Arial" w:hAnsi="Arial"/>
          <w:sz w:val="20"/>
          <w:szCs w:val="20"/>
        </w:rPr>
        <w:t xml:space="preserve">La documentation des structures de données est nécessaire au pilotage de l'entreprise. La MOA veille à sa disponibilité et sa mise à jour. Le passage par PowerDesigner est une norme groupe permettant de donner une vue aux équipes en cas d'incident et de faciliter le transfert de compétences.</w:t>
      </w:r>
    </w:p>
    <w:p>
      <w:pPr>
        <w:spacing w:after="80" w:before="80"/>
      </w:pPr>
      <w:r>
        <w:t xml:space="preserve"/>
      </w:r>
    </w:p>
    <w:p>
      <w:pPr>
        <w:pStyle w:val="Heading2"/>
      </w:pPr>
      <w:r>
        <w:rPr>
          <w:rFonts w:ascii="Arial" w:cs="Arial" w:eastAsia="Arial" w:hAnsi="Arial"/>
          <w:b/>
          <w:bCs/>
          <w:sz w:val="26"/>
          <w:szCs w:val="26"/>
        </w:rPr>
        <w:t xml:space="preserve">1.2 Glossaire des acronymes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Acronyme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MPD</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Modèle Physique de Données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d'Administration des Données</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BIB</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 d'Informations du BIB</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Dictionnaire des données (outil groupe)</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BIR</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 d'Informations de Référence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PSIAD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 d'accès au MAD via la zone express</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ADMCSL</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Accès à la liste des tables dans le MAD</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HOPDD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Commande pour obtenir la version du DM</w:t>
            </w:r>
          </w:p>
        </w:tc>
      </w:tr>
    </w:tbl>
    <w:p>
      <w:pPr>
        <w:spacing w:after="80" w:before="80"/>
      </w:pPr>
      <w:r>
        <w:t xml:space="preserve"/>
      </w:r>
    </w:p>
    <w:p>
      <w:pPr>
        <w:pStyle w:val="Heading2"/>
      </w:pPr>
      <w:r>
        <w:rPr>
          <w:rFonts w:ascii="Arial" w:cs="Arial" w:eastAsia="Arial" w:hAnsi="Arial"/>
          <w:b/>
          <w:bCs/>
          <w:sz w:val="26"/>
          <w:szCs w:val="26"/>
        </w:rPr>
        <w:t xml:space="preserve">1.3 Prérequis</w:t>
      </w:r>
    </w:p>
    <w:p>
      <w:pPr>
        <w:pStyle w:val="ListParagraph"/>
        <w:numPr>
          <w:ilvl w:val="0"/>
          <w:numId w:val="2"/>
        </w:numPr>
        <w:spacing w:after="40" w:before="40"/>
      </w:pPr>
      <w:r>
        <w:rPr>
          <w:rFonts w:ascii="Arial" w:cs="Arial" w:eastAsia="Arial" w:hAnsi="Arial"/>
          <w:sz w:val="20"/>
          <w:szCs w:val="20"/>
        </w:rPr>
        <w:t xml:space="preserve">Un projet de documentation PowerDesigner actif</w:t>
      </w:r>
    </w:p>
    <w:p>
      <w:pPr>
        <w:pStyle w:val="ListParagraph"/>
        <w:numPr>
          <w:ilvl w:val="0"/>
          <w:numId w:val="2"/>
        </w:numPr>
        <w:spacing w:after="40" w:before="40"/>
      </w:pPr>
      <w:r>
        <w:rPr>
          <w:rFonts w:ascii="Arial" w:cs="Arial" w:eastAsia="Arial" w:hAnsi="Arial"/>
          <w:sz w:val="20"/>
          <w:szCs w:val="20"/>
        </w:rPr>
        <w:t xml:space="preserve">Fichier de nomenclature à jour</w:t>
      </w:r>
    </w:p>
    <w:p>
      <w:pPr>
        <w:pStyle w:val="ListParagraph"/>
        <w:numPr>
          <w:ilvl w:val="0"/>
          <w:numId w:val="2"/>
        </w:numPr>
        <w:spacing w:after="40" w:before="40"/>
      </w:pPr>
      <w:r>
        <w:rPr>
          <w:rFonts w:ascii="Arial" w:cs="Arial" w:eastAsia="Arial" w:hAnsi="Arial"/>
          <w:sz w:val="20"/>
          <w:szCs w:val="20"/>
        </w:rPr>
        <w:t xml:space="preserve">Chargement des fichiers de nomenclature dans le référentiel si nécessaire</w:t>
      </w:r>
    </w:p>
    <w:p>
      <w:pPr>
        <w:spacing w:after="80" w:before="80"/>
      </w:pPr>
      <w:r>
        <w:t xml:space="preserve"/>
      </w:r>
    </w:p>
    <w:p>
      <w:pPr>
        <w:pStyle w:val="Heading2"/>
      </w:pPr>
      <w:r>
        <w:rPr>
          <w:rFonts w:ascii="Arial" w:cs="Arial" w:eastAsia="Arial" w:hAnsi="Arial"/>
          <w:b/>
          <w:bCs/>
          <w:sz w:val="26"/>
          <w:szCs w:val="26"/>
        </w:rPr>
        <w:t xml:space="preserve">1.4 Obtenir le fichier d'import Excel</w:t>
      </w:r>
    </w:p>
    <w:p>
      <w:pPr>
        <w:pStyle w:val="Heading3"/>
      </w:pPr>
      <w:r>
        <w:rPr>
          <w:rFonts w:ascii="Arial" w:cs="Arial" w:eastAsia="Arial" w:hAnsi="Arial"/>
          <w:b/>
          <w:bCs/>
          <w:sz w:val="22"/>
          <w:szCs w:val="22"/>
        </w:rPr>
        <w:t xml:space="preserve">Se connecter au MAD (zone express)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PSIAD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Accueil du MAD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Accès général</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ADMCSL</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Liste des tables</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 tables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HOPDD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du DM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À faire au préalable</w:t>
            </w:r>
          </w:p>
        </w:tc>
      </w:tr>
    </w:tbl>
    <w:p>
      <w:pPr>
        <w:spacing w:after="80" w:before="80"/>
      </w:pPr>
      <w:r>
        <w:t xml:space="preserve"/>
      </w:r>
    </w:p>
    <w:p>
      <w:pPr>
        <w:pStyle w:val="Heading3"/>
      </w:pPr>
      <w:r>
        <w:rPr>
          <w:rFonts w:ascii="Arial" w:cs="Arial" w:eastAsia="Arial" w:hAnsi="Arial"/>
          <w:b/>
          <w:bCs/>
          <w:sz w:val="22"/>
          <w:szCs w:val="22"/>
        </w:rPr>
        <w:t xml:space="preserve">Accéder à la liste des BIB</w:t>
      </w:r>
    </w:p>
    <w:p>
      <w:pPr>
        <w:spacing w:after="60" w:before="60"/>
      </w:pPr>
      <w:r>
        <w:rPr>
          <w:rFonts w:ascii="Arial" w:cs="Arial" w:eastAsia="Arial" w:hAnsi="Arial"/>
          <w:sz w:val="20"/>
          <w:szCs w:val="20"/>
        </w:rPr>
        <w:t xml:space="preserve">Naviguer dans le menu MAD : Gestion du MAD → Liste des Tables → Liste des BIB.</w:t>
      </w:r>
    </w:p>
    <w:p>
      <w:pPr>
        <w:spacing w:after="80" w:before="80"/>
      </w:pPr>
      <w:r>
        <w:t xml:space="preserve"/>
      </w:r>
    </w:p>
    <w:p>
      <w:pPr>
        <w:pStyle w:val="Heading3"/>
      </w:pPr>
      <w:r>
        <w:rPr>
          <w:rFonts w:ascii="Arial" w:cs="Arial" w:eastAsia="Arial" w:hAnsi="Arial"/>
          <w:b/>
          <w:bCs/>
          <w:sz w:val="22"/>
          <w:szCs w:val="22"/>
        </w:rPr>
        <w:t xml:space="preserve">Fichiers d'import disponibles par BIB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BID LWH1</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Modèle PowerDesigner (code ROBIN) pour tables LWH1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BRS TMT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 PowerDesigner (code ROBIN) pour tables TMT</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CTR LWH1</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Modèle PowerDesigner du BIB pour tables LWH1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CTR TMT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 PowerDesigner du BIB pour tables TMT</w:t>
            </w:r>
          </w:p>
        </w:tc>
      </w:tr>
    </w:tbl>
    <w:p>
      <w:pPr>
        <w:spacing w:after="80" w:before="80"/>
      </w:pPr>
      <w:r>
        <w:t xml:space="preserve"/>
      </w:r>
    </w:p>
    <w:p>
      <w:pPr>
        <w:spacing w:after="60" w:before="60"/>
      </w:pPr>
      <w:r>
        <w:rPr>
          <w:rFonts w:ascii="Arial" w:cs="Arial" w:eastAsia="Arial" w:hAnsi="Arial"/>
          <w:b/>
          <w:bCs/>
          <w:sz w:val="20"/>
          <w:szCs w:val="20"/>
        </w:rPr>
        <w:t xml:space="preserve">⚠️ Il faut avoir un MPD pour les Datamarts ET un MPD pour les entrepôts.</w:t>
      </w:r>
    </w:p>
    <w:p>
      <w:pPr>
        <w:spacing w:after="80" w:before="80"/>
      </w:pPr>
      <w:r>
        <w:t xml:space="preserve"/>
      </w:r>
    </w:p>
    <w:p>
      <w:pPr>
        <w:pStyle w:val="Heading2"/>
      </w:pPr>
      <w:r>
        <w:rPr>
          <w:rFonts w:ascii="Arial" w:cs="Arial" w:eastAsia="Arial" w:hAnsi="Arial"/>
          <w:b/>
          <w:bCs/>
          <w:sz w:val="26"/>
          <w:szCs w:val="26"/>
        </w:rPr>
        <w:t xml:space="preserve">1.5 Vérification et préparation du fichier Excel</w:t>
      </w:r>
    </w:p>
    <w:p>
      <w:pPr>
        <w:pStyle w:val="ListParagraph"/>
        <w:numPr>
          <w:ilvl w:val="0"/>
          <w:numId w:val="2"/>
        </w:numPr>
        <w:spacing w:after="40" w:before="40"/>
      </w:pPr>
      <w:r>
        <w:rPr>
          <w:rFonts w:ascii="Arial" w:cs="Arial" w:eastAsia="Arial" w:hAnsi="Arial"/>
          <w:sz w:val="20"/>
          <w:szCs w:val="20"/>
        </w:rPr>
        <w:t xml:space="preserve">Vérifier les libellés dans l'onglet « Table » (par défaut le code est renseigné, copier les libellés si nécessaire)</w:t>
      </w:r>
    </w:p>
    <w:p>
      <w:pPr>
        <w:pStyle w:val="ListParagraph"/>
        <w:numPr>
          <w:ilvl w:val="0"/>
          <w:numId w:val="2"/>
        </w:numPr>
        <w:spacing w:after="40" w:before="40"/>
      </w:pPr>
      <w:r>
        <w:rPr>
          <w:rFonts w:ascii="Arial" w:cs="Arial" w:eastAsia="Arial" w:hAnsi="Arial"/>
          <w:sz w:val="20"/>
          <w:szCs w:val="20"/>
        </w:rPr>
        <w:t xml:space="preserve">Renseigner l'onglet « Référence » manuellement si tout est correct</w:t>
      </w:r>
    </w:p>
    <w:p>
      <w:pPr>
        <w:pStyle w:val="ListParagraph"/>
        <w:numPr>
          <w:ilvl w:val="0"/>
          <w:numId w:val="2"/>
        </w:numPr>
        <w:spacing w:after="40" w:before="40"/>
      </w:pPr>
      <w:r>
        <w:rPr>
          <w:rFonts w:ascii="Arial" w:cs="Arial" w:eastAsia="Arial" w:hAnsi="Arial"/>
          <w:sz w:val="20"/>
          <w:szCs w:val="20"/>
        </w:rPr>
        <w:t xml:space="preserve">Si le fichier n'est pas rempli : vérifier les fichiers de nomenclature et demander un rechargement dans le référentiel</w:t>
      </w:r>
    </w:p>
    <w:p>
      <w:pPr>
        <w:spacing w:after="80" w:before="80"/>
      </w:pPr>
      <w:r>
        <w:t xml:space="preserve"/>
      </w:r>
    </w:p>
    <w:p>
      <w:pPr>
        <w:pStyle w:val="Heading2"/>
      </w:pPr>
      <w:r>
        <w:rPr>
          <w:rFonts w:ascii="Arial" w:cs="Arial" w:eastAsia="Arial" w:hAnsi="Arial"/>
          <w:b/>
          <w:bCs/>
          <w:sz w:val="26"/>
          <w:szCs w:val="26"/>
        </w:rPr>
        <w:t xml:space="preserve">1.6 Publier le MPD dans META</w:t>
      </w:r>
    </w:p>
    <w:p>
      <w:pPr>
        <w:pStyle w:val="Heading3"/>
      </w:pPr>
      <w:r>
        <w:rPr>
          <w:rFonts w:ascii="Arial" w:cs="Arial" w:eastAsia="Arial" w:hAnsi="Arial"/>
          <w:b/>
          <w:bCs/>
          <w:sz w:val="22"/>
          <w:szCs w:val="22"/>
        </w:rPr>
        <w:t xml:space="preserve">Prérequis de publication</w:t>
      </w:r>
    </w:p>
    <w:p>
      <w:pPr>
        <w:pStyle w:val="ListParagraph"/>
        <w:numPr>
          <w:ilvl w:val="0"/>
          <w:numId w:val="2"/>
        </w:numPr>
        <w:spacing w:after="40" w:before="40"/>
      </w:pPr>
      <w:r>
        <w:rPr>
          <w:rFonts w:ascii="Arial" w:cs="Arial" w:eastAsia="Arial" w:hAnsi="Arial"/>
          <w:sz w:val="20"/>
          <w:szCs w:val="20"/>
        </w:rPr>
        <w:t xml:space="preserve">Ouvrir le fichier .prj (et non le .mpd)</w:t>
      </w:r>
    </w:p>
    <w:p>
      <w:pPr>
        <w:pStyle w:val="ListParagraph"/>
        <w:numPr>
          <w:ilvl w:val="0"/>
          <w:numId w:val="2"/>
        </w:numPr>
        <w:spacing w:after="40" w:before="40"/>
      </w:pPr>
      <w:r>
        <w:rPr>
          <w:rFonts w:ascii="Arial" w:cs="Arial" w:eastAsia="Arial" w:hAnsi="Arial"/>
          <w:sz w:val="20"/>
          <w:szCs w:val="20"/>
        </w:rPr>
        <w:t xml:space="preserve">Se connecter au référentiel</w:t>
      </w:r>
    </w:p>
    <w:p>
      <w:pPr>
        <w:pStyle w:val="ListParagraph"/>
        <w:numPr>
          <w:ilvl w:val="0"/>
          <w:numId w:val="2"/>
        </w:numPr>
        <w:spacing w:after="40" w:before="40"/>
      </w:pPr>
      <w:r>
        <w:rPr>
          <w:rFonts w:ascii="Arial" w:cs="Arial" w:eastAsia="Arial" w:hAnsi="Arial"/>
          <w:sz w:val="20"/>
          <w:szCs w:val="20"/>
        </w:rPr>
        <w:t xml:space="preserve">Le MPD doit être dans le dossier « Physique Données »</w:t>
      </w:r>
    </w:p>
    <w:p>
      <w:pPr>
        <w:pStyle w:val="ListParagraph"/>
        <w:numPr>
          <w:ilvl w:val="0"/>
          <w:numId w:val="2"/>
        </w:numPr>
        <w:spacing w:after="40" w:before="40"/>
      </w:pPr>
      <w:r>
        <w:rPr>
          <w:rFonts w:ascii="Arial" w:cs="Arial" w:eastAsia="Arial" w:hAnsi="Arial"/>
          <w:sz w:val="20"/>
          <w:szCs w:val="20"/>
        </w:rPr>
        <w:t xml:space="preserve">Ajouter l'extension EI_MPD_SIAD au modèle</w:t>
      </w:r>
    </w:p>
    <w:p>
      <w:pPr>
        <w:pStyle w:val="ListParagraph"/>
        <w:numPr>
          <w:ilvl w:val="0"/>
          <w:numId w:val="2"/>
        </w:numPr>
        <w:spacing w:after="40" w:before="40"/>
      </w:pPr>
      <w:r>
        <w:rPr>
          <w:rFonts w:ascii="Arial" w:cs="Arial" w:eastAsia="Arial" w:hAnsi="Arial"/>
          <w:sz w:val="20"/>
          <w:szCs w:val="20"/>
        </w:rPr>
        <w:t xml:space="preserve">Vérifier la cartographie applicative (Code Domaine : INS, Code bloc : IBI, Code application : IBI_)</w:t>
      </w:r>
    </w:p>
    <w:p>
      <w:pPr>
        <w:spacing w:after="80" w:before="80"/>
      </w:pPr>
      <w:r>
        <w:t xml:space="preserve"/>
      </w:r>
    </w:p>
    <w:p>
      <w:pPr>
        <w:pStyle w:val="Heading3"/>
      </w:pPr>
      <w:r>
        <w:rPr>
          <w:rFonts w:ascii="Arial" w:cs="Arial" w:eastAsia="Arial" w:hAnsi="Arial"/>
          <w:b/>
          <w:bCs/>
          <w:sz w:val="22"/>
          <w:szCs w:val="22"/>
        </w:rPr>
        <w:t xml:space="preserve">Génération du fichier</w:t>
      </w:r>
    </w:p>
    <w:p>
      <w:pPr>
        <w:pStyle w:val="ListParagraph"/>
        <w:numPr>
          <w:ilvl w:val="0"/>
          <w:numId w:val="2"/>
        </w:numPr>
        <w:spacing w:after="40" w:before="40"/>
      </w:pPr>
      <w:r>
        <w:rPr>
          <w:rFonts w:ascii="Arial" w:cs="Arial" w:eastAsia="Arial" w:hAnsi="Arial"/>
          <w:sz w:val="20"/>
          <w:szCs w:val="20"/>
        </w:rPr>
        <w:t xml:space="preserve">Menu &gt; Outil &gt; Génération étendue...</w:t>
      </w:r>
    </w:p>
    <w:p>
      <w:pPr>
        <w:pStyle w:val="ListParagraph"/>
        <w:numPr>
          <w:ilvl w:val="0"/>
          <w:numId w:val="2"/>
        </w:numPr>
        <w:spacing w:after="40" w:before="40"/>
      </w:pPr>
      <w:r>
        <w:rPr>
          <w:rFonts w:ascii="Arial" w:cs="Arial" w:eastAsia="Arial" w:hAnsi="Arial"/>
          <w:sz w:val="20"/>
          <w:szCs w:val="20"/>
        </w:rPr>
        <w:t xml:space="preserve">Renseigner le répertoire de destination</w:t>
      </w:r>
    </w:p>
    <w:p>
      <w:pPr>
        <w:pStyle w:val="ListParagraph"/>
        <w:numPr>
          <w:ilvl w:val="0"/>
          <w:numId w:val="2"/>
        </w:numPr>
        <w:spacing w:after="40" w:before="40"/>
      </w:pPr>
      <w:r>
        <w:rPr>
          <w:rFonts w:ascii="Arial" w:cs="Arial" w:eastAsia="Arial" w:hAnsi="Arial"/>
          <w:sz w:val="20"/>
          <w:szCs w:val="20"/>
        </w:rPr>
        <w:t xml:space="preserve">Cocher l'option « Vérification du modèle »</w:t>
      </w:r>
    </w:p>
    <w:p>
      <w:pPr>
        <w:spacing w:after="80" w:before="80"/>
      </w:pPr>
      <w:r>
        <w:t xml:space="preserve"/>
      </w:r>
    </w:p>
    <w:p>
      <w:pPr>
        <w:pStyle w:val="Heading2"/>
      </w:pPr>
      <w:r>
        <w:rPr>
          <w:rFonts w:ascii="Arial" w:cs="Arial" w:eastAsia="Arial" w:hAnsi="Arial"/>
          <w:b/>
          <w:bCs/>
          <w:sz w:val="26"/>
          <w:szCs w:val="26"/>
        </w:rPr>
        <w:t xml:space="preserve">1.7 Résolution des erreurs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Libellés manquants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Vérifier les fichiers de nomenclature et demander un rechargement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Cartographie applicative non appliquée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que le MPD est dans « Physique Données »</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Connexions absentes (onglet Référence)</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Établir les connexions manuellement dans PowerDesigner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Erreur lors de la génération étendue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Vérifier que l'extension EI_MPD_SIAD est bien ajoutée</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Tables SIADOWH et SIADDMT dans le même fichier</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Créer 2 MPD séparés dans le projet PowerDesigner</w:t>
            </w:r>
          </w:p>
        </w:tc>
      </w:tr>
    </w:tbl>
    <w:p>
      <w:pPr>
        <w:spacing w:after="80" w:before="80"/>
      </w:pPr>
      <w:r>
        <w:t xml:space="preserve"/>
      </w:r>
    </w:p>
    <w:p>
      <w:pPr>
        <w:pStyle w:val="Heading2"/>
      </w:pPr>
      <w:r>
        <w:rPr>
          <w:rFonts w:ascii="Arial" w:cs="Arial" w:eastAsia="Arial" w:hAnsi="Arial"/>
          <w:b/>
          <w:bCs/>
          <w:sz w:val="26"/>
          <w:szCs w:val="26"/>
        </w:rPr>
        <w:t xml:space="preserve">1.8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Responsabilité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Référent principal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Hervé Charlot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des modèles, questions de fond</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 PowerDesigner</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Dorian Duvignaud</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Assistance technique PowerDesigner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Rédactrice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Agathe Gascoin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Mise à jour de la documentation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160"/>
              <w:left w:type="dxa" w:w="200"/>
              <w:bottom w:type="dxa" w:w="160"/>
              <w:right w:type="dxa" w:w="200"/>
            </w:tcMar>
          </w:tcPr>
          <w:p>
            <w:r>
              <w:rPr>
                <w:rFonts w:ascii="Arial" w:cs="Arial" w:eastAsia="Arial" w:hAnsi="Arial"/>
                <w:b/>
                <w:bCs/>
                <w:color w:val="FFFFFF"/>
                <w:sz w:val="36"/>
                <w:szCs w:val="36"/>
              </w:rPr>
              <w:t xml:space="preserve">2. PUBLIER DANS META</w:t>
            </w:r>
          </w:p>
          <w:p>
            <w:r>
              <w:rPr>
                <w:rFonts w:ascii="Arial" w:cs="Arial" w:eastAsia="Arial" w:hAnsi="Arial"/>
                <w:i/>
                <w:iCs/>
                <w:color w:val="BDD7EE"/>
                <w:sz w:val="20"/>
                <w:szCs w:val="20"/>
              </w:rPr>
              <w:t xml:space="preserve">Mise en œuvre de l'extraction pour META dans Power Designer — v1.0</w:t>
            </w:r>
          </w:p>
        </w:tc>
      </w:tr>
    </w:tbl>
    <w:p>
      <w:pPr>
        <w:spacing w:after="80" w:before="80"/>
      </w:pPr>
      <w:r>
        <w:t xml:space="preserve"/>
      </w:r>
    </w:p>
    <w:p>
      <w:pPr>
        <w:spacing w:after="60" w:before="60"/>
      </w:pPr>
      <w:r>
        <w:rPr>
          <w:rFonts w:ascii="Arial" w:cs="Arial" w:eastAsia="Arial" w:hAnsi="Arial"/>
          <w:sz w:val="20"/>
          <w:szCs w:val="20"/>
        </w:rPr>
        <w:t xml:space="preserve">Référent : Hervé Charlot | Dernière mise à jour : 30 avril 2021 | Statut : En production</w:t>
      </w:r>
    </w:p>
    <w:p>
      <w:pPr>
        <w:spacing w:after="80" w:before="80"/>
      </w:pPr>
      <w:r>
        <w:t xml:space="preserve"/>
      </w:r>
    </w:p>
    <w:p>
      <w:pPr>
        <w:pStyle w:val="Heading2"/>
      </w:pPr>
      <w:r>
        <w:rPr>
          <w:rFonts w:ascii="Arial" w:cs="Arial" w:eastAsia="Arial" w:hAnsi="Arial"/>
          <w:b/>
          <w:bCs/>
          <w:sz w:val="26"/>
          <w:szCs w:val="26"/>
        </w:rPr>
        <w:t xml:space="preserve">2.1 Prérequis</w:t>
      </w:r>
    </w:p>
    <w:p>
      <w:pPr>
        <w:pStyle w:val="ListParagraph"/>
        <w:numPr>
          <w:ilvl w:val="0"/>
          <w:numId w:val="2"/>
        </w:numPr>
        <w:spacing w:after="40" w:before="40"/>
      </w:pPr>
      <w:r>
        <w:rPr>
          <w:rFonts w:ascii="Arial" w:cs="Arial" w:eastAsia="Arial" w:hAnsi="Arial"/>
          <w:sz w:val="20"/>
          <w:szCs w:val="20"/>
        </w:rPr>
        <w:t xml:space="preserve">Ouvrir le projet Power Designer du projet concerné (fichier .prj, pas le .mpd)</w:t>
      </w:r>
    </w:p>
    <w:p>
      <w:pPr>
        <w:pStyle w:val="ListParagraph"/>
        <w:numPr>
          <w:ilvl w:val="0"/>
          <w:numId w:val="2"/>
        </w:numPr>
        <w:spacing w:after="40" w:before="40"/>
      </w:pPr>
      <w:r>
        <w:rPr>
          <w:rFonts w:ascii="Arial" w:cs="Arial" w:eastAsia="Arial" w:hAnsi="Arial"/>
          <w:sz w:val="20"/>
          <w:szCs w:val="20"/>
        </w:rPr>
        <w:t xml:space="preserve">Se connecter au référentiel</w:t>
      </w:r>
    </w:p>
    <w:p>
      <w:pPr>
        <w:pStyle w:val="ListParagraph"/>
        <w:numPr>
          <w:ilvl w:val="0"/>
          <w:numId w:val="2"/>
        </w:numPr>
        <w:spacing w:after="40" w:before="40"/>
      </w:pPr>
      <w:r>
        <w:rPr>
          <w:rFonts w:ascii="Arial" w:cs="Arial" w:eastAsia="Arial" w:hAnsi="Arial"/>
          <w:sz w:val="20"/>
          <w:szCs w:val="20"/>
        </w:rPr>
        <w:t xml:space="preserve">Si besoin, utiliser l'import Excel pour rattacher le modèle</w:t>
      </w:r>
    </w:p>
    <w:p>
      <w:pPr>
        <w:pStyle w:val="ListParagraph"/>
        <w:numPr>
          <w:ilvl w:val="0"/>
          <w:numId w:val="2"/>
        </w:numPr>
        <w:spacing w:after="40" w:before="40"/>
      </w:pPr>
      <w:r>
        <w:rPr>
          <w:rFonts w:ascii="Arial" w:cs="Arial" w:eastAsia="Arial" w:hAnsi="Arial"/>
          <w:sz w:val="20"/>
          <w:szCs w:val="20"/>
        </w:rPr>
        <w:t xml:space="preserve">Le MPD doit se situer dans le dossier « Physique Données » (sinon la cartographie applicative ne s'appliquera pas)</w:t>
      </w:r>
    </w:p>
    <w:p>
      <w:pPr>
        <w:spacing w:after="80" w:before="80"/>
      </w:pPr>
      <w:r>
        <w:t xml:space="preserve"/>
      </w:r>
    </w:p>
    <w:p>
      <w:pPr>
        <w:pStyle w:val="Heading2"/>
      </w:pPr>
      <w:r>
        <w:rPr>
          <w:rFonts w:ascii="Arial" w:cs="Arial" w:eastAsia="Arial" w:hAnsi="Arial"/>
          <w:b/>
          <w:bCs/>
          <w:sz w:val="26"/>
          <w:szCs w:val="26"/>
        </w:rPr>
        <w:t xml:space="preserve">2.2 Paramétrage du projet</w:t>
      </w:r>
    </w:p>
    <w:p>
      <w:pPr>
        <w:spacing w:after="60" w:before="60"/>
      </w:pPr>
      <w:r>
        <w:rPr>
          <w:rFonts w:ascii="Arial" w:cs="Arial" w:eastAsia="Arial" w:hAnsi="Arial"/>
          <w:sz w:val="20"/>
          <w:szCs w:val="20"/>
        </w:rPr>
        <w:t xml:space="preserve">Clic droit sur le projet &gt; Propriétés &gt; onglet Cartographie applicative. Les trois codes suivants doivent être renseignés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 exemple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Domaine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Domaine métier du projet</w:t>
            </w:r>
          </w:p>
        </w:tc>
      </w:tr>
      <w:tr>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bloc applicatif</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IBI</w:t>
            </w:r>
          </w:p>
        </w:tc>
        <w:tc>
          <w:tcPr>
            <w:tcW w:type="dxa" w:w="300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 applicatif concerné</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application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IBC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de l'application cible</w:t>
            </w:r>
          </w:p>
        </w:tc>
      </w:tr>
    </w:tbl>
    <w:p>
      <w:pPr>
        <w:spacing w:after="80" w:before="80"/>
      </w:pPr>
      <w:r>
        <w:t xml:space="preserve"/>
      </w:r>
    </w:p>
    <w:p>
      <w:pPr>
        <w:pStyle w:val="Heading2"/>
      </w:pPr>
      <w:r>
        <w:rPr>
          <w:rFonts w:ascii="Arial" w:cs="Arial" w:eastAsia="Arial" w:hAnsi="Arial"/>
          <w:b/>
          <w:bCs/>
          <w:sz w:val="26"/>
          <w:szCs w:val="26"/>
        </w:rPr>
        <w:t xml:space="preserve">2.3 Contrôles préalables</w:t>
      </w:r>
    </w:p>
    <w:p>
      <w:pPr>
        <w:pStyle w:val="Heading3"/>
      </w:pPr>
      <w:r>
        <w:rPr>
          <w:rFonts w:ascii="Arial" w:cs="Arial" w:eastAsia="Arial" w:hAnsi="Arial"/>
          <w:b/>
          <w:bCs/>
          <w:sz w:val="22"/>
          <w:szCs w:val="22"/>
        </w:rPr>
        <w:t xml:space="preserve">Unicité de la base de données</w:t>
      </w:r>
    </w:p>
    <w:p>
      <w:pPr>
        <w:pStyle w:val="ListParagraph"/>
        <w:numPr>
          <w:ilvl w:val="0"/>
          <w:numId w:val="2"/>
        </w:numPr>
        <w:spacing w:after="40" w:before="40"/>
      </w:pPr>
      <w:r>
        <w:rPr>
          <w:rFonts w:ascii="Arial" w:cs="Arial" w:eastAsia="Arial" w:hAnsi="Arial"/>
          <w:sz w:val="20"/>
          <w:szCs w:val="20"/>
        </w:rPr>
        <w:t xml:space="preserve">Générer un fichier par schéma de base de données</w:t>
      </w:r>
    </w:p>
    <w:p>
      <w:pPr>
        <w:pStyle w:val="ListParagraph"/>
        <w:numPr>
          <w:ilvl w:val="0"/>
          <w:numId w:val="2"/>
        </w:numPr>
        <w:spacing w:after="40" w:before="40"/>
      </w:pPr>
      <w:r>
        <w:rPr>
          <w:rFonts w:ascii="Arial" w:cs="Arial" w:eastAsia="Arial" w:hAnsi="Arial"/>
          <w:sz w:val="20"/>
          <w:szCs w:val="20"/>
        </w:rPr>
        <w:t xml:space="preserve">Si tables SIADWH et SIADMT coexistent : créer 2 MPD dans le projet Power Designer</w:t>
      </w:r>
    </w:p>
    <w:p>
      <w:pPr>
        <w:spacing w:after="80" w:before="80"/>
      </w:pPr>
      <w:r>
        <w:t xml:space="preserve"/>
      </w:r>
    </w:p>
    <w:p>
      <w:pPr>
        <w:pStyle w:val="Heading3"/>
      </w:pPr>
      <w:r>
        <w:rPr>
          <w:rFonts w:ascii="Arial" w:cs="Arial" w:eastAsia="Arial" w:hAnsi="Arial"/>
          <w:b/>
          <w:bCs/>
          <w:sz w:val="22"/>
          <w:szCs w:val="22"/>
        </w:rPr>
        <w:t xml:space="preserve">Extension BI_MPD_SIAD</w:t>
      </w:r>
    </w:p>
    <w:p>
      <w:pPr>
        <w:spacing w:after="60" w:before="60"/>
      </w:pPr>
      <w:r>
        <w:rPr>
          <w:rFonts w:ascii="Arial" w:cs="Arial" w:eastAsia="Arial" w:hAnsi="Arial"/>
          <w:sz w:val="20"/>
          <w:szCs w:val="20"/>
        </w:rPr>
        <w:t xml:space="preserve">Ajouter l'extension BI_MPD_SIAD au Modèle physique de données avant la génération.</w:t>
      </w:r>
    </w:p>
    <w:p>
      <w:pPr>
        <w:spacing w:after="80" w:before="80"/>
      </w:pPr>
      <w:r>
        <w:t xml:space="preserve"/>
      </w:r>
    </w:p>
    <w:p>
      <w:pPr>
        <w:pStyle w:val="Heading2"/>
      </w:pPr>
      <w:r>
        <w:rPr>
          <w:rFonts w:ascii="Arial" w:cs="Arial" w:eastAsia="Arial" w:hAnsi="Arial"/>
          <w:b/>
          <w:bCs/>
          <w:sz w:val="26"/>
          <w:szCs w:val="26"/>
        </w:rPr>
        <w:t xml:space="preserve">2.4 Génération du fichier pour META</w:t>
      </w:r>
    </w:p>
    <w:p>
      <w:pPr>
        <w:pStyle w:val="ListParagraph"/>
        <w:numPr>
          <w:ilvl w:val="0"/>
          <w:numId w:val="2"/>
        </w:numPr>
        <w:spacing w:after="40" w:before="40"/>
      </w:pPr>
      <w:r>
        <w:rPr>
          <w:rFonts w:ascii="Arial" w:cs="Arial" w:eastAsia="Arial" w:hAnsi="Arial"/>
          <w:sz w:val="20"/>
          <w:szCs w:val="20"/>
        </w:rPr>
        <w:t xml:space="preserve">Menu &gt; Outil &gt; Génération étendue...</w:t>
      </w:r>
    </w:p>
    <w:p>
      <w:pPr>
        <w:pStyle w:val="ListParagraph"/>
        <w:numPr>
          <w:ilvl w:val="0"/>
          <w:numId w:val="2"/>
        </w:numPr>
        <w:spacing w:after="40" w:before="40"/>
      </w:pPr>
      <w:r>
        <w:rPr>
          <w:rFonts w:ascii="Arial" w:cs="Arial" w:eastAsia="Arial" w:hAnsi="Arial"/>
          <w:sz w:val="20"/>
          <w:szCs w:val="20"/>
        </w:rPr>
        <w:t xml:space="preserve">Renseigner le répertoire de destination</w:t>
      </w:r>
    </w:p>
    <w:p>
      <w:pPr>
        <w:pStyle w:val="ListParagraph"/>
        <w:numPr>
          <w:ilvl w:val="0"/>
          <w:numId w:val="2"/>
        </w:numPr>
        <w:spacing w:after="40" w:before="40"/>
      </w:pPr>
      <w:r>
        <w:rPr>
          <w:rFonts w:ascii="Arial" w:cs="Arial" w:eastAsia="Arial" w:hAnsi="Arial"/>
          <w:sz w:val="20"/>
          <w:szCs w:val="20"/>
        </w:rPr>
        <w:t xml:space="preserve">Cocher l'option « Vérification du modèle »</w:t>
      </w:r>
    </w:p>
    <w:p>
      <w:pPr>
        <w:pStyle w:val="ListParagraph"/>
        <w:numPr>
          <w:ilvl w:val="0"/>
          <w:numId w:val="2"/>
        </w:numPr>
        <w:spacing w:after="40" w:before="40"/>
      </w:pPr>
      <w:r>
        <w:rPr>
          <w:rFonts w:ascii="Arial" w:cs="Arial" w:eastAsia="Arial" w:hAnsi="Arial"/>
          <w:sz w:val="20"/>
          <w:szCs w:val="20"/>
        </w:rPr>
        <w:t xml:space="preserve">Dans l'onglet Objets, vérifier que BI_MPD_SIAD est coché</w:t>
      </w:r>
    </w:p>
    <w:p>
      <w:pPr>
        <w:pStyle w:val="ListParagraph"/>
        <w:numPr>
          <w:ilvl w:val="0"/>
          <w:numId w:val="2"/>
        </w:numPr>
        <w:spacing w:after="40" w:before="40"/>
      </w:pPr>
      <w:r>
        <w:rPr>
          <w:rFonts w:ascii="Arial" w:cs="Arial" w:eastAsia="Arial" w:hAnsi="Arial"/>
          <w:sz w:val="20"/>
          <w:szCs w:val="20"/>
        </w:rPr>
        <w:t xml:space="preserve">Cliquer sur OK pour lancer la génération</w:t>
      </w:r>
    </w:p>
    <w:p>
      <w:pPr>
        <w:spacing w:after="80" w:before="80"/>
      </w:pPr>
      <w:r>
        <w:t xml:space="preserve"/>
      </w:r>
    </w:p>
    <w:p>
      <w:pPr>
        <w:spacing w:after="60" w:before="60"/>
      </w:pPr>
      <w:r>
        <w:rPr>
          <w:rFonts w:ascii="Arial" w:cs="Arial" w:eastAsia="Arial" w:hAnsi="Arial"/>
          <w:i/>
          <w:iCs/>
          <w:sz w:val="20"/>
          <w:szCs w:val="20"/>
        </w:rPr>
        <w:t xml:space="preserve">⚠️ Répertoire recommandé : ...\PowerDesigner\[ID_PROJET]\Développement contrat\Export_META\</w:t>
      </w:r>
    </w:p>
    <w:p>
      <w:pPr>
        <w:spacing w:after="80" w:before="80"/>
      </w:pPr>
      <w:r>
        <w:t xml:space="preserve"/>
      </w:r>
    </w:p>
    <w:p>
      <w:pPr>
        <w:pStyle w:val="Heading2"/>
      </w:pPr>
      <w:r>
        <w:rPr>
          <w:rFonts w:ascii="Arial" w:cs="Arial" w:eastAsia="Arial" w:hAnsi="Arial"/>
          <w:b/>
          <w:bCs/>
          <w:sz w:val="26"/>
          <w:szCs w:val="26"/>
        </w:rPr>
        <w:t xml:space="preserve">2.5 Intégration dans META</w:t>
      </w:r>
    </w:p>
    <w:p>
      <w:pPr>
        <w:pStyle w:val="Heading3"/>
      </w:pPr>
      <w:r>
        <w:rPr>
          <w:rFonts w:ascii="Arial" w:cs="Arial" w:eastAsia="Arial" w:hAnsi="Arial"/>
          <w:b/>
          <w:bCs/>
          <w:sz w:val="22"/>
          <w:szCs w:val="22"/>
        </w:rPr>
        <w:t xml:space="preserve">Processus d'import</w:t>
      </w:r>
    </w:p>
    <w:p>
      <w:pPr>
        <w:pStyle w:val="ListParagraph"/>
        <w:numPr>
          <w:ilvl w:val="0"/>
          <w:numId w:val="2"/>
        </w:numPr>
        <w:spacing w:after="40" w:before="40"/>
      </w:pPr>
      <w:r>
        <w:rPr>
          <w:rFonts w:ascii="Arial" w:cs="Arial" w:eastAsia="Arial" w:hAnsi="Arial"/>
          <w:sz w:val="20"/>
          <w:szCs w:val="20"/>
        </w:rPr>
        <w:t xml:space="preserve">Envoyer un e-mail au Relais Architecture pour demander l'import du fichier</w:t>
      </w:r>
    </w:p>
    <w:p>
      <w:pPr>
        <w:pStyle w:val="ListParagraph"/>
        <w:numPr>
          <w:ilvl w:val="0"/>
          <w:numId w:val="2"/>
        </w:numPr>
        <w:spacing w:after="40" w:before="40"/>
      </w:pPr>
      <w:r>
        <w:rPr>
          <w:rFonts w:ascii="Arial" w:cs="Arial" w:eastAsia="Arial" w:hAnsi="Arial"/>
          <w:sz w:val="20"/>
          <w:szCs w:val="20"/>
        </w:rPr>
        <w:t xml:space="preserve">Chargement dans META par BATCH (le soir), disponible à J+1</w:t>
      </w:r>
    </w:p>
    <w:p>
      <w:pPr>
        <w:pStyle w:val="ListParagraph"/>
        <w:numPr>
          <w:ilvl w:val="0"/>
          <w:numId w:val="2"/>
        </w:numPr>
        <w:spacing w:after="40" w:before="40"/>
      </w:pPr>
      <w:r>
        <w:rPr>
          <w:rFonts w:ascii="Arial" w:cs="Arial" w:eastAsia="Arial" w:hAnsi="Arial"/>
          <w:sz w:val="20"/>
          <w:szCs w:val="20"/>
        </w:rPr>
        <w:t xml:space="preserve">Le demandeur vérifie les données dans HOPDB / META / dictionnaire de données</w:t>
      </w:r>
    </w:p>
    <w:p>
      <w:pPr>
        <w:pStyle w:val="ListParagraph"/>
        <w:numPr>
          <w:ilvl w:val="0"/>
          <w:numId w:val="2"/>
        </w:numPr>
        <w:spacing w:after="40" w:before="40"/>
      </w:pPr>
      <w:r>
        <w:rPr>
          <w:rFonts w:ascii="Arial" w:cs="Arial" w:eastAsia="Arial" w:hAnsi="Arial"/>
          <w:sz w:val="20"/>
          <w:szCs w:val="20"/>
        </w:rPr>
        <w:t xml:space="preserve">Si OK : confirmer le bon fonctionnement. Sinon : le relais revient avec les anomalies</w:t>
      </w:r>
    </w:p>
    <w:p>
      <w:pPr>
        <w:spacing w:after="80" w:before="80"/>
      </w:pPr>
      <w:r>
        <w:t xml:space="preserve"/>
      </w:r>
    </w:p>
    <w:p>
      <w:pPr>
        <w:pStyle w:val="Heading2"/>
      </w:pPr>
      <w:r>
        <w:rPr>
          <w:rFonts w:ascii="Arial" w:cs="Arial" w:eastAsia="Arial" w:hAnsi="Arial"/>
          <w:b/>
          <w:bCs/>
          <w:sz w:val="26"/>
          <w:szCs w:val="26"/>
        </w:rPr>
        <w:t xml:space="preserve">2.6 Checklist avant envoi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498"/>
        <w:gridCol w:w="1805"/>
      </w:tblGrid>
      <w:tr>
        <w:tc>
          <w:tcPr>
            <w:tcW w:type="dxa" w:w="72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49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72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649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Projet Power Designer ouvert (.prj)</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6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Connexion au référentiel établie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649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MPD dans dossier « Physique Données »</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6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 Domaine / Bloc / Application renseignés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649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 MPD par schéma de BDD</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6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BI_MPD_SIAD ajoutée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649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Répertoire de destination renseigné</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6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 Vérification du modèle » cochée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6498"/>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Fichier généré sans erreur</w:t>
            </w:r>
          </w:p>
        </w:tc>
        <w:tc>
          <w:tcPr>
            <w:tcW w:type="dxa" w:w="1805"/>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À faire</w:t>
            </w:r>
          </w:p>
        </w:tc>
      </w:tr>
      <w:tr>
        <w:tc>
          <w:tcPr>
            <w:tcW w:type="dxa" w:w="72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64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envoyé au Relais Architecture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À faire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160"/>
              <w:left w:type="dxa" w:w="200"/>
              <w:bottom w:type="dxa" w:w="160"/>
              <w:right w:type="dxa" w:w="200"/>
            </w:tcMar>
          </w:tcPr>
          <w:p>
            <w:r>
              <w:rPr>
                <w:rFonts w:ascii="Arial" w:cs="Arial" w:eastAsia="Arial" w:hAnsi="Arial"/>
                <w:b/>
                <w:bCs/>
                <w:color w:val="FFFFFF"/>
                <w:sz w:val="36"/>
                <w:szCs w:val="36"/>
              </w:rPr>
              <w:t xml:space="preserve">3. MAYA</w:t>
            </w:r>
          </w:p>
          <w:p>
            <w:r>
              <w:rPr>
                <w:rFonts w:ascii="Arial" w:cs="Arial" w:eastAsia="Arial" w:hAnsi="Arial"/>
                <w:i/>
                <w:iCs/>
                <w:color w:val="BDD7EE"/>
                <w:sz w:val="20"/>
                <w:szCs w:val="20"/>
              </w:rPr>
              <w:t xml:space="preserve">MАpping qualitY Analyzer — Documentation Utilisateur v2.400_2026.03.17</w:t>
            </w:r>
          </w:p>
        </w:tc>
      </w:tr>
    </w:tbl>
    <w:p>
      <w:pPr>
        <w:spacing w:after="80" w:before="80"/>
      </w:pPr>
      <w:r>
        <w:t xml:space="preserve"/>
      </w:r>
    </w:p>
    <w:p>
      <w:pPr>
        <w:spacing w:after="60" w:before="60"/>
      </w:pPr>
      <w:r>
        <w:rPr>
          <w:rFonts w:ascii="Arial" w:cs="Arial" w:eastAsia="Arial" w:hAnsi="Arial"/>
          <w:sz w:val="20"/>
          <w:szCs w:val="20"/>
        </w:rPr>
        <w:t xml:space="preserve">Interlocuteur : Thomas PARADON | Plateforme : Semarchy</w:t>
      </w:r>
    </w:p>
    <w:p>
      <w:pPr>
        <w:spacing w:after="80" w:before="80"/>
      </w:pPr>
      <w:r>
        <w:t xml:space="preserve"/>
      </w:r>
    </w:p>
    <w:p>
      <w:pPr>
        <w:pStyle w:val="Heading2"/>
      </w:pPr>
      <w:r>
        <w:rPr>
          <w:rFonts w:ascii="Arial" w:cs="Arial" w:eastAsia="Arial" w:hAnsi="Arial"/>
          <w:b/>
          <w:bCs/>
          <w:sz w:val="26"/>
          <w:szCs w:val="26"/>
        </w:rPr>
        <w:t xml:space="preserve">3.1 Présentation</w:t>
      </w:r>
    </w:p>
    <w:p>
      <w:pPr>
        <w:spacing w:after="60" w:before="60"/>
      </w:pPr>
      <w:r>
        <w:rPr>
          <w:rFonts w:ascii="Arial" w:cs="Arial" w:eastAsia="Arial" w:hAnsi="Arial"/>
          <w:sz w:val="20"/>
          <w:szCs w:val="20"/>
        </w:rPr>
        <w:t xml:space="preserve">MAYA est un utilitaire d'aide à la revue de code de vos mappings. Il parcourt l'ensemble des mappings du projet et retourne la liste des éléments en écart par rapport aux recommandations formulées par le socle technique. L'outil est exécutable à la demande directement dans Semarchy.</w:t>
      </w:r>
    </w:p>
    <w:p>
      <w:pPr>
        <w:spacing w:after="80" w:before="80"/>
      </w:pPr>
      <w:r>
        <w:t xml:space="preserve"/>
      </w:r>
    </w:p>
    <w:p>
      <w:pPr>
        <w:pStyle w:val="Heading2"/>
      </w:pPr>
      <w:r>
        <w:rPr>
          <w:rFonts w:ascii="Arial" w:cs="Arial" w:eastAsia="Arial" w:hAnsi="Arial"/>
          <w:b/>
          <w:bCs/>
          <w:sz w:val="26"/>
          <w:szCs w:val="26"/>
        </w:rPr>
        <w:t xml:space="preserve">3.2 Éléments analysés</w:t>
      </w:r>
    </w:p>
    <w:p>
      <w:pPr>
        <w:pStyle w:val="Heading3"/>
      </w:pPr>
      <w:r>
        <w:rPr>
          <w:rFonts w:ascii="Arial" w:cs="Arial" w:eastAsia="Arial" w:hAnsi="Arial"/>
          <w:b/>
          <w:bCs/>
          <w:sz w:val="22"/>
          <w:szCs w:val="22"/>
        </w:rPr>
        <w:t xml:space="preserve">Contrôles sur les tables</w:t>
      </w:r>
    </w:p>
    <w:p>
      <w:pPr>
        <w:pStyle w:val="ListParagraph"/>
        <w:numPr>
          <w:ilvl w:val="0"/>
          <w:numId w:val="2"/>
        </w:numPr>
        <w:spacing w:after="40" w:before="40"/>
      </w:pPr>
      <w:r>
        <w:rPr>
          <w:rFonts w:ascii="Arial" w:cs="Arial" w:eastAsia="Arial" w:hAnsi="Arial"/>
          <w:sz w:val="20"/>
          <w:szCs w:val="20"/>
        </w:rPr>
        <w:t xml:space="preserve">Tables déclarées dans un metadata n'appartenant pas au même projet que les mappings</w:t>
      </w:r>
    </w:p>
    <w:p>
      <w:pPr>
        <w:pStyle w:val="ListParagraph"/>
        <w:numPr>
          <w:ilvl w:val="0"/>
          <w:numId w:val="2"/>
        </w:numPr>
        <w:spacing w:after="40" w:before="40"/>
      </w:pPr>
      <w:r>
        <w:rPr>
          <w:rFonts w:ascii="Arial" w:cs="Arial" w:eastAsia="Arial" w:hAnsi="Arial"/>
          <w:sz w:val="20"/>
          <w:szCs w:val="20"/>
        </w:rPr>
        <w:t xml:space="preserve">Alimentation des zones « ORDER BY » et « SEGMENTED » des tables SIADODSWRK en CREATE</w:t>
      </w:r>
    </w:p>
    <w:p>
      <w:pPr>
        <w:pStyle w:val="ListParagraph"/>
        <w:numPr>
          <w:ilvl w:val="0"/>
          <w:numId w:val="2"/>
        </w:numPr>
        <w:spacing w:after="40" w:before="40"/>
      </w:pPr>
      <w:r>
        <w:rPr>
          <w:rFonts w:ascii="Arial" w:cs="Arial" w:eastAsia="Arial" w:hAnsi="Arial"/>
          <w:sz w:val="20"/>
          <w:szCs w:val="20"/>
        </w:rPr>
        <w:t xml:space="preserve">Activation de la PK sur les tables SIADODSWRK en CREATE</w:t>
      </w:r>
    </w:p>
    <w:p>
      <w:pPr>
        <w:pStyle w:val="ListParagraph"/>
        <w:numPr>
          <w:ilvl w:val="0"/>
          <w:numId w:val="2"/>
        </w:numPr>
        <w:spacing w:after="40" w:before="40"/>
      </w:pPr>
      <w:r>
        <w:rPr>
          <w:rFonts w:ascii="Arial" w:cs="Arial" w:eastAsia="Arial" w:hAnsi="Arial"/>
          <w:sz w:val="20"/>
          <w:szCs w:val="20"/>
        </w:rPr>
        <w:t xml:space="preserve">Application de l'option CREATE ou DROP AND CREATE uniquement sur les tables SIADODSWRK</w:t>
      </w:r>
    </w:p>
    <w:p>
      <w:pPr>
        <w:pStyle w:val="ListParagraph"/>
        <w:numPr>
          <w:ilvl w:val="0"/>
          <w:numId w:val="2"/>
        </w:numPr>
        <w:spacing w:after="40" w:before="40"/>
      </w:pPr>
      <w:r>
        <w:rPr>
          <w:rFonts w:ascii="Arial" w:cs="Arial" w:eastAsia="Arial" w:hAnsi="Arial"/>
          <w:sz w:val="20"/>
          <w:szCs w:val="20"/>
        </w:rPr>
        <w:t xml:space="preserve">Options d'intégration : CleanTemporaryObjects, DoInsert, DoUpdate, Truncate</w:t>
      </w:r>
    </w:p>
    <w:p>
      <w:pPr>
        <w:pStyle w:val="ListParagraph"/>
        <w:numPr>
          <w:ilvl w:val="0"/>
          <w:numId w:val="2"/>
        </w:numPr>
        <w:spacing w:after="40" w:before="40"/>
      </w:pPr>
      <w:r>
        <w:rPr>
          <w:rFonts w:ascii="Arial" w:cs="Arial" w:eastAsia="Arial" w:hAnsi="Arial"/>
          <w:sz w:val="20"/>
          <w:szCs w:val="20"/>
        </w:rPr>
        <w:t xml:space="preserve">[NEW] Paramétrage de l'option « Integration Strategy » des tables cibles</w:t>
      </w:r>
    </w:p>
    <w:p>
      <w:pPr>
        <w:spacing w:after="80" w:before="80"/>
      </w:pPr>
      <w:r>
        <w:t xml:space="preserve"/>
      </w:r>
    </w:p>
    <w:p>
      <w:pPr>
        <w:pStyle w:val="Heading3"/>
      </w:pPr>
      <w:r>
        <w:rPr>
          <w:rFonts w:ascii="Arial" w:cs="Arial" w:eastAsia="Arial" w:hAnsi="Arial"/>
          <w:b/>
          <w:bCs/>
          <w:sz w:val="22"/>
          <w:szCs w:val="22"/>
        </w:rPr>
        <w:t xml:space="preserve">Contrôles sur les stages</w:t>
      </w:r>
    </w:p>
    <w:p>
      <w:pPr>
        <w:pStyle w:val="ListParagraph"/>
        <w:numPr>
          <w:ilvl w:val="0"/>
          <w:numId w:val="2"/>
        </w:numPr>
        <w:spacing w:after="40" w:before="40"/>
      </w:pPr>
      <w:r>
        <w:rPr>
          <w:rFonts w:ascii="Arial" w:cs="Arial" w:eastAsia="Arial" w:hAnsi="Arial"/>
          <w:sz w:val="20"/>
          <w:szCs w:val="20"/>
        </w:rPr>
        <w:t xml:space="preserve">Stages associés à un metadata n'appartenant pas au même projet que le mapping</w:t>
      </w:r>
    </w:p>
    <w:p>
      <w:pPr>
        <w:pStyle w:val="ListParagraph"/>
        <w:numPr>
          <w:ilvl w:val="0"/>
          <w:numId w:val="2"/>
        </w:numPr>
        <w:spacing w:after="40" w:before="40"/>
      </w:pPr>
      <w:r>
        <w:rPr>
          <w:rFonts w:ascii="Arial" w:cs="Arial" w:eastAsia="Arial" w:hAnsi="Arial"/>
          <w:sz w:val="20"/>
          <w:szCs w:val="20"/>
        </w:rPr>
        <w:t xml:space="preserve">Schémas où sont créés les stages</w:t>
      </w:r>
    </w:p>
    <w:p>
      <w:pPr>
        <w:pStyle w:val="ListParagraph"/>
        <w:numPr>
          <w:ilvl w:val="0"/>
          <w:numId w:val="2"/>
        </w:numPr>
        <w:spacing w:after="40" w:before="40"/>
      </w:pPr>
      <w:r>
        <w:rPr>
          <w:rFonts w:ascii="Arial" w:cs="Arial" w:eastAsia="Arial" w:hAnsi="Arial"/>
          <w:sz w:val="20"/>
          <w:szCs w:val="20"/>
        </w:rPr>
        <w:t xml:space="preserve">Options d'intégration : « as Table », useStageNameForTemporaryObjectName, cleanTemporaryObjects, useDistinct</w:t>
      </w:r>
    </w:p>
    <w:p>
      <w:pPr>
        <w:pStyle w:val="ListParagraph"/>
        <w:numPr>
          <w:ilvl w:val="0"/>
          <w:numId w:val="2"/>
        </w:numPr>
        <w:spacing w:after="40" w:before="40"/>
      </w:pPr>
      <w:r>
        <w:rPr>
          <w:rFonts w:ascii="Arial" w:cs="Arial" w:eastAsia="Arial" w:hAnsi="Arial"/>
          <w:sz w:val="20"/>
          <w:szCs w:val="20"/>
        </w:rPr>
        <w:t xml:space="preserve">Nomenclature des stages</w:t>
      </w:r>
    </w:p>
    <w:p>
      <w:pPr>
        <w:spacing w:after="80" w:before="80"/>
      </w:pPr>
      <w:r>
        <w:t xml:space="preserve"/>
      </w:r>
    </w:p>
    <w:p>
      <w:pPr>
        <w:pStyle w:val="Heading3"/>
      </w:pPr>
      <w:r>
        <w:rPr>
          <w:rFonts w:ascii="Arial" w:cs="Arial" w:eastAsia="Arial" w:hAnsi="Arial"/>
          <w:b/>
          <w:bCs/>
          <w:sz w:val="22"/>
          <w:szCs w:val="22"/>
        </w:rPr>
        <w:t xml:space="preserve">Autres contrôles</w:t>
      </w:r>
    </w:p>
    <w:p>
      <w:pPr>
        <w:pStyle w:val="ListParagraph"/>
        <w:numPr>
          <w:ilvl w:val="0"/>
          <w:numId w:val="2"/>
        </w:numPr>
        <w:spacing w:after="40" w:before="40"/>
      </w:pPr>
      <w:r>
        <w:rPr>
          <w:rFonts w:ascii="Arial" w:cs="Arial" w:eastAsia="Arial" w:hAnsi="Arial"/>
          <w:sz w:val="20"/>
          <w:szCs w:val="20"/>
        </w:rPr>
        <w:t xml:space="preserve">Présence d'éléments déconseillés dans les jointures</w:t>
      </w:r>
    </w:p>
    <w:p>
      <w:pPr>
        <w:pStyle w:val="ListParagraph"/>
        <w:numPr>
          <w:ilvl w:val="0"/>
          <w:numId w:val="2"/>
        </w:numPr>
        <w:spacing w:after="40" w:before="40"/>
      </w:pPr>
      <w:r>
        <w:rPr>
          <w:rFonts w:ascii="Arial" w:cs="Arial" w:eastAsia="Arial" w:hAnsi="Arial"/>
          <w:sz w:val="20"/>
          <w:szCs w:val="20"/>
        </w:rPr>
        <w:t xml:space="preserve">Présence de commentaires dans les mappings</w:t>
      </w:r>
    </w:p>
    <w:p>
      <w:pPr>
        <w:pStyle w:val="ListParagraph"/>
        <w:numPr>
          <w:ilvl w:val="0"/>
          <w:numId w:val="2"/>
        </w:numPr>
        <w:spacing w:after="40" w:before="40"/>
      </w:pPr>
      <w:r>
        <w:rPr>
          <w:rFonts w:ascii="Arial" w:cs="Arial" w:eastAsia="Arial" w:hAnsi="Arial"/>
          <w:sz w:val="20"/>
          <w:szCs w:val="20"/>
        </w:rPr>
        <w:t xml:space="preserve">Tables déclarées dans un metadata du projet mais n'apparaissant dans aucun mapping</w:t>
      </w:r>
    </w:p>
    <w:p>
      <w:pPr>
        <w:spacing w:after="80" w:before="80"/>
      </w:pPr>
      <w:r>
        <w:t xml:space="preserve"/>
      </w:r>
    </w:p>
    <w:p>
      <w:pPr>
        <w:pStyle w:val="Heading2"/>
      </w:pPr>
      <w:r>
        <w:rPr>
          <w:rFonts w:ascii="Arial" w:cs="Arial" w:eastAsia="Arial" w:hAnsi="Arial"/>
          <w:b/>
          <w:bCs/>
          <w:sz w:val="26"/>
          <w:szCs w:val="26"/>
        </w:rPr>
        <w:t xml:space="preserve">3.3 Catégories de contrôles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 ALERT</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Éléments avec impact important sur les performances, pouvant être source de plantages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 WARNING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Éléments avec impacts plus modérés</w:t>
            </w:r>
          </w:p>
        </w:tc>
      </w:tr>
    </w:tbl>
    <w:p>
      <w:pPr>
        <w:spacing w:after="80" w:before="80"/>
      </w:pPr>
      <w:r>
        <w:t xml:space="preserve"/>
      </w:r>
    </w:p>
    <w:p>
      <w:pPr>
        <w:pStyle w:val="Heading2"/>
      </w:pPr>
      <w:r>
        <w:rPr>
          <w:rFonts w:ascii="Arial" w:cs="Arial" w:eastAsia="Arial" w:hAnsi="Arial"/>
          <w:b/>
          <w:bCs/>
          <w:sz w:val="26"/>
          <w:szCs w:val="26"/>
        </w:rPr>
        <w:t xml:space="preserve">3.4 Installation et lancement</w:t>
      </w:r>
    </w:p>
    <w:p>
      <w:pPr>
        <w:pStyle w:val="Heading3"/>
      </w:pPr>
      <w:r>
        <w:rPr>
          <w:rFonts w:ascii="Arial" w:cs="Arial" w:eastAsia="Arial" w:hAnsi="Arial"/>
          <w:b/>
          <w:bCs/>
          <w:sz w:val="22"/>
          <w:szCs w:val="22"/>
        </w:rPr>
        <w:t xml:space="preserve">Prérequis — Répertoire réseau</w:t>
      </w:r>
    </w:p>
    <w:p>
      <w:pPr>
        <w:spacing w:after="60" w:before="60"/>
      </w:pPr>
      <w:r>
        <w:rPr>
          <w:rFonts w:ascii="Courier New" w:cs="Courier New" w:eastAsia="Courier New" w:hAnsi="Courier New"/>
          <w:sz w:val="20"/>
          <w:szCs w:val="20"/>
        </w:rPr>
        <w:t xml:space="preserve">\\f11d001\EIDDUJON\App\IBIQ\04-Application\IBIQ_TOOLS\MAYA [IBIQ_CODRVW]</w:t>
      </w:r>
    </w:p>
    <w:p>
      <w:pPr>
        <w:spacing w:after="80" w:before="80"/>
      </w:pPr>
      <w:r>
        <w:t xml:space="preserve"/>
      </w:r>
    </w:p>
    <w:p>
      <w:pPr>
        <w:pStyle w:val="Heading3"/>
      </w:pPr>
      <w:r>
        <w:rPr>
          <w:rFonts w:ascii="Arial" w:cs="Arial" w:eastAsia="Arial" w:hAnsi="Arial"/>
          <w:b/>
          <w:bCs/>
          <w:sz w:val="22"/>
          <w:szCs w:val="22"/>
        </w:rPr>
        <w:t xml:space="preserve">Fichiers à copier dans Semarchy</w:t>
      </w:r>
    </w:p>
    <w:p>
      <w:pPr>
        <w:pStyle w:val="ListParagraph"/>
        <w:numPr>
          <w:ilvl w:val="0"/>
          <w:numId w:val="2"/>
        </w:numPr>
        <w:spacing w:after="40" w:before="40"/>
      </w:pPr>
      <w:r>
        <w:rPr>
          <w:rFonts w:ascii="Arial" w:cs="Arial" w:eastAsia="Arial" w:hAnsi="Arial"/>
          <w:sz w:val="20"/>
          <w:szCs w:val="20"/>
        </w:rPr>
        <w:t xml:space="preserve">hide.zgg</w:t>
      </w:r>
    </w:p>
    <w:p>
      <w:pPr>
        <w:pStyle w:val="ListParagraph"/>
        <w:numPr>
          <w:ilvl w:val="0"/>
          <w:numId w:val="2"/>
        </w:numPr>
        <w:spacing w:after="40" w:before="40"/>
      </w:pPr>
      <w:r>
        <w:rPr>
          <w:rFonts w:ascii="Arial" w:cs="Arial" w:eastAsia="Arial" w:hAnsi="Arial"/>
          <w:sz w:val="20"/>
          <w:szCs w:val="20"/>
        </w:rPr>
        <w:t xml:space="preserve">IBIx_CODRVW.exe</w:t>
      </w:r>
    </w:p>
    <w:p>
      <w:pPr>
        <w:pStyle w:val="ListParagraph"/>
        <w:numPr>
          <w:ilvl w:val="0"/>
          <w:numId w:val="2"/>
        </w:numPr>
        <w:spacing w:after="40" w:before="40"/>
      </w:pPr>
      <w:r>
        <w:rPr>
          <w:rFonts w:ascii="Arial" w:cs="Arial" w:eastAsia="Arial" w:hAnsi="Arial"/>
          <w:sz w:val="20"/>
          <w:szCs w:val="20"/>
        </w:rPr>
        <w:t xml:space="preserve">logSmI.png</w:t>
      </w:r>
    </w:p>
    <w:p>
      <w:pPr>
        <w:pStyle w:val="ListParagraph"/>
        <w:numPr>
          <w:ilvl w:val="0"/>
          <w:numId w:val="2"/>
        </w:numPr>
        <w:spacing w:after="40" w:before="40"/>
      </w:pPr>
      <w:r>
        <w:rPr>
          <w:rFonts w:ascii="Arial" w:cs="Arial" w:eastAsia="Arial" w:hAnsi="Arial"/>
          <w:sz w:val="20"/>
          <w:szCs w:val="20"/>
        </w:rPr>
        <w:t xml:space="preserve">rule.zgg</w:t>
      </w:r>
    </w:p>
    <w:p>
      <w:pPr>
        <w:spacing w:after="80" w:before="80"/>
      </w:pPr>
      <w:r>
        <w:t xml:space="preserve"/>
      </w:r>
    </w:p>
    <w:p>
      <w:pPr>
        <w:spacing w:after="60" w:before="60"/>
      </w:pPr>
      <w:r>
        <w:rPr>
          <w:rFonts w:ascii="Arial" w:cs="Arial" w:eastAsia="Arial" w:hAnsi="Arial"/>
          <w:sz w:val="20"/>
          <w:szCs w:val="20"/>
        </w:rPr>
        <w:t xml:space="preserve">Pour lancer l'outil, double-cliquer sur IBIx_CODRVW.exe. Les résultats sont formatés dans un fichier Excel sauvegardable en local.</w:t>
      </w:r>
    </w:p>
    <w:p>
      <w:pPr>
        <w:spacing w:after="80" w:before="80"/>
      </w:pPr>
      <w:r>
        <w:t xml:space="preserve"/>
      </w:r>
    </w:p>
    <w:p>
      <w:pPr>
        <w:pStyle w:val="Heading2"/>
      </w:pPr>
      <w:r>
        <w:rPr>
          <w:rFonts w:ascii="Arial" w:cs="Arial" w:eastAsia="Arial" w:hAnsi="Arial"/>
          <w:b/>
          <w:bCs/>
          <w:sz w:val="26"/>
          <w:szCs w:val="26"/>
        </w:rPr>
        <w:t xml:space="preserve">3.5 Résolution des problèmes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Problème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Erreur XML à l'exécution (fichier README.md)</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Renommer le fichier en README.mkd ou le supprimer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 programme plante à l'exécution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Contacter les référents indiqués sur la page Wiki MAYA</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Anomalie dans les résultats retournés</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Contacter les référents indiqués sur la page Wiki MAYA</w:t>
            </w:r>
          </w:p>
        </w:tc>
      </w:tr>
    </w:tbl>
    <w:p>
      <w:pPr>
        <w:spacing w:after="80" w:before="80"/>
      </w:pPr>
      <w:r>
        <w:t xml:space="preserve"/>
      </w:r>
    </w:p>
    <w:p>
      <w:pPr>
        <w:pStyle w:val="Heading2"/>
      </w:pPr>
      <w:r>
        <w:rPr>
          <w:rFonts w:ascii="Arial" w:cs="Arial" w:eastAsia="Arial" w:hAnsi="Arial"/>
          <w:b/>
          <w:bCs/>
          <w:sz w:val="26"/>
          <w:szCs w:val="26"/>
        </w:rPr>
        <w:t xml:space="preserve">3.6 Questions fréquentes</w:t>
      </w:r>
    </w:p>
    <w:p>
      <w:pPr>
        <w:pStyle w:val="Heading3"/>
      </w:pPr>
      <w:r>
        <w:rPr>
          <w:rFonts w:ascii="Arial" w:cs="Arial" w:eastAsia="Arial" w:hAnsi="Arial"/>
          <w:b/>
          <w:bCs/>
          <w:sz w:val="22"/>
          <w:szCs w:val="22"/>
        </w:rPr>
        <w:t xml:space="preserve">MAYA vs STADE — quelle différence ?</w:t>
      </w:r>
    </w:p>
    <w:p>
      <w:pPr>
        <w:pStyle w:val="ListParagraph"/>
        <w:numPr>
          <w:ilvl w:val="0"/>
          <w:numId w:val="2"/>
        </w:numPr>
        <w:spacing w:after="40" w:before="40"/>
      </w:pPr>
      <w:r>
        <w:rPr>
          <w:rFonts w:ascii="Arial" w:cs="Arial" w:eastAsia="Arial" w:hAnsi="Arial"/>
          <w:sz w:val="20"/>
          <w:szCs w:val="20"/>
        </w:rPr>
        <w:t xml:space="preserve">MAYA analyse selon les normes SIAD</w:t>
      </w:r>
    </w:p>
    <w:p>
      <w:pPr>
        <w:pStyle w:val="ListParagraph"/>
        <w:numPr>
          <w:ilvl w:val="0"/>
          <w:numId w:val="2"/>
        </w:numPr>
        <w:spacing w:after="40" w:before="40"/>
      </w:pPr>
      <w:r>
        <w:rPr>
          <w:rFonts w:ascii="Arial" w:cs="Arial" w:eastAsia="Arial" w:hAnsi="Arial"/>
          <w:sz w:val="20"/>
          <w:szCs w:val="20"/>
        </w:rPr>
        <w:t xml:space="preserve">STADE analyse selon les normes SIDU</w:t>
      </w:r>
    </w:p>
    <w:p>
      <w:pPr>
        <w:pStyle w:val="ListParagraph"/>
        <w:numPr>
          <w:ilvl w:val="0"/>
          <w:numId w:val="2"/>
        </w:numPr>
        <w:spacing w:after="40" w:before="40"/>
      </w:pPr>
      <w:r>
        <w:rPr>
          <w:rFonts w:ascii="Arial" w:cs="Arial" w:eastAsia="Arial" w:hAnsi="Arial"/>
          <w:sz w:val="20"/>
          <w:szCs w:val="20"/>
        </w:rPr>
        <w:t xml:space="preserve">Un bon résultat MAYA peut donner une dette élevée dans STADE — les normes diffèrent</w:t>
      </w:r>
    </w:p>
    <w:p>
      <w:pPr>
        <w:spacing w:after="80" w:before="80"/>
      </w:pPr>
      <w:r>
        <w:t xml:space="preserve"/>
      </w:r>
    </w:p>
    <w:p>
      <w:pPr>
        <w:pStyle w:val="Heading2"/>
      </w:pPr>
      <w:r>
        <w:rPr>
          <w:rFonts w:ascii="Arial" w:cs="Arial" w:eastAsia="Arial" w:hAnsi="Arial"/>
          <w:b/>
          <w:bCs/>
          <w:sz w:val="26"/>
          <w:szCs w:val="26"/>
        </w:rPr>
        <w:t xml:space="preserve">3.7 Ambitions futures</w:t>
      </w:r>
    </w:p>
    <w:p>
      <w:pPr>
        <w:pStyle w:val="ListParagraph"/>
        <w:numPr>
          <w:ilvl w:val="0"/>
          <w:numId w:val="2"/>
        </w:numPr>
        <w:spacing w:after="40" w:before="40"/>
      </w:pPr>
      <w:r>
        <w:rPr>
          <w:rFonts w:ascii="Arial" w:cs="Arial" w:eastAsia="Arial" w:hAnsi="Arial"/>
          <w:sz w:val="20"/>
          <w:szCs w:val="20"/>
        </w:rPr>
        <w:t xml:space="preserve">Analyse des Process</w:t>
      </w:r>
    </w:p>
    <w:p>
      <w:pPr>
        <w:pStyle w:val="ListParagraph"/>
        <w:numPr>
          <w:ilvl w:val="0"/>
          <w:numId w:val="2"/>
        </w:numPr>
        <w:spacing w:after="40" w:before="40"/>
      </w:pPr>
      <w:r>
        <w:rPr>
          <w:rFonts w:ascii="Arial" w:cs="Arial" w:eastAsia="Arial" w:hAnsi="Arial"/>
          <w:sz w:val="20"/>
          <w:szCs w:val="20"/>
        </w:rPr>
        <w:t xml:space="preserve">Détection de mappings non utilisés ou désactivés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F4E79" w:val="clear"/>
            <w:tcMar>
              <w:top w:type="dxa" w:w="160"/>
              <w:left w:type="dxa" w:w="200"/>
              <w:bottom w:type="dxa" w:w="160"/>
              <w:right w:type="dxa" w:w="200"/>
            </w:tcMar>
          </w:tcPr>
          <w:p>
            <w:r>
              <w:rPr>
                <w:rFonts w:ascii="Arial" w:cs="Arial" w:eastAsia="Arial" w:hAnsi="Arial"/>
                <w:b/>
                <w:bCs/>
                <w:color w:val="FFFFFF"/>
                <w:sz w:val="36"/>
                <w:szCs w:val="36"/>
              </w:rPr>
              <w:t xml:space="preserve">4. SIMC</w:t>
            </w:r>
          </w:p>
          <w:p>
            <w:r>
              <w:rPr>
                <w:rFonts w:ascii="Arial" w:cs="Arial" w:eastAsia="Arial" w:hAnsi="Arial"/>
                <w:i/>
                <w:iCs/>
                <w:color w:val="BDD7EE"/>
                <w:sz w:val="20"/>
                <w:szCs w:val="20"/>
              </w:rPr>
              <w:t xml:space="preserve">Système Informatique de Maîtrise des Contrôles — Analyse &amp; Synthèse — Avril 2026</w:t>
            </w:r>
          </w:p>
        </w:tc>
      </w:tr>
    </w:tbl>
    <w:p>
      <w:pPr>
        <w:spacing w:after="80" w:before="80"/>
      </w:pPr>
      <w:r>
        <w:t xml:space="preserve"/>
      </w:r>
    </w:p>
    <w:p>
      <w:pPr>
        <w:pStyle w:val="Heading2"/>
      </w:pPr>
      <w:r>
        <w:rPr>
          <w:rFonts w:ascii="Arial" w:cs="Arial" w:eastAsia="Arial" w:hAnsi="Arial"/>
          <w:b/>
          <w:bCs/>
          <w:sz w:val="26"/>
          <w:szCs w:val="26"/>
        </w:rPr>
        <w:t xml:space="preserve">4.1 Résumé par diapositive</w:t>
      </w:r>
    </w:p>
    <w:p>
      <w:pPr>
        <w:pStyle w:val="Heading3"/>
      </w:pPr>
      <w:r>
        <w:rPr>
          <w:rFonts w:ascii="Arial" w:cs="Arial" w:eastAsia="Arial" w:hAnsi="Arial"/>
          <w:b/>
          <w:bCs/>
          <w:sz w:val="22"/>
          <w:szCs w:val="22"/>
        </w:rPr>
        <w:t xml:space="preserve">Diapo 1 — Pourquoi un nouveau système de contrôles ?</w:t>
      </w:r>
    </w:p>
    <w:p>
      <w:pPr>
        <w:spacing w:after="60" w:before="60"/>
      </w:pPr>
      <w:r>
        <w:rPr>
          <w:rFonts w:ascii="Arial" w:cs="Arial" w:eastAsia="Arial" w:hAnsi="Arial"/>
          <w:sz w:val="20"/>
          <w:szCs w:val="20"/>
        </w:rPr>
        <w:t xml:space="preserve">Le SIMC vise deux objectifs stratégiques :</w:t>
      </w:r>
    </w:p>
    <w:p>
      <w:pPr>
        <w:pStyle w:val="ListParagraph"/>
        <w:numPr>
          <w:ilvl w:val="0"/>
          <w:numId w:val="2"/>
        </w:numPr>
        <w:spacing w:after="40" w:before="40"/>
      </w:pPr>
      <w:r>
        <w:rPr>
          <w:rFonts w:ascii="Arial" w:cs="Arial" w:eastAsia="Arial" w:hAnsi="Arial"/>
          <w:sz w:val="20"/>
          <w:szCs w:val="20"/>
        </w:rPr>
        <w:t xml:space="preserve">Retrouver une agilité industrielle dans les processus de contrôle : affinage des règles et seuils, réalisation des contrôles plus tôt, diminution des délais et coûts, simplification du passage en production</w:t>
      </w:r>
    </w:p>
    <w:p>
      <w:pPr>
        <w:pStyle w:val="ListParagraph"/>
        <w:numPr>
          <w:ilvl w:val="0"/>
          <w:numId w:val="2"/>
        </w:numPr>
        <w:spacing w:after="40" w:before="40"/>
      </w:pPr>
      <w:r>
        <w:rPr>
          <w:rFonts w:ascii="Arial" w:cs="Arial" w:eastAsia="Arial" w:hAnsi="Arial"/>
          <w:sz w:val="20"/>
          <w:szCs w:val="20"/>
        </w:rPr>
        <w:t xml:space="preserve">Faciliter les audits et le reporting qualité : vision unifiée (métadonnées techniques &amp; fonctionnelles), automatisation des indicateurs, intégration dans le dispositif interne CINT</w:t>
      </w:r>
    </w:p>
    <w:p>
      <w:pPr>
        <w:spacing w:after="80" w:before="80"/>
      </w:pPr>
      <w:r>
        <w:t xml:space="preserve"/>
      </w:r>
    </w:p>
    <w:p>
      <w:pPr>
        <w:pStyle w:val="Heading3"/>
      </w:pPr>
      <w:r>
        <w:rPr>
          <w:rFonts w:ascii="Arial" w:cs="Arial" w:eastAsia="Arial" w:hAnsi="Arial"/>
          <w:b/>
          <w:bCs/>
          <w:sz w:val="22"/>
          <w:szCs w:val="22"/>
        </w:rPr>
        <w:t xml:space="preserve">Diapo 2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Contrôle</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Élément défini par le métier à contrôler. 1 contrôle métier peut nécessiter plusieurs requêtes.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Requête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Exécution d'un programme (SQL ou autre) pour répondre à des critères définis.</w:t>
            </w:r>
          </w:p>
        </w:tc>
      </w:tr>
      <w:tr>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Résultat de contrôle</w:t>
            </w:r>
          </w:p>
        </w:tc>
        <w:tc>
          <w:tcPr>
            <w:tcW w:type="dxa" w:w="451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État OK/KO d'un contrôle avec le détail brut et le seuil d'acceptabilité.</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Suspicion d'anomalie (ESA)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enregistrement ne respectant pas les critères définis par une requête.</w:t>
            </w:r>
          </w:p>
        </w:tc>
      </w:tr>
    </w:tbl>
    <w:p>
      <w:pPr>
        <w:spacing w:after="80" w:before="80"/>
      </w:pPr>
      <w:r>
        <w:t xml:space="preserve"/>
      </w:r>
    </w:p>
    <w:p>
      <w:pPr>
        <w:pStyle w:val="Heading3"/>
      </w:pPr>
      <w:r>
        <w:rPr>
          <w:rFonts w:ascii="Arial" w:cs="Arial" w:eastAsia="Arial" w:hAnsi="Arial"/>
          <w:b/>
          <w:bCs/>
          <w:sz w:val="22"/>
          <w:szCs w:val="22"/>
        </w:rPr>
        <w:t xml:space="preserve">Diapos 3-4 — Éléments SIMC &amp; Workflow</w:t>
      </w:r>
    </w:p>
    <w:p>
      <w:pPr>
        <w:pStyle w:val="ListParagraph"/>
        <w:numPr>
          <w:ilvl w:val="0"/>
          <w:numId w:val="2"/>
        </w:numPr>
        <w:spacing w:after="40" w:before="40"/>
      </w:pPr>
      <w:r>
        <w:rPr>
          <w:rFonts w:ascii="Arial" w:cs="Arial" w:eastAsia="Arial" w:hAnsi="Arial"/>
          <w:sz w:val="20"/>
          <w:szCs w:val="20"/>
        </w:rPr>
        <w:t xml:space="preserve">Contrôles exécutables sur toutes les couches du SID (ODS, DW, Datamart, IDW)</w:t>
      </w:r>
    </w:p>
    <w:p>
      <w:pPr>
        <w:pStyle w:val="ListParagraph"/>
        <w:numPr>
          <w:ilvl w:val="0"/>
          <w:numId w:val="2"/>
        </w:numPr>
        <w:spacing w:after="40" w:before="40"/>
      </w:pPr>
      <w:r>
        <w:rPr>
          <w:rFonts w:ascii="Arial" w:cs="Arial" w:eastAsia="Arial" w:hAnsi="Arial"/>
          <w:sz w:val="20"/>
          <w:szCs w:val="20"/>
        </w:rPr>
        <w:t xml:space="preserve">Exécution dès l'alimentation ou réalimentation d'une table, conservation de chaque exécution</w:t>
      </w:r>
    </w:p>
    <w:p>
      <w:pPr>
        <w:pStyle w:val="ListParagraph"/>
        <w:numPr>
          <w:ilvl w:val="0"/>
          <w:numId w:val="2"/>
        </w:numPr>
        <w:spacing w:after="40" w:before="40"/>
      </w:pPr>
      <w:r>
        <w:rPr>
          <w:rFonts w:ascii="Arial" w:cs="Arial" w:eastAsia="Arial" w:hAnsi="Arial"/>
          <w:sz w:val="20"/>
          <w:szCs w:val="20"/>
        </w:rPr>
        <w:t xml:space="preserve">Modes : stock, delta ou période donnée</w:t>
      </w:r>
    </w:p>
    <w:p>
      <w:pPr>
        <w:pStyle w:val="ListParagraph"/>
        <w:numPr>
          <w:ilvl w:val="0"/>
          <w:numId w:val="2"/>
        </w:numPr>
        <w:spacing w:after="40" w:before="40"/>
      </w:pPr>
      <w:r>
        <w:rPr>
          <w:rFonts w:ascii="Arial" w:cs="Arial" w:eastAsia="Arial" w:hAnsi="Arial"/>
          <w:sz w:val="20"/>
          <w:szCs w:val="20"/>
        </w:rPr>
        <w:t xml:space="preserve">Consultation via SAS (tables d'administration, suivi, résultats, preuves)</w:t>
      </w:r>
    </w:p>
    <w:p>
      <w:pPr>
        <w:pStyle w:val="ListParagraph"/>
        <w:numPr>
          <w:ilvl w:val="0"/>
          <w:numId w:val="2"/>
        </w:numPr>
        <w:spacing w:after="40" w:before="40"/>
      </w:pPr>
      <w:r>
        <w:rPr>
          <w:rFonts w:ascii="Arial" w:cs="Arial" w:eastAsia="Arial" w:hAnsi="Arial"/>
          <w:sz w:val="20"/>
          <w:szCs w:val="20"/>
        </w:rPr>
        <w:t xml:space="preserve">Trois acteurs dans le workflow : MOA, MOE Métier, MOE SID</w:t>
      </w:r>
    </w:p>
    <w:p>
      <w:pPr>
        <w:spacing w:after="80" w:before="80"/>
      </w:pPr>
      <w:r>
        <w:t xml:space="preserve"/>
      </w:r>
    </w:p>
    <w:p>
      <w:pPr>
        <w:pStyle w:val="Heading3"/>
      </w:pPr>
      <w:r>
        <w:rPr>
          <w:rFonts w:ascii="Arial" w:cs="Arial" w:eastAsia="Arial" w:hAnsi="Arial"/>
          <w:b/>
          <w:bCs/>
          <w:sz w:val="22"/>
          <w:szCs w:val="22"/>
        </w:rPr>
        <w:t xml:space="preserve">Diapo 5 — Macro-Architecture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Alimentation (entrées)</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Exécution (noyau)</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Restitution (sorties)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RUBIS/SARA, Formulaire, IHM MAD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Planning, Exécution des contrôles, Extraction des suspicions d'anomalies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Alerte mail, Création SARA, Rapport BO, IHM MAD, Suspicion Anomalie, CINT/RefQDD</w:t>
            </w:r>
          </w:p>
        </w:tc>
      </w:tr>
    </w:tbl>
    <w:p>
      <w:pPr>
        <w:spacing w:after="80" w:before="80"/>
      </w:pPr>
      <w:r>
        <w:t xml:space="preserve"/>
      </w:r>
    </w:p>
    <w:p>
      <w:pPr>
        <w:pStyle w:val="Heading3"/>
      </w:pPr>
      <w:r>
        <w:rPr>
          <w:rFonts w:ascii="Arial" w:cs="Arial" w:eastAsia="Arial" w:hAnsi="Arial"/>
          <w:b/>
          <w:bCs/>
          <w:sz w:val="22"/>
          <w:szCs w:val="22"/>
        </w:rPr>
        <w:t xml:space="preserve">Diapos 7-8 — Cinématique des 4 types de requêtes</w:t>
      </w:r>
    </w:p>
    <w:p>
      <w:pPr>
        <w:pStyle w:val="ListParagraph"/>
        <w:numPr>
          <w:ilvl w:val="0"/>
          <w:numId w:val="2"/>
        </w:numPr>
        <w:spacing w:after="40" w:before="40"/>
      </w:pPr>
      <w:r>
        <w:rPr>
          <w:rFonts w:ascii="Arial" w:cs="Arial" w:eastAsia="Arial" w:hAnsi="Arial"/>
          <w:sz w:val="20"/>
          <w:szCs w:val="20"/>
        </w:rPr>
        <w:t xml:space="preserve">Requête 1 [Relevé] : compte les enregistrements hors critères</w:t>
      </w:r>
    </w:p>
    <w:p>
      <w:pPr>
        <w:pStyle w:val="ListParagraph"/>
        <w:numPr>
          <w:ilvl w:val="0"/>
          <w:numId w:val="2"/>
        </w:numPr>
        <w:spacing w:after="40" w:before="40"/>
      </w:pPr>
      <w:r>
        <w:rPr>
          <w:rFonts w:ascii="Arial" w:cs="Arial" w:eastAsia="Arial" w:hAnsi="Arial"/>
          <w:sz w:val="20"/>
          <w:szCs w:val="20"/>
        </w:rPr>
        <w:t xml:space="preserve">Requête 2 [Relevé] : calcule le taux d'anomalie</w:t>
      </w:r>
    </w:p>
    <w:p>
      <w:pPr>
        <w:pStyle w:val="ListParagraph"/>
        <w:numPr>
          <w:ilvl w:val="0"/>
          <w:numId w:val="2"/>
        </w:numPr>
        <w:spacing w:after="40" w:before="40"/>
      </w:pPr>
      <w:r>
        <w:rPr>
          <w:rFonts w:ascii="Arial" w:cs="Arial" w:eastAsia="Arial" w:hAnsi="Arial"/>
          <w:sz w:val="20"/>
          <w:szCs w:val="20"/>
        </w:rPr>
        <w:t xml:space="preserve">Requête 3 [Test/PREA] : vérifie si le résultat dépasse le seuil d'acceptabilité (OK/KO)</w:t>
      </w:r>
    </w:p>
    <w:p>
      <w:pPr>
        <w:pStyle w:val="ListParagraph"/>
        <w:numPr>
          <w:ilvl w:val="0"/>
          <w:numId w:val="2"/>
        </w:numPr>
        <w:spacing w:after="40" w:before="40"/>
      </w:pPr>
      <w:r>
        <w:rPr>
          <w:rFonts w:ascii="Arial" w:cs="Arial" w:eastAsia="Arial" w:hAnsi="Arial"/>
          <w:sz w:val="20"/>
          <w:szCs w:val="20"/>
        </w:rPr>
        <w:t xml:space="preserve">Requête 4 [Extraction/EA] : extrait les lignes en suspicion d'anomalie</w:t>
      </w:r>
    </w:p>
    <w:p>
      <w:pPr>
        <w:spacing w:after="80" w:before="80"/>
      </w:pPr>
      <w:r>
        <w:t xml:space="preserve"/>
      </w:r>
    </w:p>
    <w:p>
      <w:pPr>
        <w:pStyle w:val="Heading2"/>
      </w:pPr>
      <w:r>
        <w:rPr>
          <w:rFonts w:ascii="Arial" w:cs="Arial" w:eastAsia="Arial" w:hAnsi="Arial"/>
          <w:b/>
          <w:bCs/>
          <w:sz w:val="26"/>
          <w:szCs w:val="26"/>
        </w:rPr>
        <w:t xml:space="preserve">4.2 Architecture d'intégration</w:t>
      </w:r>
    </w:p>
    <w:p>
      <w:pPr>
        <w:spacing w:after="60" w:before="60"/>
      </w:pPr>
      <w:r>
        <w:rPr>
          <w:rFonts w:ascii="Arial" w:cs="Arial" w:eastAsia="Arial" w:hAnsi="Arial"/>
          <w:sz w:val="20"/>
          <w:szCs w:val="20"/>
        </w:rPr>
        <w:t xml:space="preserve">Schéma en 4 étapes via SQL Server, BCP/RTL et Vertica :</w:t>
      </w:r>
    </w:p>
    <w:p>
      <w:pPr>
        <w:pStyle w:val="ListParagraph"/>
        <w:numPr>
          <w:ilvl w:val="0"/>
          <w:numId w:val="2"/>
        </w:numPr>
        <w:spacing w:after="40" w:before="40"/>
      </w:pPr>
      <w:r>
        <w:rPr>
          <w:rFonts w:ascii="Arial" w:cs="Arial" w:eastAsia="Arial" w:hAnsi="Arial"/>
          <w:sz w:val="20"/>
          <w:szCs w:val="20"/>
        </w:rPr>
        <w:t xml:space="preserve">Étape 1 : Modèle SQL Server (tables TUCR/TUCL/TUCZ) déployé via Stambia vers ZJ, DJ, DM</w:t>
      </w:r>
    </w:p>
    <w:p>
      <w:pPr>
        <w:pStyle w:val="ListParagraph"/>
        <w:numPr>
          <w:ilvl w:val="0"/>
          <w:numId w:val="2"/>
        </w:numPr>
        <w:spacing w:after="40" w:before="40"/>
      </w:pPr>
      <w:r>
        <w:rPr>
          <w:rFonts w:ascii="Arial" w:cs="Arial" w:eastAsia="Arial" w:hAnsi="Arial"/>
          <w:sz w:val="20"/>
          <w:szCs w:val="20"/>
        </w:rPr>
        <w:t xml:space="preserve">Étape 2 : Filtrage des données par environnement vers 6 tables de travail</w:t>
      </w:r>
    </w:p>
    <w:p>
      <w:pPr>
        <w:pStyle w:val="ListParagraph"/>
        <w:numPr>
          <w:ilvl w:val="0"/>
          <w:numId w:val="2"/>
        </w:numPr>
        <w:spacing w:after="40" w:before="40"/>
      </w:pPr>
      <w:r>
        <w:rPr>
          <w:rFonts w:ascii="Arial" w:cs="Arial" w:eastAsia="Arial" w:hAnsi="Arial"/>
          <w:sz w:val="20"/>
          <w:szCs w:val="20"/>
        </w:rPr>
        <w:t xml:space="preserve">Étape 3 : Export BCP + injection RTL vers tables de load SIADODSTMP</w:t>
      </w:r>
    </w:p>
    <w:p>
      <w:pPr>
        <w:pStyle w:val="ListParagraph"/>
        <w:numPr>
          <w:ilvl w:val="0"/>
          <w:numId w:val="2"/>
        </w:numPr>
        <w:spacing w:after="40" w:before="40"/>
      </w:pPr>
      <w:r>
        <w:rPr>
          <w:rFonts w:ascii="Arial" w:cs="Arial" w:eastAsia="Arial" w:hAnsi="Arial"/>
          <w:sz w:val="20"/>
          <w:szCs w:val="20"/>
        </w:rPr>
        <w:t xml:space="preserve">Étape 4 : Alimentation du modèle Vertica (IBIQ_LOACTLFTR_500_DIM) via Stambia</w:t>
      </w:r>
    </w:p>
    <w:p>
      <w:pPr>
        <w:spacing w:after="80" w:before="80"/>
      </w:pPr>
      <w:r>
        <w:t xml:space="preserve"/>
      </w:r>
    </w:p>
    <w:p>
      <w:pPr>
        <w:spacing w:after="60" w:before="60"/>
      </w:pPr>
      <w:r>
        <w:rPr>
          <w:rFonts w:ascii="Arial" w:cs="Arial" w:eastAsia="Arial" w:hAnsi="Arial"/>
          <w:sz w:val="20"/>
          <w:szCs w:val="20"/>
        </w:rPr>
        <w:t xml:space="preserve">Import en sens inverse : Vertica → tables de travail → BCP → SQL Server (créneau 8h après tous les projets)</w:t>
      </w:r>
    </w:p>
    <w:p>
      <w:pPr>
        <w:spacing w:after="80" w:before="80"/>
      </w:pPr>
      <w:r>
        <w:t xml:space="preserve"/>
      </w:r>
    </w:p>
    <w:p>
      <w:pPr>
        <w:pStyle w:val="Heading2"/>
      </w:pPr>
      <w:r>
        <w:rPr>
          <w:rFonts w:ascii="Arial" w:cs="Arial" w:eastAsia="Arial" w:hAnsi="Arial"/>
          <w:b/>
          <w:bCs/>
          <w:sz w:val="26"/>
          <w:szCs w:val="26"/>
        </w:rPr>
        <w:t xml:space="preserve">4.3 Points de vigilance</w:t>
      </w:r>
    </w:p>
    <w:p>
      <w:pPr>
        <w:pStyle w:val="ListParagraph"/>
        <w:numPr>
          <w:ilvl w:val="0"/>
          <w:numId w:val="2"/>
        </w:numPr>
        <w:spacing w:after="40" w:before="40"/>
      </w:pPr>
      <w:r>
        <w:rPr>
          <w:rFonts w:ascii="Arial" w:cs="Arial" w:eastAsia="Arial" w:hAnsi="Arial"/>
          <w:sz w:val="20"/>
          <w:szCs w:val="20"/>
        </w:rPr>
        <w:t xml:space="preserve">Complexité de l'intégration SQL Server ↔ Vertica : chaîne Stambia + BCP + RTL fragile, un incident peut bloquer tous les contrôles</w:t>
      </w:r>
    </w:p>
    <w:p>
      <w:pPr>
        <w:pStyle w:val="ListParagraph"/>
        <w:numPr>
          <w:ilvl w:val="0"/>
          <w:numId w:val="2"/>
        </w:numPr>
        <w:spacing w:after="40" w:before="40"/>
      </w:pPr>
      <w:r>
        <w:rPr>
          <w:rFonts w:ascii="Arial" w:cs="Arial" w:eastAsia="Arial" w:hAnsi="Arial"/>
          <w:sz w:val="20"/>
          <w:szCs w:val="20"/>
        </w:rPr>
        <w:t xml:space="preserve">Dépendance forte à Stambia : maintenances, montées en version et évolutions de schéma impliquent des re-développements</w:t>
      </w:r>
    </w:p>
    <w:p>
      <w:pPr>
        <w:pStyle w:val="ListParagraph"/>
        <w:numPr>
          <w:ilvl w:val="0"/>
          <w:numId w:val="2"/>
        </w:numPr>
        <w:spacing w:after="40" w:before="40"/>
      </w:pPr>
      <w:r>
        <w:rPr>
          <w:rFonts w:ascii="Arial" w:cs="Arial" w:eastAsia="Arial" w:hAnsi="Arial"/>
          <w:sz w:val="20"/>
          <w:szCs w:val="20"/>
        </w:rPr>
        <w:t xml:space="preserve">Gestion de 3 environnements (ZJ, DJ, DM) multiplie les flux et les risques de déphasage</w:t>
      </w:r>
    </w:p>
    <w:p>
      <w:pPr>
        <w:pStyle w:val="ListParagraph"/>
        <w:numPr>
          <w:ilvl w:val="0"/>
          <w:numId w:val="2"/>
        </w:numPr>
        <w:spacing w:after="40" w:before="40"/>
      </w:pPr>
      <w:r>
        <w:rPr>
          <w:rFonts w:ascii="Arial" w:cs="Arial" w:eastAsia="Arial" w:hAnsi="Arial"/>
          <w:sz w:val="20"/>
          <w:szCs w:val="20"/>
        </w:rPr>
        <w:t xml:space="preserve">Absence de gestion d'erreur ou de circuit de reprise en cas d'échec d'une requête</w:t>
      </w:r>
    </w:p>
    <w:p>
      <w:pPr>
        <w:pStyle w:val="ListParagraph"/>
        <w:numPr>
          <w:ilvl w:val="0"/>
          <w:numId w:val="2"/>
        </w:numPr>
        <w:spacing w:after="40" w:before="40"/>
      </w:pPr>
      <w:r>
        <w:rPr>
          <w:rFonts w:ascii="Arial" w:cs="Arial" w:eastAsia="Arial" w:hAnsi="Arial"/>
          <w:sz w:val="20"/>
          <w:szCs w:val="20"/>
        </w:rPr>
        <w:t xml:space="preserve">Modèle de résultat (entier ou booléen uniquement) peut s'avérer trop restrictif</w:t>
      </w:r>
    </w:p>
    <w:p>
      <w:pPr>
        <w:pStyle w:val="ListParagraph"/>
        <w:numPr>
          <w:ilvl w:val="0"/>
          <w:numId w:val="2"/>
        </w:numPr>
        <w:spacing w:after="40" w:before="40"/>
      </w:pPr>
      <w:r>
        <w:rPr>
          <w:rFonts w:ascii="Arial" w:cs="Arial" w:eastAsia="Arial" w:hAnsi="Arial"/>
          <w:sz w:val="20"/>
          <w:szCs w:val="20"/>
        </w:rPr>
        <w:t xml:space="preserve">Performance non abordée sur les tables de très gros volumes</w:t>
      </w:r>
    </w:p>
    <w:p>
      <w:pPr>
        <w:spacing w:after="80" w:before="80"/>
      </w:pPr>
      <w:r>
        <w:t xml:space="preserve"/>
      </w:r>
    </w:p>
    <w:p>
      <w:pPr>
        <w:pStyle w:val="Heading2"/>
      </w:pPr>
      <w:r>
        <w:rPr>
          <w:rFonts w:ascii="Arial" w:cs="Arial" w:eastAsia="Arial" w:hAnsi="Arial"/>
          <w:b/>
          <w:bCs/>
          <w:sz w:val="26"/>
          <w:szCs w:val="26"/>
        </w:rPr>
        <w:t xml:space="preserve">4.4 Pistes d'amélioration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69"/>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Axe</w:t>
            </w:r>
          </w:p>
        </w:tc>
        <w:tc>
          <w:tcPr>
            <w:tcW w:type="dxa" w:w="676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Proposition</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Observabilité</w:t>
            </w:r>
          </w:p>
        </w:tc>
        <w:tc>
          <w:tcPr>
            <w:tcW w:type="dxa" w:w="676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Tableau de bord temps réel des exécutions (statut, durée, nb d'anomalies) sans SAS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Résilience</w:t>
            </w:r>
          </w:p>
        </w:tc>
        <w:tc>
          <w:tcPr>
            <w:tcW w:type="dxa" w:w="67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Politiques de retry et d'alerte en cas d'échec d'une requête ou d'un job Stambia</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Simplification du pipeline</w:t>
            </w:r>
          </w:p>
        </w:tc>
        <w:tc>
          <w:tcPr>
            <w:tcW w:type="dxa" w:w="676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Évaluer Kafka, dbt ou un outil ELT moderne pour remplacer la chaîne BCP/Stambia/RTL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Type de résultat</w:t>
            </w:r>
          </w:p>
        </w:tc>
        <w:tc>
          <w:tcPr>
            <w:tcW w:type="dxa" w:w="67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Étendre au-delà de l'entier/booléen : pourcentage, liste de valeurs, histogramme</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Gestion de version</w:t>
            </w:r>
          </w:p>
        </w:tc>
        <w:tc>
          <w:tcPr>
            <w:tcW w:type="dxa" w:w="676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Versionner les requêtes SQL (style GitOps) pour la traçabilité et les rollbacks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Documentation auto</w:t>
            </w:r>
          </w:p>
        </w:tc>
        <w:tc>
          <w:tcPr>
            <w:tcW w:type="dxa" w:w="67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Générer automatiquement des fiches de contrôle depuis les métadonnées</w:t>
            </w:r>
          </w:p>
        </w:tc>
      </w:tr>
      <w:tr>
        <w:tc>
          <w:tcPr>
            <w:tcW w:type="dxa" w:w="22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Tests unitaires</w:t>
            </w:r>
          </w:p>
        </w:tc>
        <w:tc>
          <w:tcPr>
            <w:tcW w:type="dxa" w:w="676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 « bac à sable » pour tester un contrôle sur données synthétiques avant production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67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Stratégie de partition/sampling Vertica pour les contrôles sur très gros volumes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2026-04-19T21:08:11.795Z</dcterms:created>
  <dcterms:modified xsi:type="dcterms:W3CDTF">2026-04-19T21:08:11.796Z</dcterms:modified>
</cp:coreProperties>
</file>

<file path=docProps/custom.xml><?xml version="1.0" encoding="utf-8"?>
<Properties xmlns="http://schemas.openxmlformats.org/officeDocument/2006/custom-properties" xmlns:vt="http://schemas.openxmlformats.org/officeDocument/2006/docPropsVTypes"/>
</file>